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52"/>
        </w:rPr>
        <w:t>International Recommendations</w:t>
        <w:br/>
      </w:r>
    </w:p>
    <w:p>
      <w:pPr>
        <w:jc w:val="center"/>
      </w:pPr>
      <w:r>
        <w:rPr>
          <w:i/>
          <w:sz w:val="32"/>
        </w:rPr>
        <w:t>Guidelines and Best Practices for Organizational Excellence</w:t>
        <w:br/>
        <w:br/>
      </w:r>
    </w:p>
    <w:p>
      <w:r>
        <w:br w:type="page"/>
      </w:r>
    </w:p>
    <w:p>
      <w:pPr>
        <w:pStyle w:val="Heading1"/>
      </w:pPr>
      <w:r>
        <w:t>International Recommendations</w:t>
      </w:r>
    </w:p>
    <w:p>
      <w:pPr>
        <w:spacing w:after="240"/>
      </w:pPr>
      <w:r>
        <w:t>The following recommendations are provided to guide the organization in aligning its policies, operations, and strategic goals with globally recognized standards and best practices. These guidelines support good governance, transparency, and effectiveness in organizational development.</w:t>
      </w:r>
    </w:p>
    <w:p>
      <w:pPr>
        <w:pStyle w:val="ListNumber"/>
        <w:spacing w:after="120"/>
      </w:pPr>
      <w:r>
        <w:t>Adopt the United Nations Sustainable Development Goals (SDGs) as a framework for planning and evaluating community impact programs.</w:t>
      </w:r>
    </w:p>
    <w:p>
      <w:pPr>
        <w:pStyle w:val="ListNumber"/>
        <w:spacing w:after="120"/>
      </w:pPr>
      <w:r>
        <w:t>Implement ISO 9001 (Quality Management Systems) and ISO 26000 (Social Responsibility) to promote consistency, accountability, and ethical governance.</w:t>
      </w:r>
    </w:p>
    <w:p>
      <w:pPr>
        <w:pStyle w:val="ListNumber"/>
        <w:spacing w:after="120"/>
      </w:pPr>
      <w:r>
        <w:t>Ensure financial transparency by conducting independent audits and publishing annual financial reports, following standards recommended by international financial institutions.</w:t>
      </w:r>
    </w:p>
    <w:p>
      <w:pPr>
        <w:pStyle w:val="ListNumber"/>
        <w:spacing w:after="120"/>
      </w:pPr>
      <w:r>
        <w:t>Follow World Health Organization (WHO) health and safety protocols, especially in public service and humanitarian programs.</w:t>
      </w:r>
    </w:p>
    <w:p>
      <w:pPr>
        <w:pStyle w:val="ListNumber"/>
        <w:spacing w:after="120"/>
      </w:pPr>
      <w:r>
        <w:t>Respect and promote universal human rights, including non-discrimination, gender equality, and protection of vulnerable groups, in line with international human rights declarations.</w:t>
      </w:r>
    </w:p>
    <w:p>
      <w:pPr>
        <w:pStyle w:val="ListNumber"/>
        <w:spacing w:after="120"/>
      </w:pPr>
      <w:r>
        <w:t>Support interfaith, intercultural, and international dialogue initiatives to strengthen peace, collaboration, and mutual understanding.</w:t>
      </w:r>
    </w:p>
    <w:p>
      <w:pPr>
        <w:pStyle w:val="ListNumber"/>
        <w:spacing w:after="120"/>
      </w:pPr>
      <w:r>
        <w:t>Promote youth and women empowerment by integrating strategies from the UN Youth Strategy and international women's development frameworks.</w:t>
      </w:r>
    </w:p>
    <w:p>
      <w:pPr>
        <w:pStyle w:val="ListNumber"/>
        <w:spacing w:after="120"/>
      </w:pPr>
      <w:r>
        <w:t>Maintain alignment with international Islamic organizations and councils to ensure ethical integrity and religious alignment in programs and operations.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