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2024-02-15</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Claidentの読みは「クライデン」です(末尾のtは発音しません)。</w:t>
      </w:r>
      <w:r>
        <w:t xml:space="preserve"> </w:t>
      </w:r>
      <w:r>
        <w:t xml:space="preserve">名前の由来は「CLAssification」と「IDENTification」です。</w:t>
      </w:r>
      <w:r>
        <w:t xml:space="preserve"> </w:t>
      </w:r>
      <w:r>
        <w:t xml:space="preserve">MiFish pipeline</w:t>
      </w:r>
      <w:r>
        <w:t xml:space="preserve"> </w:t>
      </w:r>
      <w:r>
        <w:t xml:space="preserve">(Sato</w:t>
      </w:r>
      <w:r>
        <w:t xml:space="preserve"> </w:t>
      </w:r>
      <w:r>
        <w:rPr>
          <w:i/>
        </w:rPr>
        <w:t xml:space="preserve">et al.</w:t>
      </w:r>
      <w:r>
        <w:t xml:space="preserve"> </w:t>
      </w:r>
      <w:r>
        <w:t xml:space="preserve">2018; Zhu</w:t>
      </w:r>
      <w:r>
        <w:t xml:space="preserve"> </w:t>
      </w:r>
      <w:r>
        <w:rPr>
          <w:i/>
        </w:rPr>
        <w:t xml:space="preserve">et al.</w:t>
      </w:r>
      <w:r>
        <w:t xml:space="preserve"> </w:t>
      </w:r>
      <w:r>
        <w:t xml:space="preserve">2023)</w:t>
      </w:r>
      <w:r>
        <w:t xml:space="preserve">との違いは、大まかには以下の通りです。</w:t>
      </w:r>
    </w:p>
    <w:p>
      <w:pPr>
        <w:numPr>
          <w:ilvl w:val="0"/>
          <w:numId w:val="1001"/>
        </w:numPr>
        <w:pStyle w:val="Compact"/>
      </w:pPr>
      <w:r>
        <w:t xml:space="preserve">MiFishプライマー</w:t>
      </w:r>
      <w:r>
        <w:t xml:space="preserve"> </w:t>
      </w:r>
      <w:r>
        <w:t xml:space="preserve">(Miya</w:t>
      </w:r>
      <w:r>
        <w:t xml:space="preserve"> </w:t>
      </w:r>
      <w:r>
        <w:rPr>
          <w:i/>
        </w:rPr>
        <w:t xml:space="preserve">et al.</w:t>
      </w:r>
      <w:r>
        <w:t xml:space="preserve"> </w:t>
      </w:r>
      <w:r>
        <w:t xml:space="preserve">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w:t>
      </w:r>
      <w:r>
        <w:t xml:space="preserve"> </w:t>
      </w:r>
      <w:r>
        <w:rPr>
          <w:i/>
        </w:rPr>
        <w:t xml:space="preserve">et al.</w:t>
      </w:r>
      <w:r>
        <w:t xml:space="preserve"> </w:t>
      </w:r>
      <w:r>
        <w:t xml:space="preserve">2018a)</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 (Windows上のWSL環境を含む)</w:t>
      </w:r>
    </w:p>
    <w:p>
      <w:pPr>
        <w:numPr>
          <w:ilvl w:val="0"/>
          <w:numId w:val="1004"/>
        </w:numPr>
        <w:pStyle w:val="Compact"/>
      </w:pPr>
      <w:r>
        <w:t xml:space="preserve">Ubuntu 20.04以降 (Windows上のWSL環境を含む)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Windowsをご使用の方は、下記のMicrosoft公式ページを参照してWSLとUbuntuをインストールして下さい。</w:t>
      </w:r>
    </w:p>
    <w:p>
      <w:pPr>
        <w:numPr>
          <w:ilvl w:val="0"/>
          <w:numId w:val="1005"/>
        </w:numPr>
        <w:pStyle w:val="Compact"/>
      </w:pPr>
      <w:hyperlink r:id="rId24">
        <w:r>
          <w:rPr>
            <w:rStyle w:val="Hyperlink"/>
          </w:rPr>
          <w:t xml:space="preserve">https://learn.microsoft.com/ja-jp/windows/wsl/install</w:t>
        </w:r>
      </w:hyperlink>
    </w:p>
    <w:p>
      <w:pPr>
        <w:pStyle w:val="FirstParagraph"/>
      </w:pP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maOSをご利用の方は、下記のページを参照してHomebrewをインストールして下さい。</w:t>
      </w:r>
    </w:p>
    <w:p>
      <w:pPr>
        <w:numPr>
          <w:ilvl w:val="0"/>
          <w:numId w:val="1006"/>
        </w:numPr>
        <w:pStyle w:val="Compact"/>
      </w:pPr>
      <w:hyperlink r:id="rId25">
        <w:r>
          <w:rPr>
            <w:rStyle w:val="Hyperlink"/>
          </w:rPr>
          <w:t xml:space="preserve">https://brew.sh/</w:t>
        </w:r>
      </w:hyperlink>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6" w:name="データ解析全体の流れと前提条件"/>
      <w:r>
        <w:t xml:space="preserve">データ解析全体の流れと前提条件</w:t>
      </w:r>
      <w:bookmarkEnd w:id="26"/>
    </w:p>
    <w:p>
      <w:pPr>
        <w:pStyle w:val="FirstParagraph"/>
      </w:pPr>
      <w:r>
        <w:t xml:space="preserve">Claidentによるデータ解析は、以下の流れで行います。</w:t>
      </w:r>
    </w:p>
    <w:p>
      <w:pPr>
        <w:numPr>
          <w:ilvl w:val="0"/>
          <w:numId w:val="1007"/>
        </w:numPr>
        <w:pStyle w:val="Compact"/>
      </w:pPr>
      <w:r>
        <w:t xml:space="preserve">デマルチプレックス</w:t>
      </w:r>
    </w:p>
    <w:p>
      <w:pPr>
        <w:numPr>
          <w:ilvl w:val="0"/>
          <w:numId w:val="1007"/>
        </w:numPr>
        <w:pStyle w:val="Compact"/>
      </w:pPr>
      <w:r>
        <w:t xml:space="preserve">ペアエンド配列の連結</w:t>
      </w:r>
    </w:p>
    <w:p>
      <w:pPr>
        <w:numPr>
          <w:ilvl w:val="0"/>
          <w:numId w:val="1007"/>
        </w:numPr>
        <w:pStyle w:val="Compact"/>
      </w:pPr>
      <w:r>
        <w:t xml:space="preserve">低品質配列の除去</w:t>
      </w:r>
      <w:r>
        <w:t xml:space="preserve"> </w:t>
      </w:r>
      <w:r>
        <w:t xml:space="preserve">(Edgar &amp; Flyvbjerg 2015)</w:t>
      </w:r>
    </w:p>
    <w:p>
      <w:pPr>
        <w:numPr>
          <w:ilvl w:val="0"/>
          <w:numId w:val="1007"/>
        </w:numPr>
        <w:pStyle w:val="Compact"/>
      </w:pPr>
      <w:r>
        <w:t xml:space="preserve">デノイジング</w:t>
      </w:r>
      <w:r>
        <w:t xml:space="preserve"> </w:t>
      </w:r>
      <w:r>
        <w:t xml:space="preserve">(Callahan</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参照配列データベースを用いないキメラ除去</w:t>
      </w:r>
      <w:r>
        <w:t xml:space="preserve"> </w:t>
      </w:r>
      <w:r>
        <w:t xml:space="preserve">(Edgar 2016; Rognes</w:t>
      </w:r>
      <w:r>
        <w:t xml:space="preserve"> </w:t>
      </w:r>
      <w:r>
        <w:rPr>
          <w:i/>
        </w:rPr>
        <w:t xml:space="preserve">et al.</w:t>
      </w:r>
      <w:r>
        <w:t xml:space="preserve"> </w:t>
      </w:r>
      <w:r>
        <w:t xml:space="preserve">2016)</w:t>
      </w:r>
    </w:p>
    <w:p>
      <w:pPr>
        <w:numPr>
          <w:ilvl w:val="0"/>
          <w:numId w:val="1007"/>
        </w:numPr>
        <w:pStyle w:val="Compact"/>
      </w:pPr>
      <w:r>
        <w:t xml:space="preserve">内部標準配列クラスタリング</w:t>
      </w:r>
      <w:r>
        <w:t xml:space="preserve"> </w:t>
      </w:r>
      <w:r>
        <w:t xml:space="preserve">(Edgar 2010; Rognes</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参照配列データベースを用いたキメラ除去</w:t>
      </w:r>
      <w:r>
        <w:t xml:space="preserve"> </w:t>
      </w:r>
      <w:r>
        <w:t xml:space="preserve">(Edgar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インデックスホッピング除去</w:t>
      </w:r>
      <w:r>
        <w:t xml:space="preserve"> </w:t>
      </w:r>
      <w:r>
        <w:t xml:space="preserve">(Esling</w:t>
      </w:r>
      <w:r>
        <w:t xml:space="preserve"> </w:t>
      </w:r>
      <w:r>
        <w:rPr>
          <w:i/>
        </w:rPr>
        <w:t xml:space="preserve">et al.</w:t>
      </w:r>
      <w:r>
        <w:t xml:space="preserve"> </w:t>
      </w:r>
      <w:r>
        <w:t xml:space="preserve">2015)</w:t>
      </w:r>
    </w:p>
    <w:p>
      <w:pPr>
        <w:numPr>
          <w:ilvl w:val="0"/>
          <w:numId w:val="1007"/>
        </w:numPr>
        <w:pStyle w:val="Compact"/>
      </w:pPr>
      <w:r>
        <w:t xml:space="preserve">ネガティブコントロールを利用したデコンタミネーション</w:t>
      </w:r>
    </w:p>
    <w:p>
      <w:pPr>
        <w:numPr>
          <w:ilvl w:val="0"/>
          <w:numId w:val="1007"/>
        </w:numPr>
        <w:pStyle w:val="Compact"/>
      </w:pPr>
      <w:r>
        <w:t xml:space="preserve">分子同定</w:t>
      </w:r>
      <w:r>
        <w:t xml:space="preserve"> </w:t>
      </w:r>
      <w:r>
        <w:t xml:space="preserve">(Tanabe &amp; Toju 2013)</w:t>
      </w:r>
    </w:p>
    <w:p>
      <w:pPr>
        <w:numPr>
          <w:ilvl w:val="0"/>
          <w:numId w:val="1007"/>
        </w:numPr>
        <w:pStyle w:val="Compact"/>
      </w:pPr>
      <w:r>
        <w:t xml:space="preserve">OTU組成表の作成・加工</w:t>
      </w:r>
    </w:p>
    <w:p>
      <w:pPr>
        <w:numPr>
          <w:ilvl w:val="0"/>
          <w:numId w:val="1007"/>
        </w:numPr>
        <w:pStyle w:val="Compact"/>
      </w:pPr>
      <w:r>
        <w:t xml:space="preserve">カバレッジベースレアファクション</w:t>
      </w:r>
      <w:r>
        <w:t xml:space="preserve"> </w:t>
      </w:r>
      <w:r>
        <w:t xml:space="preserve">(Chao &amp; Jost 2012)</w:t>
      </w:r>
    </w:p>
    <w:p>
      <w:pPr>
        <w:numPr>
          <w:ilvl w:val="0"/>
          <w:numId w:val="1007"/>
        </w:numPr>
        <w:pStyle w:val="Compact"/>
      </w:pPr>
      <w:r>
        <w:t xml:space="preserve">内部標準DNAリード数を利用したDNA濃度の推定</w:t>
      </w:r>
      <w:r>
        <w:t xml:space="preserve"> </w:t>
      </w:r>
      <w:r>
        <w:t xml:space="preserve">(Ushio</w:t>
      </w:r>
      <w:r>
        <w:t xml:space="preserve"> </w:t>
      </w:r>
      <w:r>
        <w:rPr>
          <w:i/>
        </w:rPr>
        <w:t xml:space="preserve">et al.</w:t>
      </w:r>
      <w:r>
        <w:t xml:space="preserve"> </w:t>
      </w:r>
      <w:r>
        <w:t xml:space="preserve">2018a)</w:t>
      </w:r>
    </w:p>
    <w:p>
      <w:pPr>
        <w:pStyle w:val="FirstParagraph"/>
      </w:pPr>
      <w:r>
        <w:t xml:space="preserve">最終的に得られたOTU組成表をRやその他の統計解析環境で処理することで、作図や要約、仮説検証を行います。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w:t>
      </w:r>
      <w:r>
        <w:t xml:space="preserve"> </w:t>
      </w:r>
      <w:r>
        <w:t xml:space="preserve">下記を満たしていないデータを解析できないわけではありませんが、本章では説明の対象としません。</w:t>
      </w:r>
    </w:p>
    <w:p>
      <w:pPr>
        <w:numPr>
          <w:ilvl w:val="0"/>
          <w:numId w:val="1008"/>
        </w:numPr>
        <w:pStyle w:val="Compact"/>
      </w:pPr>
      <w:r>
        <w:t xml:space="preserve">環境水を濾過して濾過フィルターから抽出した環境DNAサンプルとネガティブコントロールとしてのフィールドブランクが含まれる</w:t>
      </w:r>
    </w:p>
    <w:p>
      <w:pPr>
        <w:numPr>
          <w:ilvl w:val="0"/>
          <w:numId w:val="1008"/>
        </w:numPr>
        <w:pStyle w:val="Compact"/>
      </w:pPr>
      <w:r>
        <w:t xml:space="preserve">以下の方法でライブラリ調製</w:t>
      </w:r>
    </w:p>
    <w:p>
      <w:pPr>
        <w:numPr>
          <w:ilvl w:val="1"/>
          <w:numId w:val="1009"/>
        </w:numPr>
        <w:pStyle w:val="Compact"/>
      </w:pPr>
      <w:r>
        <w:t xml:space="preserve">濃度のわかっている複数の内部標準DNAを添加してMiFishプライマーを使用してtailed PCR (1st PCR)</w:t>
      </w:r>
    </w:p>
    <w:p>
      <w:pPr>
        <w:numPr>
          <w:ilvl w:val="1"/>
          <w:numId w:val="1009"/>
        </w:numPr>
        <w:pStyle w:val="Compact"/>
      </w:pPr>
      <w:r>
        <w:t xml:space="preserve">1st PCR産物を鋳型にしてインデックスプライマーを使用してtailed PCR (2nd PCR)</w:t>
      </w:r>
    </w:p>
    <w:p>
      <w:pPr>
        <w:numPr>
          <w:ilvl w:val="1"/>
          <w:numId w:val="1009"/>
        </w:numPr>
        <w:pStyle w:val="Compact"/>
      </w:pPr>
      <w:r>
        <w:t xml:space="preserve">できあがるライブラリは、両端にインデックスがあるデュアルインデックスライブラリ</w:t>
      </w:r>
    </w:p>
    <w:p>
      <w:pPr>
        <w:numPr>
          <w:ilvl w:val="0"/>
          <w:numId w:val="1008"/>
        </w:numPr>
        <w:pStyle w:val="Compact"/>
      </w:pPr>
      <w:r>
        <w:t xml:space="preserve">各サンプルの2nd PCR産物を混合してIllumina社製シーケンサで</w:t>
      </w:r>
      <w:r>
        <w:rPr>
          <w:b/>
        </w:rPr>
        <w:t xml:space="preserve">1ランまたは1レーン専有で</w:t>
      </w:r>
      <w:r>
        <w:t xml:space="preserve">解読</w:t>
      </w:r>
    </w:p>
    <w:p>
      <w:pPr>
        <w:numPr>
          <w:ilvl w:val="1"/>
          <w:numId w:val="1010"/>
        </w:numPr>
        <w:pStyle w:val="Compact"/>
      </w:pPr>
      <w:r>
        <w:t xml:space="preserve">オーバーラップのある、つまり連結可能なペアエンドシーケンス</w:t>
      </w:r>
    </w:p>
    <w:p>
      <w:pPr>
        <w:numPr>
          <w:ilvl w:val="1"/>
          <w:numId w:val="1010"/>
        </w:numPr>
        <w:pStyle w:val="Compact"/>
      </w:pPr>
      <w:r>
        <w:t xml:space="preserve">.bclを含むランデータまたはインデックスシーケンス分も含めて未デマルチプレックスFASTQが手元にある</w:t>
      </w:r>
    </w:p>
    <w:p>
      <w:pPr>
        <w:pStyle w:val="FirstParagraph"/>
      </w:pPr>
      <w:r>
        <w:t xml:space="preserve">したがって、サンプル・ブランクごとに以下の情報がわかっている必要があります。</w:t>
      </w:r>
    </w:p>
    <w:p>
      <w:pPr>
        <w:numPr>
          <w:ilvl w:val="0"/>
          <w:numId w:val="1011"/>
        </w:numPr>
        <w:pStyle w:val="Compact"/>
      </w:pPr>
      <w:r>
        <w:t xml:space="preserve">サンプル・ブランクのいずれなのか</w:t>
      </w:r>
    </w:p>
    <w:p>
      <w:pPr>
        <w:numPr>
          <w:ilvl w:val="0"/>
          <w:numId w:val="1011"/>
        </w:numPr>
        <w:pStyle w:val="Compact"/>
      </w:pPr>
      <w:r>
        <w:t xml:space="preserve">濾過水量</w:t>
      </w:r>
    </w:p>
    <w:p>
      <w:pPr>
        <w:numPr>
          <w:ilvl w:val="0"/>
          <w:numId w:val="1011"/>
        </w:numPr>
        <w:pStyle w:val="Compact"/>
      </w:pPr>
      <w:r>
        <w:t xml:space="preserve">抽出DNA溶液量(回収液量ではなく、最後の溶出時に使用した液量)</w:t>
      </w:r>
    </w:p>
    <w:p>
      <w:pPr>
        <w:numPr>
          <w:ilvl w:val="0"/>
          <w:numId w:val="1011"/>
        </w:numPr>
        <w:pStyle w:val="Compact"/>
      </w:pPr>
      <w:r>
        <w:t xml:space="preserve">内部標準DNA塩基配列</w:t>
      </w:r>
    </w:p>
    <w:p>
      <w:pPr>
        <w:numPr>
          <w:ilvl w:val="0"/>
          <w:numId w:val="1011"/>
        </w:numPr>
        <w:pStyle w:val="Compact"/>
      </w:pPr>
      <w:r>
        <w:t xml:space="preserve">内部標準DNA濃度</w:t>
      </w:r>
    </w:p>
    <w:p>
      <w:pPr>
        <w:numPr>
          <w:ilvl w:val="0"/>
          <w:numId w:val="1011"/>
        </w:numPr>
        <w:pStyle w:val="Compact"/>
      </w:pPr>
      <w:r>
        <w:t xml:space="preserve">1st PCR時のプライマー配列のうち、シーケンサの読み始めになる部分配列</w:t>
      </w:r>
    </w:p>
    <w:p>
      <w:pPr>
        <w:numPr>
          <w:ilvl w:val="0"/>
          <w:numId w:val="1011"/>
        </w:numPr>
        <w:pStyle w:val="Compact"/>
      </w:pPr>
      <w:r>
        <w:t xml:space="preserve">2nd PCR時のプライマー配列のうち、インデックスとして読まれる部分配列</w:t>
      </w:r>
    </w:p>
    <w:p>
      <w:pPr>
        <w:pStyle w:val="FirstParagraph"/>
      </w:pPr>
      <w:r>
        <w:t xml:space="preserve">なお、シングルエンドシーケンスやオーバーラップのないペアエンドシーケンス、ライブラリ調製時に内部標準DNA添加をしていない、デマルチプレックス済のFASTQしか手元にない、などのケースに関しては以下のページに掲載しているシェルスクリプトを参照して下さい。</w:t>
      </w:r>
    </w:p>
    <w:p>
      <w:pPr>
        <w:numPr>
          <w:ilvl w:val="0"/>
          <w:numId w:val="1012"/>
        </w:numPr>
        <w:pStyle w:val="Compact"/>
      </w:pPr>
      <w:hyperlink r:id="rId27">
        <w:r>
          <w:rPr>
            <w:rStyle w:val="Hyperlink"/>
          </w:rPr>
          <w:t xml:space="preserve">https://github.com/astanabe/ClaidentTutorial</w:t>
        </w:r>
      </w:hyperlink>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w:t>
      </w:r>
      <w:r>
        <w:t xml:space="preserve"> </w:t>
      </w:r>
      <w:r>
        <w:rPr>
          <w:i/>
        </w:rPr>
        <w:t xml:space="preserve">et al.</w:t>
      </w:r>
      <w:r>
        <w:t xml:space="preserve"> </w:t>
      </w:r>
      <w:r>
        <w:t xml:space="preserve">2020, 2015)</w:t>
      </w:r>
      <w:r>
        <w:t xml:space="preserve"> </w:t>
      </w:r>
      <w:r>
        <w:t xml:space="preserve">、 MiDeca</w:t>
      </w:r>
      <w:r>
        <w:t xml:space="preserve"> </w:t>
      </w:r>
      <w:r>
        <w:t xml:space="preserve">(Komai</w:t>
      </w:r>
      <w:r>
        <w:t xml:space="preserve"> </w:t>
      </w:r>
      <w:r>
        <w:rPr>
          <w:i/>
        </w:rPr>
        <w:t xml:space="preserve">et al.</w:t>
      </w:r>
      <w:r>
        <w:t xml:space="preserve"> </w:t>
      </w:r>
      <w:r>
        <w:t xml:space="preserve">2019)</w:t>
      </w:r>
      <w:r>
        <w:t xml:space="preserve"> </w:t>
      </w:r>
      <w:r>
        <w:t xml:space="preserve">、MiMammal</w:t>
      </w:r>
      <w:r>
        <w:t xml:space="preserve"> </w:t>
      </w:r>
      <w:r>
        <w:t xml:space="preserve">(Ushio</w:t>
      </w:r>
      <w:r>
        <w:t xml:space="preserve"> </w:t>
      </w:r>
      <w:r>
        <w:rPr>
          <w:i/>
        </w:rPr>
        <w:t xml:space="preserve">et al.</w:t>
      </w:r>
      <w:r>
        <w:t xml:space="preserve"> </w:t>
      </w:r>
      <w:r>
        <w:t xml:space="preserve">2017)</w:t>
      </w:r>
      <w:r>
        <w:t xml:space="preserve"> </w:t>
      </w:r>
      <w:r>
        <w:t xml:space="preserve">、MiBird</w:t>
      </w:r>
      <w:r>
        <w:t xml:space="preserve"> </w:t>
      </w:r>
      <w:r>
        <w:t xml:space="preserve">(Ushio</w:t>
      </w:r>
      <w:r>
        <w:t xml:space="preserve"> </w:t>
      </w:r>
      <w:r>
        <w:rPr>
          <w:i/>
        </w:rPr>
        <w:t xml:space="preserve">et al.</w:t>
      </w:r>
      <w:r>
        <w:t xml:space="preserve"> </w:t>
      </w:r>
      <w:r>
        <w:t xml:space="preserve">2018b)</w:t>
      </w:r>
      <w:r>
        <w:t xml:space="preserve"> </w:t>
      </w:r>
      <w:r>
        <w:t xml:space="preserve">、Amph16S</w:t>
      </w:r>
      <w:r>
        <w:t xml:space="preserve"> </w:t>
      </w:r>
      <w:r>
        <w:t xml:space="preserve">(Sakata</w:t>
      </w:r>
      <w:r>
        <w:t xml:space="preserve"> </w:t>
      </w:r>
      <w:r>
        <w:rPr>
          <w:i/>
        </w:rPr>
        <w:t xml:space="preserve">et al.</w:t>
      </w:r>
      <w:r>
        <w:t xml:space="preserve"> </w:t>
      </w:r>
      <w:r>
        <w:t xml:space="preserve">2022)</w:t>
      </w:r>
      <w:r>
        <w:t xml:space="preserve"> </w:t>
      </w:r>
      <w:r>
        <w:t xml:space="preserve">、MtInsects-16S</w:t>
      </w:r>
      <w:r>
        <w:t xml:space="preserve"> </w:t>
      </w:r>
      <w:r>
        <w:t xml:space="preserve">(Takenaka</w:t>
      </w:r>
      <w:r>
        <w:t xml:space="preserve"> </w:t>
      </w:r>
      <w:r>
        <w:rPr>
          <w:i/>
        </w:rPr>
        <w:t xml:space="preserve">et al.</w:t>
      </w:r>
      <w:r>
        <w:t xml:space="preserve"> </w:t>
      </w:r>
      <w:r>
        <w:t xml:space="preserve">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13"/>
        </w:numPr>
        <w:pStyle w:val="Compact"/>
      </w:pPr>
      <w:hyperlink r:id="rId28">
        <w:r>
          <w:rPr>
            <w:rStyle w:val="Hyperlink"/>
          </w:rPr>
          <w:t xml:space="preserve">https://github.com/astanabe/TruSeqStyleIndexPrimers</w:t>
        </w:r>
      </w:hyperlink>
    </w:p>
    <w:p>
      <w:pPr>
        <w:numPr>
          <w:ilvl w:val="0"/>
          <w:numId w:val="1013"/>
        </w:numPr>
        <w:pStyle w:val="Compact"/>
      </w:pPr>
      <w:hyperlink r:id="rId29">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S1に掲載されています。</w:t>
      </w:r>
    </w:p>
    <w:p>
      <w:pPr>
        <w:pStyle w:val="BodyText"/>
      </w:pPr>
      <w:r>
        <w:t xml:space="preserve">この先のデータ解析は、</w:t>
      </w:r>
      <w:r>
        <w:rPr>
          <w:b/>
        </w:rPr>
        <w:t xml:space="preserve">1ランまたは1レーン専有で解読したもの1ランまたは1レーン分</w:t>
      </w:r>
      <w:r>
        <w:t xml:space="preserve">を仮定して説明します。</w:t>
      </w:r>
      <w:r>
        <w:t xml:space="preserve"> </w:t>
      </w:r>
      <w:r>
        <w:t xml:space="preserve">複数ランまたは複数レーン分のデータがある場合は、後述するインデックスホッピング除去までは1ランまたは1レーン分のデータごとに解析を行い、それらの結果を</w:t>
      </w:r>
      <w:r>
        <w:rPr>
          <w:rStyle w:val="VerbatimChar"/>
        </w:rPr>
        <w:t xml:space="preserve">clclassseqv</w:t>
      </w:r>
      <w:r>
        <w:t xml:space="preserve">コマンドを使用して統合します。</w:t>
      </w:r>
    </w:p>
    <w:p>
      <w:pPr>
        <w:pStyle w:val="Heading3"/>
      </w:pPr>
      <w:bookmarkStart w:id="30" w:name="claidentにおけるサンプルidについて"/>
      <w:r>
        <w:t xml:space="preserve">Claidentにおける「サンプルID」について</w:t>
      </w:r>
      <w:bookmarkEnd w:id="30"/>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テクニカルレプリケート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などと付加することで、テクニカルレプリケートであることがわかるようにしておくのが良いでしょう。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31" w:name="otuとasvについて"/>
      <w:r>
        <w:t xml:space="preserve">OTUとASVについて</w:t>
      </w:r>
      <w:bookmarkEnd w:id="31"/>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32" w:name="必要なファイル群とディレクトリ構造"/>
      <w:r>
        <w:t xml:space="preserve">必要なファイル群とディレクトリ構造</w:t>
      </w:r>
      <w:bookmarkEnd w:id="32"/>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3" w:name="ブランクリストblanklist.txt"/>
      <w:r>
        <w:t xml:space="preserve">ブランクリスト(blanklist.txt)</w:t>
      </w:r>
      <w:bookmarkEnd w:id="33"/>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p>
    <w:p>
      <w:pPr>
        <w:pStyle w:val="Heading4"/>
      </w:pPr>
      <w:bookmarkStart w:id="34" w:name="濾過水量表watervoltable.tsv"/>
      <w:r>
        <w:t xml:space="preserve">濾過水量表(watervoltable.tsv)</w:t>
      </w:r>
      <w:bookmarkEnd w:id="34"/>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5" w:name="抽出dna溶液量表solutionvoltable.tsv"/>
      <w:r>
        <w:t xml:space="preserve">抽出DNA溶液量表(solutionvoltable.tsv)</w:t>
      </w:r>
      <w:bookmarkEnd w:id="35"/>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6" w:name="内部標準dna塩基配列standard.fasta"/>
      <w:r>
        <w:t xml:space="preserve">内部標準DNA塩基配列(standard.fasta)</w:t>
      </w:r>
      <w:bookmarkEnd w:id="36"/>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7" w:name="内部標準dna濃度表stdconctable.tsv"/>
      <w:r>
        <w:t xml:space="preserve">内部標準DNA濃度表(stdconctable.tsv)</w:t>
      </w:r>
      <w:bookmarkEnd w:id="37"/>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したがって、サンプルDNA溶液の2倍の内部標準DNA溶液を添加した場合は数値を2倍に、サンプルDNA溶液を10倍希釈して希釈液と等量の内部標準DNA溶液を添加した場合は数値を10倍にします。</w:t>
      </w:r>
      <w:r>
        <w:t xml:space="preserve"> </w:t>
      </w:r>
      <w:r>
        <w:t xml:space="preserve">内部標準DNAの名前は、前述の内部標準DNA塩基配列の名前と一致している必要があります。</w:t>
      </w:r>
    </w:p>
    <w:p>
      <w:pPr>
        <w:pStyle w:val="Heading4"/>
      </w:pPr>
      <w:bookmarkStart w:id="38" w:name="X6f92aa88758fb857af311a69c3667a1203ce354"/>
      <w:r>
        <w:t xml:space="preserve">シーケンサの読み始めになる部分配列(forwardprimer.fasta・reverseprimer.fasta)</w:t>
      </w:r>
      <w:bookmarkEnd w:id="38"/>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9" w:name="X4f4f21bef0b7ceaf74a559b150bea30b3b97810"/>
      <w:r>
        <w:t xml:space="preserve">インデックスとして読まれる部分配列(index1.fasta・index2.fasta)</w:t>
      </w:r>
      <w:bookmarkEnd w:id="39"/>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BodyText"/>
      </w:pPr>
      <w:r>
        <w:t xml:space="preserve">なお、インデックスホッピング除去の機能を使用するためには、</w:t>
      </w:r>
      <w:r>
        <w:rPr>
          <w:b/>
        </w:rPr>
        <w:t xml:space="preserve">シーケンスランに投入された全てのインデックスの情報が必要</w:t>
      </w:r>
      <w:r>
        <w:t xml:space="preserve">です。</w:t>
      </w:r>
      <w:r>
        <w:t xml:space="preserve"> </w:t>
      </w:r>
      <w:r>
        <w:t xml:space="preserve">「ライブラリ調製作業中やシーケンス後に問題が発覚して廃棄することになったサンプル」が存在した場合でも、そのサンプルのデータにはインデックスホッピング除去に使用する情報が含まれています。</w:t>
      </w:r>
      <w:r>
        <w:t xml:space="preserve"> </w:t>
      </w:r>
      <w:r>
        <w:t xml:space="preserve">したがって、そのようなサンプルが存在した場合でも、インデックスホッピング除去が完了するまではデータを廃棄してはいけません。</w:t>
      </w:r>
    </w:p>
    <w:p>
      <w:pPr>
        <w:pStyle w:val="Heading4"/>
      </w:pPr>
      <w:bookmarkStart w:id="40" w:name="未デマルチプレックスfastq"/>
      <w:r>
        <w:t xml:space="preserve">未デマルチプレックスFASTQ</w:t>
      </w:r>
      <w:bookmarkEnd w:id="40"/>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 Convertというプログラムをインストールし、シーケンサのランデータからインデックス配列を含む未デマルチプレックスFASTQを生成する必要があります。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 Convertは下記URLからダウンロードできます。</w:t>
      </w:r>
    </w:p>
    <w:p>
      <w:pPr>
        <w:numPr>
          <w:ilvl w:val="0"/>
          <w:numId w:val="1014"/>
        </w:numPr>
        <w:pStyle w:val="Compact"/>
      </w:pPr>
      <w:hyperlink r:id="rId41">
        <w:r>
          <w:rPr>
            <w:rStyle w:val="Hyperlink"/>
          </w:rPr>
          <w:t xml:space="preserve">https://jp.support.illumina.com/sequencing/sequencing_software/bcl-convert.html</w:t>
        </w:r>
      </w:hyperlink>
    </w:p>
    <w:p>
      <w:pPr>
        <w:pStyle w:val="FirstParagraph"/>
      </w:pPr>
      <w:r>
        <w:t xml:space="preserve">執筆時点での最新版はv4.2.4です。</w:t>
      </w:r>
      <w:r>
        <w:t xml:space="preserve"> </w:t>
      </w:r>
      <w:r>
        <w:t xml:space="preserve">Debian・Ubuntu・Linux MintおよびWindows上にインストールしたUbuntuの場合、(Oracle 8)と書かれている配布ファイルをダウンロードして作業ディレクトリ「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 pstack</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sudo chmod 777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 Convertをインストールする必要があります。</w:t>
      </w:r>
    </w:p>
    <w:p>
      <w:pPr>
        <w:pStyle w:val="BodyText"/>
      </w:pPr>
      <w:r>
        <w:t xml:space="preserve">BCL Convertで未デマルチプレックスFASTQを生成するには、下記の内容の「</w:t>
      </w:r>
      <w:r>
        <w:rPr>
          <w:rStyle w:val="VerbatimChar"/>
        </w:rPr>
        <w:t xml:space="preserve">Dummy.csv</w:t>
      </w:r>
      <w:r>
        <w:t xml:space="preserve">」をテキストエディタで作成します。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w:t>
      </w:r>
    </w:p>
    <w:p>
      <w:pPr>
        <w:pStyle w:val="FirstParagraph"/>
      </w:pPr>
      <w:r>
        <w:t xml:space="preserve">ターミナルで下記のコマンドを実行すれば、テキストエディタがなくても「</w:t>
      </w:r>
      <w:r>
        <w:rPr>
          <w:rStyle w:val="VerbatimChar"/>
        </w:rPr>
        <w:t xml:space="preserve">Dummy.csv</w:t>
      </w:r>
      <w:r>
        <w:t xml:space="preserve">」を作成できます。</w:t>
      </w:r>
    </w:p>
    <w:p>
      <w:pPr>
        <w:pStyle w:val="SourceCode"/>
      </w:pPr>
      <w:r>
        <w:rPr>
          <w:rStyle w:val="NormalTok"/>
        </w:rPr>
        <w:t xml:space="preserve">echo '[Header]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 &gt; Dummy.csv</w:t>
      </w:r>
    </w:p>
    <w:p>
      <w:pPr>
        <w:pStyle w:val="FirstParagraph"/>
      </w:pPr>
      <w:r>
        <w:t xml:space="preserve">これは、8塩基長のデュアルインデックスでフォワード側151サイクル(末尾1塩基破棄)、リバース側151サイクル(末尾1塩基破棄)の場合の設定ファイルですので、インデックス長やサイクル数が異なる場合は適宜変更する必要があります。</w:t>
      </w:r>
      <w:r>
        <w:t xml:space="preserve"> </w:t>
      </w:r>
      <w:r>
        <w:t xml:space="preserve">ダミーのサンプルとして、index1およびindex2が共に</w:t>
      </w:r>
      <w:r>
        <w:rPr>
          <w:rStyle w:val="VerbatimChar"/>
        </w:rPr>
        <w:t xml:space="preserve">CCCCCCCC</w:t>
      </w:r>
      <w:r>
        <w:t xml:space="preserve">の</w:t>
      </w:r>
      <w:r>
        <w:rPr>
          <w:rStyle w:val="VerbatimChar"/>
        </w:rPr>
        <w:t xml:space="preserve">Dummy</w:t>
      </w:r>
      <w:r>
        <w:t xml:space="preserve">というサンプルの行があります。</w:t>
      </w:r>
      <w:r>
        <w:t xml:space="preserve"> </w:t>
      </w:r>
      <w:r>
        <w:t xml:space="preserve">サンプル行が一つもないとエラーになるため、このような行を作成する必要があります。</w:t>
      </w:r>
      <w:r>
        <w:t xml:space="preserve"> </w:t>
      </w:r>
      <w:r>
        <w:t xml:space="preserve">万が一、index1およびindex2が共に</w:t>
      </w:r>
      <w:r>
        <w:rPr>
          <w:rStyle w:val="VerbatimChar"/>
        </w:rPr>
        <w:t xml:space="preserve">CCCCCCCC</w:t>
      </w:r>
      <w:r>
        <w:t xml:space="preserve">のサンプル、index1が</w:t>
      </w:r>
      <w:r>
        <w:rPr>
          <w:rStyle w:val="VerbatimChar"/>
        </w:rPr>
        <w:t xml:space="preserve">CCCCCCCC</w:t>
      </w:r>
      <w:r>
        <w:t xml:space="preserve">のサンプル、index2が</w:t>
      </w:r>
      <w:r>
        <w:rPr>
          <w:rStyle w:val="VerbatimChar"/>
        </w:rPr>
        <w:t xml:space="preserve">CCCCCCCC</w:t>
      </w:r>
      <w:r>
        <w:t xml:space="preserve">のサンプルの</w:t>
      </w:r>
      <w:r>
        <w:rPr>
          <w:b/>
        </w:rPr>
        <w:t xml:space="preserve">いずれか</w:t>
      </w:r>
      <w:r>
        <w:t xml:space="preserve">が実在する場合は適当な配列に書き換えて下さい。</w:t>
      </w:r>
      <w:r>
        <w:t xml:space="preserve"> </w:t>
      </w:r>
      <w:r>
        <w:t xml:space="preserve">index1およびindex2が共に</w:t>
      </w:r>
      <w:r>
        <w:rPr>
          <w:rStyle w:val="VerbatimChar"/>
        </w:rPr>
        <w:t xml:space="preserve">CCCCCCCC</w:t>
      </w:r>
      <w:r>
        <w:t xml:space="preserve">のサンプルが実在しないのにサンプル</w:t>
      </w:r>
      <w:r>
        <w:rPr>
          <w:rStyle w:val="VerbatimChar"/>
        </w:rPr>
        <w:t xml:space="preserve">Dummy</w:t>
      </w:r>
      <w:r>
        <w:t xml:space="preserve">のFASTQにいくらかデータが出力されることがありますが、index1およびindex2が共に</w:t>
      </w:r>
      <w:r>
        <w:rPr>
          <w:rStyle w:val="VerbatimChar"/>
        </w:rPr>
        <w:t xml:space="preserve">CCCCCCCC</w:t>
      </w:r>
      <w:r>
        <w:t xml:space="preserve">のサンプルが本当に実在しないのなら、シーケンスエラーによるものなので問題はありません。</w:t>
      </w:r>
      <w:r>
        <w:t xml:space="preserve"> </w:t>
      </w:r>
      <w:r>
        <w:t xml:space="preserve">なお、インデックスの長さが8塩基ではない場合は、</w:t>
      </w:r>
      <w:r>
        <w:rPr>
          <w:rStyle w:val="VerbatimChar"/>
        </w:rPr>
        <w:t xml:space="preserve">OverrideCycles</w:t>
      </w:r>
      <w:r>
        <w:t xml:space="preserve">の行と</w:t>
      </w:r>
      <w:r>
        <w:rPr>
          <w:rStyle w:val="VerbatimChar"/>
        </w:rPr>
        <w:t xml:space="preserve">CCCCCCCC</w:t>
      </w:r>
      <w:r>
        <w:t xml:space="preserve">は書き換える必要があります。</w:t>
      </w:r>
      <w:r>
        <w:t xml:space="preserve"> </w:t>
      </w:r>
      <w:r>
        <w:t xml:space="preserve">例えば10塩基長のデュアルインデックスでフォワード側301サイクル(末尾1塩基破棄)、リバース側301サイクル(末尾1塩基破棄)の場合、</w:t>
      </w:r>
      <w:r>
        <w:rPr>
          <w:rStyle w:val="VerbatimChar"/>
        </w:rPr>
        <w:t xml:space="preserve">OverrideCycles,Y300N1;I10;I10;Y300N1</w:t>
      </w:r>
      <w:r>
        <w:t xml:space="preserve">および</w:t>
      </w:r>
      <w:r>
        <w:rPr>
          <w:rStyle w:val="VerbatimChar"/>
        </w:rPr>
        <w:t xml:space="preserve">CCCCCCCCCC</w:t>
      </w:r>
      <w:r>
        <w:t xml:space="preserve">とします。</w:t>
      </w:r>
    </w:p>
    <w:p>
      <w:pPr>
        <w:pStyle w:val="BodyText"/>
      </w:pPr>
      <w:r>
        <w:t xml:space="preserve">FASTQ生成の際にこのファイルを</w:t>
      </w:r>
      <w:r>
        <w:rPr>
          <w:rStyle w:val="VerbatimChar"/>
        </w:rPr>
        <w:t xml:space="preserve">--sample-sheet</w:t>
      </w:r>
      <w:r>
        <w:t xml:space="preserve">に指定することで、BCL Convertに内蔵されているデマルチプレックス機能を無効化し、未デマルチプレックスFASTQを作成することができます。</w:t>
      </w:r>
      <w:r>
        <w:t xml:space="preserve"> </w:t>
      </w:r>
      <w:r>
        <w:t xml:space="preserve">以下のコマンドでは、未デマルチプレックスFASTQを「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--sample-sheet Dummy.csv \</w:t>
      </w:r>
      <w:r>
        <w:br/>
      </w:r>
      <w:r>
        <w:rPr>
          <w:rStyle w:val="NormalTok"/>
        </w:rPr>
        <w:t xml:space="preserve">--bcl-input-directory RunDataDirectory \</w:t>
      </w:r>
      <w:r>
        <w:br/>
      </w:r>
      <w:r>
        <w:rPr>
          <w:rStyle w:val="NormalTok"/>
        </w:rPr>
        <w:t xml:space="preserve">--output-directory 01_undemultiplexed</w:t>
      </w:r>
    </w:p>
    <w:p>
      <w:pPr>
        <w:pStyle w:val="FirstParagraph"/>
      </w:pPr>
      <w:r>
        <w:t xml:space="preserve">ここで、RunDataDirectoryは、シーケンサ本体、またはシーケンサに付属の解析マシンに保存されている、シーケンスランのデータが保存されているディレクトリです。</w:t>
      </w:r>
      <w:r>
        <w:t xml:space="preserve"> </w:t>
      </w:r>
      <w:r>
        <w:t xml:space="preserve">通常は「</w:t>
      </w:r>
      <w:r>
        <w:rPr>
          <w:rStyle w:val="VerbatimChar"/>
        </w:rPr>
        <w:t xml:space="preserve">Data</w:t>
      </w:r>
      <w:r>
        <w:t xml:space="preserve">」というディレクトリが含まれているはずです。</w:t>
      </w:r>
      <w:r>
        <w:t xml:space="preserve"> </w:t>
      </w:r>
      <w:r>
        <w:t xml:space="preserve">このディレクトリを予めBCL Convertをインストールしたマシンにコピーしておく必要があります。</w:t>
      </w:r>
      <w:r>
        <w:t xml:space="preserve"> </w:t>
      </w:r>
      <w:r>
        <w:t xml:space="preserve">なお、使用するCPU数はデフォルトで自動的に決定されます(搭載されている全CPUを使用します)。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Dummy.csv</w:t>
      </w:r>
      <w:r>
        <w:t xml:space="preserve">」の</w:t>
      </w:r>
      <w:r>
        <w:rPr>
          <w:rStyle w:val="VerbatimChar"/>
        </w:rPr>
        <w:t xml:space="preserve">[BCLConvert_Data]</w:t>
      </w:r>
      <w:r>
        <w:t xml:space="preserve">セクションに記述するサンプルは下記のようにレーン数に合わせて増やす必要があります。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1,Dummy1,CCCCCCCC,CCCCCCCC</w:t>
      </w:r>
      <w:r>
        <w:br/>
      </w:r>
      <w:r>
        <w:rPr>
          <w:rStyle w:val="NormalTok"/>
        </w:rPr>
        <w:t xml:space="preserve">2,Dummy2,CCCCCCCC,CCCCCCCC</w:t>
      </w:r>
      <w:r>
        <w:br/>
      </w:r>
      <w:r>
        <w:rPr>
          <w:rStyle w:val="NormalTok"/>
        </w:rPr>
        <w:t xml:space="preserve">3,Dummy3,CCCCCCCC,CCCCCCCC</w:t>
      </w:r>
      <w:r>
        <w:br/>
      </w:r>
      <w:r>
        <w:rPr>
          <w:rStyle w:val="NormalTok"/>
        </w:rPr>
        <w:t xml:space="preserve">4,Dummy4,CCCCCCCC,CCCCCCCC</w:t>
      </w:r>
    </w:p>
    <w:p>
      <w:pPr>
        <w:pStyle w:val="FirstParagraph"/>
      </w:pPr>
      <w:r>
        <w:t xml:space="preserve">また、</w:t>
      </w:r>
      <w:r>
        <w:rPr>
          <w:rStyle w:val="VerbatimChar"/>
        </w:rPr>
        <w:t xml:space="preserve">--bcl-only-lane</w:t>
      </w:r>
      <w:r>
        <w:t xml:space="preserve">オプションを使用することで、特定のレーンのみのデータから未デマルチプレックスFASTQを生成できます。</w:t>
      </w:r>
      <w:r>
        <w:t xml:space="preserve"> </w:t>
      </w:r>
      <w:r>
        <w:t xml:space="preserve">1番目のレーンのデータだけを未デマルチプレックスFASTQにする場合、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上述の通りにBCL Convertを実行すると、サンプル</w:t>
      </w:r>
      <w:r>
        <w:rPr>
          <w:rStyle w:val="VerbatimChar"/>
        </w:rPr>
        <w:t xml:space="preserve">Dummy</w:t>
      </w:r>
      <w:r>
        <w:t xml:space="preserve">のファイル以外に以下の4ファイルが生成されます(第1レーンのみ出力した場合)。</w:t>
      </w:r>
    </w:p>
    <w:p>
      <w:pPr>
        <w:pStyle w:val="DefinitionTerm"/>
      </w:pPr>
      <w:r>
        <w:t xml:space="preserve">Undetermined_S0_L001_I1_001.fastq.gz</w:t>
      </w:r>
    </w:p>
    <w:p>
      <w:pPr>
        <w:pStyle w:val="Definition"/>
      </w:pPr>
      <w:r>
        <w:t xml:space="preserve">index1の未デマルチプレックスFASTQ (長さ8塩基)</w:t>
      </w:r>
    </w:p>
    <w:p>
      <w:pPr>
        <w:pStyle w:val="DefinitionTerm"/>
      </w:pPr>
      <w:r>
        <w:t xml:space="preserve">Undetermined_S0_L001_I2_001.fastq.gz</w:t>
      </w:r>
    </w:p>
    <w:p>
      <w:pPr>
        <w:pStyle w:val="Definition"/>
      </w:pPr>
      <w:r>
        <w:t xml:space="preserve">index2の未デマルチプレックスFASTQ (長さ8塩基)</w:t>
      </w:r>
    </w:p>
    <w:p>
      <w:pPr>
        <w:pStyle w:val="DefinitionTerm"/>
      </w:pPr>
      <w:r>
        <w:t xml:space="preserve">Undetermined_S0_L001_R1_001.fastq.gz</w:t>
      </w:r>
    </w:p>
    <w:p>
      <w:pPr>
        <w:pStyle w:val="Definition"/>
      </w:pPr>
      <w:r>
        <w:t xml:space="preserve">インサートのフォワード側リードの未デマルチプレックスFASTQ (長さ150塩基)</w:t>
      </w:r>
    </w:p>
    <w:p>
      <w:pPr>
        <w:pStyle w:val="DefinitionTerm"/>
      </w:pPr>
      <w:r>
        <w:t xml:space="preserve">Undetermined_S0_L001_R2_001.fastq.gz</w:t>
      </w:r>
    </w:p>
    <w:p>
      <w:pPr>
        <w:pStyle w:val="Definition"/>
      </w:pPr>
      <w:r>
        <w:t xml:space="preserve">インサートのリバース側リードの未デマルチプレックスFASTQ (長さ150塩基)</w:t>
      </w:r>
    </w:p>
    <w:p>
      <w:pPr>
        <w:pStyle w:val="FirstParagraph"/>
      </w:pPr>
      <w:r>
        <w:t xml:space="preserve">ファイル名のうち、「</w:t>
      </w:r>
      <w:r>
        <w:rPr>
          <w:rStyle w:val="VerbatimChar"/>
        </w:rPr>
        <w:t xml:space="preserve">L001</w:t>
      </w:r>
      <w:r>
        <w:t xml:space="preserve">」がレーン番号を表していますので、第2レーン以降を出力した場合はファイル名が異なります。</w:t>
      </w:r>
    </w:p>
    <w:p>
      <w:pPr>
        <w:pStyle w:val="Heading4"/>
      </w:pPr>
      <w:bookmarkStart w:id="42" w:name="ディレクトリ構造"/>
      <w:r>
        <w:t xml:space="preserve">ディレクトリ構造</w:t>
      </w:r>
      <w:bookmarkEnd w:id="42"/>
    </w:p>
    <w:p>
      <w:pPr>
        <w:pStyle w:val="FirstParagraph"/>
      </w:pPr>
      <w:r>
        <w:t xml:space="preserve">Claidentでの解析開始前の作業ディレクトリ内のファイルとディレクトリは以下の通りです。</w:t>
      </w:r>
    </w:p>
    <w:p>
      <w:pPr>
        <w:numPr>
          <w:ilvl w:val="0"/>
          <w:numId w:val="1015"/>
        </w:numPr>
        <w:pStyle w:val="Compact"/>
      </w:pPr>
      <w:r>
        <w:t xml:space="preserve">作業ディレクトリ</w:t>
      </w:r>
    </w:p>
    <w:p>
      <w:pPr>
        <w:numPr>
          <w:ilvl w:val="1"/>
          <w:numId w:val="1016"/>
        </w:numPr>
        <w:pStyle w:val="Compact"/>
      </w:pPr>
      <w:r>
        <w:t xml:space="preserve">blanklist.txt</w:t>
      </w:r>
    </w:p>
    <w:p>
      <w:pPr>
        <w:numPr>
          <w:ilvl w:val="1"/>
          <w:numId w:val="1016"/>
        </w:numPr>
        <w:pStyle w:val="Compact"/>
      </w:pPr>
      <w:r>
        <w:t xml:space="preserve">watervoltable.tsv</w:t>
      </w:r>
    </w:p>
    <w:p>
      <w:pPr>
        <w:numPr>
          <w:ilvl w:val="1"/>
          <w:numId w:val="1016"/>
        </w:numPr>
        <w:pStyle w:val="Compact"/>
      </w:pPr>
      <w:r>
        <w:t xml:space="preserve">solutionvoltable.tsv</w:t>
      </w:r>
    </w:p>
    <w:p>
      <w:pPr>
        <w:numPr>
          <w:ilvl w:val="1"/>
          <w:numId w:val="1016"/>
        </w:numPr>
        <w:pStyle w:val="Compact"/>
      </w:pPr>
      <w:r>
        <w:t xml:space="preserve">standard.fasta</w:t>
      </w:r>
    </w:p>
    <w:p>
      <w:pPr>
        <w:numPr>
          <w:ilvl w:val="1"/>
          <w:numId w:val="1016"/>
        </w:numPr>
        <w:pStyle w:val="Compact"/>
      </w:pPr>
      <w:r>
        <w:t xml:space="preserve">stdconctable.tsv</w:t>
      </w:r>
    </w:p>
    <w:p>
      <w:pPr>
        <w:numPr>
          <w:ilvl w:val="1"/>
          <w:numId w:val="1016"/>
        </w:numPr>
        <w:pStyle w:val="Compact"/>
      </w:pPr>
      <w:r>
        <w:t xml:space="preserve">forwardprimer.fasta</w:t>
      </w:r>
    </w:p>
    <w:p>
      <w:pPr>
        <w:numPr>
          <w:ilvl w:val="1"/>
          <w:numId w:val="1016"/>
        </w:numPr>
        <w:pStyle w:val="Compact"/>
      </w:pPr>
      <w:r>
        <w:t xml:space="preserve">reverseprimer.fasta</w:t>
      </w:r>
    </w:p>
    <w:p>
      <w:pPr>
        <w:numPr>
          <w:ilvl w:val="1"/>
          <w:numId w:val="1016"/>
        </w:numPr>
        <w:pStyle w:val="Compact"/>
      </w:pPr>
      <w:r>
        <w:t xml:space="preserve">index1.fasta</w:t>
      </w:r>
    </w:p>
    <w:p>
      <w:pPr>
        <w:numPr>
          <w:ilvl w:val="1"/>
          <w:numId w:val="1016"/>
        </w:numPr>
        <w:pStyle w:val="Compact"/>
      </w:pPr>
      <w:r>
        <w:t xml:space="preserve">index2.fasta</w:t>
      </w:r>
    </w:p>
    <w:p>
      <w:pPr>
        <w:numPr>
          <w:ilvl w:val="1"/>
          <w:numId w:val="1016"/>
        </w:numPr>
        <w:pStyle w:val="Compact"/>
      </w:pPr>
      <w:r>
        <w:t xml:space="preserve">01_undemultiplexed (ディレクトリ)</w:t>
      </w:r>
    </w:p>
    <w:p>
      <w:pPr>
        <w:numPr>
          <w:ilvl w:val="2"/>
          <w:numId w:val="1017"/>
        </w:numPr>
        <w:pStyle w:val="Compact"/>
      </w:pPr>
      <w:r>
        <w:t xml:space="preserve">Undetermined_S0_L001_I1_001.fastq.gz</w:t>
      </w:r>
    </w:p>
    <w:p>
      <w:pPr>
        <w:numPr>
          <w:ilvl w:val="2"/>
          <w:numId w:val="1017"/>
        </w:numPr>
        <w:pStyle w:val="Compact"/>
      </w:pPr>
      <w:r>
        <w:t xml:space="preserve">Undetermined_S0_L001_I2_001.fastq.gz</w:t>
      </w:r>
    </w:p>
    <w:p>
      <w:pPr>
        <w:numPr>
          <w:ilvl w:val="2"/>
          <w:numId w:val="1017"/>
        </w:numPr>
        <w:pStyle w:val="Compact"/>
      </w:pPr>
      <w:r>
        <w:t xml:space="preserve">Undetermined_S0_L001_R1_001.fastq.gz</w:t>
      </w:r>
    </w:p>
    <w:p>
      <w:pPr>
        <w:numPr>
          <w:ilvl w:val="2"/>
          <w:numId w:val="1017"/>
        </w:numPr>
        <w:pStyle w:val="Compact"/>
      </w:pPr>
      <w:r>
        <w:t xml:space="preserve">Undetermined_S0_L001_R2_001.fastq.gz</w:t>
      </w:r>
    </w:p>
    <w:p>
      <w:pPr>
        <w:pStyle w:val="Heading2"/>
      </w:pPr>
      <w:bookmarkStart w:id="43" w:name="塩基配列データ処理"/>
      <w:r>
        <w:t xml:space="preserve">塩基配列データ処理</w:t>
      </w:r>
      <w:bookmarkEnd w:id="43"/>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w:t>
      </w:r>
      <w:r>
        <w:rPr>
          <w:rStyle w:val="VerbatimChar"/>
        </w:rPr>
        <w:t xml:space="preserve">NumberOfCPUcores</w:t>
      </w:r>
      <w:r>
        <w:t xml:space="preserve">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4" w:name="clsplitseqによるデマルチプレックス"/>
      <w:r>
        <w:t xml:space="preserve">clsplitseqによるデマルチプレックス</w:t>
      </w:r>
      <w:bookmarkEnd w:id="44"/>
    </w:p>
    <w:p>
      <w:pPr>
        <w:pStyle w:val="FirstParagraph"/>
      </w:pPr>
      <w:r>
        <w:t xml:space="preserve">デマルチプレックスを行うには、以下のコマンドを実行します。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01_undemultiplexed/Undetermined_S0_L001_R1_001.fastq.gz \</w:t>
      </w:r>
      <w:r>
        <w:br/>
      </w:r>
      <w:r>
        <w:rPr>
          <w:rStyle w:val="NormalTok"/>
        </w:rPr>
        <w:t xml:space="preserve">01_undemultiplexed/Undetermined_S0_L001_I1_001.fastq.gz \</w:t>
      </w:r>
      <w:r>
        <w:br/>
      </w:r>
      <w:r>
        <w:rPr>
          <w:rStyle w:val="NormalTok"/>
        </w:rPr>
        <w:t xml:space="preserve">01_undemultiplexed/Undetermined_S0_L001_I2_001.fastq.gz \</w:t>
      </w:r>
      <w:r>
        <w:br/>
      </w:r>
      <w:r>
        <w:rPr>
          <w:rStyle w:val="NormalTok"/>
        </w:rPr>
        <w:t xml:space="preserve">01_undemultiplexed/Undetermined_S0_L001_R2_001.fastq.gz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8"/>
        </w:numPr>
        <w:pStyle w:val="Compact"/>
      </w:pPr>
      <w:r>
        <w:t xml:space="preserve">インサートのフォワード側リードの未デマルチプレックスFASTQ</w:t>
      </w:r>
    </w:p>
    <w:p>
      <w:pPr>
        <w:numPr>
          <w:ilvl w:val="0"/>
          <w:numId w:val="1018"/>
        </w:numPr>
        <w:pStyle w:val="Compact"/>
      </w:pPr>
      <w:r>
        <w:t xml:space="preserve">index1の未デマルチプレックスFASTQ</w:t>
      </w:r>
    </w:p>
    <w:p>
      <w:pPr>
        <w:numPr>
          <w:ilvl w:val="0"/>
          <w:numId w:val="1018"/>
        </w:numPr>
        <w:pStyle w:val="Compact"/>
      </w:pPr>
      <w:r>
        <w:t xml:space="preserve">index2の未デマルチプレックスFASTQ</w:t>
      </w:r>
    </w:p>
    <w:p>
      <w:pPr>
        <w:numPr>
          <w:ilvl w:val="0"/>
          <w:numId w:val="1018"/>
        </w:numPr>
        <w:pStyle w:val="Compact"/>
      </w:pPr>
      <w:r>
        <w:t xml:space="preserve">インサートのリバース側リードの未デマルチプレックスFASTQ</w:t>
      </w:r>
    </w:p>
    <w:p>
      <w:pPr>
        <w:pStyle w:val="FirstParagraph"/>
      </w:pPr>
      <w:r>
        <w:t xml:space="preserve">これは、Illumina社シーケンサが解読する順になっています。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BodyText"/>
      </w:pPr>
      <w:r>
        <w:t xml:space="preserve">なお、未デマルチプレックスFASTQが手元になく、デマルチプレックス済FASTQしかない場合、</w:t>
      </w:r>
      <w:r>
        <w:rPr>
          <w:rStyle w:val="VerbatimChar"/>
        </w:rPr>
        <w:t xml:space="preserve">cltruncprimer</w:t>
      </w:r>
      <w:r>
        <w:t xml:space="preserve">が使用できます。</w:t>
      </w:r>
      <w:r>
        <w:t xml:space="preserve"> </w:t>
      </w:r>
      <w:r>
        <w:rPr>
          <w:rStyle w:val="VerbatimChar"/>
        </w:rPr>
        <w:t xml:space="preserve">--minqualtag</w:t>
      </w:r>
      <w:r>
        <w:t xml:space="preserve">オプションが無効(書いても構わないが影響しない)、入力はデマルチプレックス済FASTQを置いているフォルダにする、という点以外は</w:t>
      </w:r>
      <w:r>
        <w:rPr>
          <w:rStyle w:val="VerbatimChar"/>
        </w:rPr>
        <w:t xml:space="preserve">clsplitseq</w:t>
      </w:r>
      <w:r>
        <w:t xml:space="preserve">コマンドと使用方法は同じです。</w:t>
      </w:r>
      <w:r>
        <w:t xml:space="preserve"> </w:t>
      </w:r>
      <w:r>
        <w:t xml:space="preserve">ただし、インデックス配列ファイル内のMaterialIDがデマルチプレックス済FASTQのファイル名に含まれている必要があります。</w:t>
      </w:r>
      <w:r>
        <w:t xml:space="preserve"> </w:t>
      </w:r>
      <w:r>
        <w:t xml:space="preserve">デマルチプレックス済FASTQは「未使用のインデックスの組み合わせ」の塩基配列は全て破棄されているためインデックスホッピングの検出には対応できません。</w:t>
      </w:r>
      <w:r>
        <w:t xml:space="preserve"> </w:t>
      </w:r>
      <w:r>
        <w:t xml:space="preserve">予め「未使用のインデックスの組み合わせ」の塩基配列を保存してあっても、Claidentが「未使用のインデックスの組み合わせ」を「未使用のインデックスの組み合わせ」として認識させる方法が存在しませんので、対応は不可能です。</w:t>
      </w:r>
    </w:p>
    <w:p>
      <w:pPr>
        <w:pStyle w:val="BodyText"/>
      </w:pPr>
      <w:r>
        <w:t xml:space="preserve">また、</w:t>
      </w:r>
      <w:r>
        <w:rPr>
          <w:rStyle w:val="VerbatimChar"/>
        </w:rPr>
        <w:t xml:space="preserve">clsplitseq</w:t>
      </w:r>
      <w:r>
        <w:t xml:space="preserve">でデマルチプレックスを行った場合でも、各サンプルごとに「片方のインデックスを共有する、未使用のインデックスの組み合わせ」が10以上になるようなライブラリ調製を行っていない場合、インデックスホッピング除去は適用できません。</w:t>
      </w:r>
      <w:r>
        <w:t xml:space="preserve"> </w:t>
      </w:r>
      <w:r>
        <w:t xml:space="preserve">インデックスホッピング除去を適用するには、各サンプルごとに「片方のインデックスを共有する、未使用のインデックスの組み合わせ」が10以上になるライブラリ調製と、1ランまたは1レーン専有でのシーケンス、</w:t>
      </w:r>
      <w:r>
        <w:rPr>
          <w:rStyle w:val="VerbatimChar"/>
        </w:rPr>
        <w:t xml:space="preserve">clsplitseq</w:t>
      </w:r>
      <w:r>
        <w:t xml:space="preserve">によるデマルチプレックスを行うこと、を全て満たす必要があります。</w:t>
      </w:r>
    </w:p>
    <w:p>
      <w:pPr>
        <w:pStyle w:val="Heading3"/>
      </w:pPr>
      <w:bookmarkStart w:id="45" w:name="clconcatpairvによるペアエンド配列の連結"/>
      <w:r>
        <w:t xml:space="preserve">clconcatpairvによるペアエンド配列の連結</w:t>
      </w:r>
      <w:bookmarkEnd w:id="45"/>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6" w:name="clfilterseqvによる低品質配列の除去"/>
      <w:r>
        <w:t xml:space="preserve">clfilterseqvによる低品質配列の除去</w:t>
      </w:r>
      <w:bookmarkEnd w:id="46"/>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&amp;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7" w:name="cldenoiseseqdによるデノイジング"/>
      <w:r>
        <w:t xml:space="preserve">cldenoiseseqdによるデノイジング</w:t>
      </w:r>
      <w:bookmarkEnd w:id="47"/>
    </w:p>
    <w:p>
      <w:pPr>
        <w:pStyle w:val="FirstParagraph"/>
      </w:pPr>
      <w:r>
        <w:t xml:space="preserve">以下のコマンドでDADA2</w:t>
      </w:r>
      <w:r>
        <w:t xml:space="preserve"> </w:t>
      </w:r>
      <w:r>
        <w:t xml:space="preserve">(Callahan</w:t>
      </w:r>
      <w:r>
        <w:t xml:space="preserve"> </w:t>
      </w:r>
      <w:r>
        <w:rPr>
          <w:i/>
        </w:rPr>
        <w:t xml:space="preserve">et al.</w:t>
      </w:r>
      <w:r>
        <w:t xml:space="preserve"> </w:t>
      </w:r>
      <w:r>
        <w:t xml:space="preserve">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8" w:name="clremovechimevによる参照配列データベースを用いないキメラ除去"/>
      <w:r>
        <w:t xml:space="preserve">clremovechimevによる参照配列データベースを用いないキメラ除去</w:t>
      </w:r>
      <w:bookmarkEnd w:id="48"/>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--mode=denovo \</w:t>
      </w:r>
      <w:r>
        <w:br/>
      </w:r>
      <w:r>
        <w:rPr>
          <w:rStyle w:val="NormalTok"/>
        </w:rPr>
        <w:t xml:space="preserve">--uchimedenovo=3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--mode=denovo</w:t>
      </w:r>
      <w:r>
        <w:t xml:space="preserve">というのは参照配列データベースを用いないキメラ除去モードのことを指します。</w:t>
      </w:r>
      <w:r>
        <w:t xml:space="preserve"> </w:t>
      </w:r>
      <w:r>
        <w:t xml:space="preserve">UCHIME de novoは多少内容の異なる3つのバージョンがありますが、デノイジングした塩基配列に対して最適化されているのはUCHIME3なので、それを選択しています。</w:t>
      </w:r>
    </w:p>
    <w:p>
      <w:pPr>
        <w:pStyle w:val="Heading3"/>
      </w:pPr>
      <w:bookmarkStart w:id="49" w:name="clclusterstdvによる内部標準配列クラスタリング"/>
      <w:r>
        <w:t xml:space="preserve">clclusterstdvによる内部標準配列クラスタリング</w:t>
      </w:r>
      <w:bookmarkEnd w:id="49"/>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判断が難しい場合は、値を0.90～0.97の範囲で0.01間隔で変化させ、内部標準DNAと判定されるリード数が急激に変化するところを探し、変化点の小さい方に設定します。</w:t>
      </w:r>
      <w:r>
        <w:t xml:space="preserve"> </w:t>
      </w:r>
      <w:r>
        <w:t xml:space="preserve">内部標準DNAと判定されるリード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BodyText"/>
      </w:pPr>
      <w:r>
        <w:t xml:space="preserve">なお、内部標準DNAを混合してPCRするライブラリ調製を行っていない場合はこの処理は飛ばします。</w:t>
      </w:r>
    </w:p>
    <w:p>
      <w:pPr>
        <w:pStyle w:val="Heading3"/>
      </w:pPr>
      <w:bookmarkStart w:id="50" w:name="clremovechimevによる参照配列データベースを用いたキメラ除去"/>
      <w:r>
        <w:t xml:space="preserve">clremovechimevによる参照配列データベースを用いたキメラ除去</w:t>
      </w:r>
      <w:bookmarkEnd w:id="50"/>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に実装されているUCHIMEアルゴリズム</w:t>
      </w:r>
      <w:r>
        <w:t xml:space="preserve"> </w:t>
      </w:r>
      <w:r>
        <w:t xml:space="preserve">(Edgar</w:t>
      </w:r>
      <w:r>
        <w:t xml:space="preserve"> </w:t>
      </w:r>
      <w:r>
        <w:rPr>
          <w:i/>
        </w:rPr>
        <w:t xml:space="preserve">et al.</w:t>
      </w:r>
      <w:r>
        <w:t xml:space="preserve"> </w:t>
      </w:r>
      <w:r>
        <w:t xml:space="preserve">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Claidentのインストーラで自動インストールされる参照配列データベースは以下の通りです。</w:t>
      </w:r>
    </w:p>
    <w:p>
      <w:pPr>
        <w:pStyle w:val="DefinitionTerm"/>
      </w:pPr>
      <w:r>
        <w:t xml:space="preserve">rdpgoldv9</w:t>
      </w:r>
    </w:p>
    <w:p>
      <w:pPr>
        <w:pStyle w:val="Definition"/>
      </w:pPr>
      <w:r>
        <w:t xml:space="preserve">細菌16S用</w:t>
      </w:r>
    </w:p>
    <w:p>
      <w:pPr>
        <w:pStyle w:val="DefinitionTerm"/>
      </w:pPr>
      <w:r>
        <w:t xml:space="preserve">dairydb3.0.0</w:t>
      </w:r>
    </w:p>
    <w:p>
      <w:pPr>
        <w:pStyle w:val="Definition"/>
      </w:pPr>
      <w:r>
        <w:t xml:space="preserve">細菌16S用</w:t>
      </w:r>
    </w:p>
    <w:p>
      <w:pPr>
        <w:pStyle w:val="DefinitionTerm"/>
      </w:pPr>
      <w:r>
        <w:t xml:space="preserve">unite20170628, unite20170628untrim, unite20170628its1, unite20170628its2</w:t>
      </w:r>
    </w:p>
    <w:p>
      <w:pPr>
        <w:pStyle w:val="Definition"/>
      </w:pPr>
      <w:r>
        <w:t xml:space="preserve">真菌ITS用</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r>
        <w:t xml:space="preserve"> </w:t>
      </w: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BodyText"/>
      </w:pPr>
      <w:r>
        <w:t xml:space="preserve">参照配列データベースに適したものがない場合はこの処理は飛ばします。</w:t>
      </w:r>
      <w:r>
        <w:t xml:space="preserve"> </w:t>
      </w:r>
      <w:r>
        <w:t xml:space="preserve">ただし、参照配列データベースに適したものがないものの内部標準DNAを混合してPCRするライブラリ調製を行っている場合は、内部標準DNAと判定された配列群(「</w:t>
      </w:r>
      <w:r>
        <w:rPr>
          <w:rStyle w:val="VerbatimChar"/>
        </w:rPr>
        <w:t xml:space="preserve">07_stdclustered/stdvariations.fasta</w:t>
      </w:r>
      <w:r>
        <w:t xml:space="preserve">」に含まれている)を参照配列データベースに指定してキメラ除去を行って下さい。</w:t>
      </w:r>
    </w:p>
    <w:p>
      <w:pPr>
        <w:pStyle w:val="Heading3"/>
      </w:pPr>
      <w:bookmarkStart w:id="51" w:name="clremovecontamによるインデックスホッピング除去"/>
      <w:r>
        <w:t xml:space="preserve">clremovecontamによるインデックスホッピング除去</w:t>
      </w:r>
      <w:bookmarkEnd w:id="51"/>
    </w:p>
    <w:p>
      <w:pPr>
        <w:pStyle w:val="FirstParagraph"/>
      </w:pPr>
      <w:r>
        <w:t xml:space="preserve">以下のコマンドで、</w:t>
      </w:r>
      <w:r>
        <w:t xml:space="preserve"> </w:t>
      </w:r>
      <w:r>
        <w:t xml:space="preserve">Esling</w:t>
      </w:r>
      <w:r>
        <w:t xml:space="preserve"> </w:t>
      </w:r>
      <w:r>
        <w:rPr>
          <w:i/>
        </w:rPr>
        <w:t xml:space="preserve">et al.</w:t>
      </w:r>
      <w:r>
        <w:t xml:space="preserve"> </w:t>
      </w:r>
      <w:r>
        <w:t xml:space="preserve">(2015)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--ignoresamplelist=blanklist.txt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--ignoresamplelist</w:t>
      </w:r>
    </w:p>
    <w:p>
      <w:pPr>
        <w:pStyle w:val="Definition"/>
      </w:pPr>
      <w:r>
        <w:t xml:space="preserve">インデックスホッピング除去の対象外にするサンプルIDリストを記したテキストファイル</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BodyText"/>
      </w:pPr>
      <w:r>
        <w:t xml:space="preserve">なお、ブランクからインデックスホッピングを除去してしまうと、次節で行うネガティブコントロールを利用したデコンタミネーションの際に使用する情報が失われてしまい支障を来すため、</w:t>
      </w:r>
      <w:r>
        <w:rPr>
          <w:rStyle w:val="VerbatimChar"/>
        </w:rPr>
        <w:t xml:space="preserve">--ignoresamplelist</w:t>
      </w:r>
      <w:r>
        <w:t xml:space="preserve">を使用して処理の対象外とします。</w:t>
      </w:r>
    </w:p>
    <w:p>
      <w:pPr>
        <w:pStyle w:val="BodyText"/>
      </w:pPr>
      <w:r>
        <w:t xml:space="preserve">インデックスホッピング除去の要件を満たしていない場合はこの処理は飛ばします。</w:t>
      </w:r>
    </w:p>
    <w:p>
      <w:pPr>
        <w:pStyle w:val="Heading3"/>
      </w:pPr>
      <w:bookmarkStart w:id="52" w:name="Xa289b86ea08d3f3d275e124ff6c56b49de31ee7"/>
      <w:r>
        <w:t xml:space="preserve">clremovecontamとネガティブコントロールを利用したデコンタミネーション</w:t>
      </w:r>
      <w:bookmarkEnd w:id="52"/>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--ignoreotuseq=standard.fasta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--ignoreotuseq</w:t>
      </w:r>
    </w:p>
    <w:p>
      <w:pPr>
        <w:pStyle w:val="Definition"/>
      </w:pPr>
      <w:r>
        <w:t xml:space="preserve">デコンタミネーションの対象外にするOTUリストを記したテキストファイル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滅多に起きることはありませんが、内部標準配列が誤って除去されることを防ぐため、上記の例では内部標準配列をデコンタミネーションの対象外とするように</w:t>
      </w:r>
      <w:r>
        <w:rPr>
          <w:rStyle w:val="VerbatimChar"/>
        </w:rPr>
        <w:t xml:space="preserve">--ignoreotuseq</w:t>
      </w:r>
      <w:r>
        <w:t xml:space="preserve">を使用しています。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r>
        <w:t xml:space="preserve"> </w:t>
      </w:r>
      <w:r>
        <w:t xml:space="preserve">また、複数のシーケンスランの結果をまとめて解析を行いたい場合にも、ここまでの結果を</w:t>
      </w:r>
      <w:r>
        <w:rPr>
          <w:rStyle w:val="VerbatimChar"/>
        </w:rPr>
        <w:t xml:space="preserve">clclassseqv</w:t>
      </w:r>
      <w:r>
        <w:t xml:space="preserve">を用いて統合することができます。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3" w:name="分子同定"/>
      <w:r>
        <w:t xml:space="preserve">分子同定</w:t>
      </w:r>
      <w:bookmarkEnd w:id="53"/>
    </w:p>
    <w:p>
      <w:pPr>
        <w:pStyle w:val="FirstParagraph"/>
      </w:pPr>
      <w:r>
        <w:t xml:space="preserve">ここでは、QCauto法と95%-3NN法</w:t>
      </w:r>
      <w:r>
        <w:t xml:space="preserve"> </w:t>
      </w:r>
      <w:r>
        <w:t xml:space="preserve">(Tanabe &amp;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4" w:name="分子同定用参照配列データベース"/>
      <w:r>
        <w:t xml:space="preserve">分子同定用参照配列データベース</w:t>
      </w:r>
      <w:bookmarkEnd w:id="54"/>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animals_COX1</w:t>
      </w:r>
    </w:p>
    <w:p>
      <w:pPr>
        <w:pStyle w:val="Definition"/>
      </w:pPr>
      <w:r>
        <w:t xml:space="preserve">動物COX1(COI)</w:t>
      </w:r>
    </w:p>
    <w:p>
      <w:pPr>
        <w:pStyle w:val="DefinitionTerm"/>
      </w:pPr>
      <w:r>
        <w:t xml:space="preserve">animals_mt</w:t>
      </w:r>
    </w:p>
    <w:p>
      <w:pPr>
        <w:pStyle w:val="Definition"/>
      </w:pPr>
      <w:r>
        <w:t xml:space="preserve">動物ミトコンドリアゲノム</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植物葉緑体ゲノム</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そのような場合、動物以外の配列やミトコンドリアゲノム以外の配列は同定できなくなりますが、animals_mt_species_wspが良いでしょう。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5" w:name="clmakecachedbによるキャッシュデータベースの生成"/>
      <w:r>
        <w:t xml:space="preserve">clmakecachedbによるキャッシュデータベースの生成</w:t>
      </w:r>
      <w:bookmarkEnd w:id="55"/>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6" w:name="qcauto法による分子同定"/>
      <w:r>
        <w:t xml:space="preserve">QCauto法による分子同定</w:t>
      </w:r>
      <w:bookmarkEnd w:id="56"/>
    </w:p>
    <w:p>
      <w:pPr>
        <w:pStyle w:val="Heading4"/>
      </w:pPr>
      <w:bookmarkStart w:id="57" w:name="clidentseqによる近隣配列群の取得"/>
      <w:r>
        <w:t xml:space="preserve">clidentseqによる近隣配列群の取得</w:t>
      </w:r>
      <w:bookmarkEnd w:id="57"/>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11_taxonomy/neighborhoods_qcauto_species_wsp.txt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8" w:name="classigntaxによる分類群の割り当て"/>
      <w:r>
        <w:t xml:space="preserve">classigntaxによる分類群の割り当て</w:t>
      </w:r>
      <w:bookmarkEnd w:id="58"/>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11_taxonomy/neighborhoods_qcauto_species_wsp.txt \</w:t>
      </w:r>
      <w:r>
        <w:br/>
      </w:r>
      <w:r>
        <w:rPr>
          <w:rStyle w:val="NormalTok"/>
        </w:rPr>
        <w:t xml:space="preserve">11_taxonomy/taxonomy_qcauto_species_wsp.tsv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9" w:name="nn法による分子同定"/>
      <w:r>
        <w:t xml:space="preserve">95%-3NN法による分子同定</w:t>
      </w:r>
      <w:bookmarkEnd w:id="59"/>
    </w:p>
    <w:p>
      <w:pPr>
        <w:pStyle w:val="Heading4"/>
      </w:pPr>
      <w:bookmarkStart w:id="60" w:name="clidentseqによる近隣配列群の取得-1"/>
      <w:r>
        <w:t xml:space="preserve">clidentseqによる近隣配列群の取得</w:t>
      </w:r>
      <w:bookmarkEnd w:id="60"/>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11_taxonomy/neighborhoods_95p3nn_species_wsp.txt</w:t>
      </w:r>
    </w:p>
    <w:p>
      <w:pPr>
        <w:pStyle w:val="Heading4"/>
      </w:pPr>
      <w:bookmarkStart w:id="61" w:name="classigntaxによる分類群の割当"/>
      <w:r>
        <w:t xml:space="preserve">classigntaxによる分類群の割当</w:t>
      </w:r>
      <w:bookmarkEnd w:id="61"/>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--minnsupporter=3 \</w:t>
      </w:r>
      <w:r>
        <w:br/>
      </w:r>
      <w:r>
        <w:rPr>
          <w:rStyle w:val="NormalTok"/>
        </w:rPr>
        <w:t xml:space="preserve">11_taxonomy/neighborhoods_95p3nn_species_wsp.txt \</w:t>
      </w:r>
      <w:r>
        <w:br/>
      </w:r>
      <w:r>
        <w:rPr>
          <w:rStyle w:val="NormalTok"/>
        </w:rPr>
        <w:t xml:space="preserve">11_taxonomy/taxonomy_95p3nn_species_wsp.tsv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を用いて各OTUに分類群を割り当てています。</w:t>
      </w:r>
    </w:p>
    <w:p>
      <w:pPr>
        <w:pStyle w:val="Heading3"/>
      </w:pPr>
      <w:bookmarkStart w:id="62" w:name="clmakeidentdbによる分子同定結果の再利用"/>
      <w:r>
        <w:t xml:space="preserve">clmakeidentdbによる分子同定結果の再利用</w:t>
      </w:r>
      <w:bookmarkEnd w:id="62"/>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11_taxonomy/neighborhoods_qcauto_species_wsp.txt \</w:t>
      </w:r>
      <w:r>
        <w:br/>
      </w:r>
      <w:r>
        <w:rPr>
          <w:rStyle w:val="NormalTok"/>
        </w:rPr>
        <w:t xml:space="preserve">11_taxonomy/qcauto_species_wsp.identdb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11_taxonomy/neighborhoods_95p3nn_species_wsp.txt \</w:t>
      </w:r>
      <w:r>
        <w:br/>
      </w:r>
      <w:r>
        <w:rPr>
          <w:rStyle w:val="NormalTok"/>
        </w:rPr>
        <w:t xml:space="preserve">11_taxonomy/95p3nn_species_wsp.identdb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r>
        <w:t xml:space="preserve"> </w:t>
      </w:r>
      <w:r>
        <w:rPr>
          <w:rStyle w:val="VerbatimChar"/>
        </w:rPr>
        <w:t xml:space="preserve">clmakecachedb</w:t>
      </w:r>
      <w:r>
        <w:t xml:space="preserve">で</w:t>
      </w:r>
      <w:r>
        <w:rPr>
          <w:rStyle w:val="VerbatimChar"/>
        </w:rPr>
        <w:t xml:space="preserve">--identdb</w:t>
      </w:r>
      <w:r>
        <w:t xml:space="preserve">が指定されると、既に結果が存在するかどうかの確認にしか使用されませんが、</w:t>
      </w:r>
      <w:r>
        <w:rPr>
          <w:rStyle w:val="VerbatimChar"/>
        </w:rPr>
        <w:t xml:space="preserve">clidentseq</w:t>
      </w:r>
      <w:r>
        <w:t xml:space="preserve">で</w:t>
      </w:r>
      <w:r>
        <w:rPr>
          <w:rStyle w:val="VerbatimChar"/>
        </w:rPr>
        <w:t xml:space="preserve">--identdb</w:t>
      </w:r>
      <w:r>
        <w:t xml:space="preserve">が指定された場合、その分子同定結果データベース内の結果が使用されるため、同定手法やデータベースが一致していなくてはなりません(コマンド側で検証はしていません)。</w:t>
      </w:r>
    </w:p>
    <w:p>
      <w:pPr>
        <w:pStyle w:val="Heading3"/>
      </w:pPr>
      <w:bookmarkStart w:id="63" w:name="clmergeassignによる複数の分子同定結果のマージ"/>
      <w:r>
        <w:t xml:space="preserve">clmergeassignによる複数の分子同定結果のマージ</w:t>
      </w:r>
      <w:bookmarkEnd w:id="63"/>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11_taxonomy/taxonomy_qcauto_species_wsp.tsv \</w:t>
      </w:r>
      <w:r>
        <w:br/>
      </w:r>
      <w:r>
        <w:rPr>
          <w:rStyle w:val="NormalTok"/>
        </w:rPr>
        <w:t xml:space="preserve">11_taxonomy/taxonomy_95p3nn_species_wsp.tsv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4" w:name="clfillassignによる分子同定結果の穴埋め"/>
      <w:r>
        <w:t xml:space="preserve">clfillassignによる分子同定結果の穴埋め</w:t>
      </w:r>
      <w:bookmarkEnd w:id="64"/>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5" w:name="otu組成表の作成"/>
      <w:r>
        <w:t xml:space="preserve">OTU組成表の作成</w:t>
      </w:r>
      <w:bookmarkEnd w:id="65"/>
    </w:p>
    <w:p>
      <w:pPr>
        <w:pStyle w:val="FirstParagraph"/>
      </w:pPr>
      <w:r>
        <w:t xml:space="preserve">ここで言うOTU組成表とは、各サンプルにおける各OTUのリード数の表のことを指します。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その前に、以下のコマンドで作業ディレクトリにOTU組成表の出力ディレクトリを作成しておきます。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また、加工の出発点となるOTU組成表は実は既に「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6" w:name="clfiltersumによるotu組成表の加工"/>
      <w:r>
        <w:t xml:space="preserve">clfiltersumによるOTU組成表の加工</w:t>
      </w:r>
      <w:bookmarkEnd w:id="66"/>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--negativeotuseq</w:t>
      </w:r>
    </w:p>
    <w:p>
      <w:pPr>
        <w:pStyle w:val="Definition"/>
      </w:pPr>
      <w:r>
        <w:t xml:space="preserve">指定したFASTA配列ファイルに含まれる配列名と一致するOTUのデータを除外する</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7" w:name="clrarefysumによるotu組成表のカバレッジベースレアファクション"/>
      <w:r>
        <w:t xml:space="preserve">clrarefysumによるOTU組成表のカバレッジベースレアファクション</w:t>
      </w:r>
      <w:bookmarkEnd w:id="67"/>
    </w:p>
    <w:p>
      <w:pPr>
        <w:pStyle w:val="FirstParagraph"/>
      </w:pPr>
      <w:r>
        <w:t xml:space="preserve">OTU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&amp; Jost 2012)</w:t>
      </w:r>
      <w:r>
        <w:t xml:space="preserve"> </w:t>
      </w:r>
      <w:r>
        <w:t xml:space="preserve">。</w:t>
      </w:r>
      <w:r>
        <w:t xml:space="preserve"> </w:t>
      </w:r>
      <w:r>
        <w:t xml:space="preserve">なお、レアファクションが「レアファクションしたOTU組成表を得る」ことを指す場合と「レアファクションカーブを得る」ことを指す場合がありますが、本章では前者を指すものとお考え下さい。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&amp;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&amp;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&amp;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ただし、</w:t>
      </w:r>
      <w:r>
        <w:t xml:space="preserve"> </w:t>
      </w:r>
      <w:r>
        <w:t xml:space="preserve">Chiu &amp; Chao (2016)</w:t>
      </w:r>
      <w:r>
        <w:t xml:space="preserve"> </w:t>
      </w:r>
      <w:r>
        <w:t xml:space="preserve">の方法は未デノイジングデータを前提とした方法です。</w:t>
      </w:r>
      <w:r>
        <w:t xml:space="preserve"> </w:t>
      </w:r>
      <w:r>
        <w:t xml:space="preserve">デノイジングを適用すると、リード数の少ないASV (シングルトンを含む)は、処理過程で捨てられたり近隣のリード数がより大きいASVのシーケンスエラー由来とみなされ、未デノイジングデータから激減します。</w:t>
      </w:r>
      <w:r>
        <w:t xml:space="preserve"> </w:t>
      </w:r>
      <w:r>
        <w:t xml:space="preserve">このため、</w:t>
      </w:r>
      <w:r>
        <w:t xml:space="preserve"> </w:t>
      </w:r>
      <w:r>
        <w:t xml:space="preserve">Chiu &amp; Chao (2016)</w:t>
      </w:r>
      <w:r>
        <w:t xml:space="preserve"> </w:t>
      </w:r>
      <w:r>
        <w:t xml:space="preserve">の方法をデノイジングしたデータにそのまま適用することは問題があると考えられます。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&amp;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ただし計算量は多くなるため、並列化と黄金分割探索法を用いた最適化を行っています。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--minntotalseqsample=1000 \</w:t>
      </w:r>
      <w:r>
        <w:br/>
      </w:r>
      <w:r>
        <w:rPr>
          <w:rStyle w:val="NormalTok"/>
        </w:rPr>
        <w:t xml:space="preserve">--nreplicate=10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--minntotalseqsample</w:t>
      </w:r>
    </w:p>
    <w:p>
      <w:pPr>
        <w:pStyle w:val="Definition"/>
      </w:pPr>
      <w:r>
        <w:t xml:space="preserve">レアファクション前のリード数下限(下回るサンプルは捨てる)</w:t>
      </w:r>
    </w:p>
    <w:p>
      <w:pPr>
        <w:pStyle w:val="DefinitionTerm"/>
      </w:pPr>
      <w:r>
        <w:rPr>
          <w:rStyle w:val="VerbatimChar"/>
        </w:rPr>
        <w:t xml:space="preserve">--nreplicate</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実行後に生成される出力ファイルは以下の通りです。</w:t>
      </w:r>
    </w:p>
    <w:p>
      <w:pPr>
        <w:pStyle w:val="DefinitionTerm"/>
      </w:pPr>
      <w:r>
        <w:rPr>
          <w:rStyle w:val="VerbatimChar"/>
        </w:rPr>
        <w:t xml:space="preserve">出力ファイルの接頭辞-r数字.tsv</w:t>
      </w:r>
    </w:p>
    <w:p>
      <w:pPr>
        <w:pStyle w:val="Definition"/>
      </w:pPr>
      <w:r>
        <w:t xml:space="preserve">レアファクションされたOTU組成表のタブ区切りテキスト</w:t>
      </w:r>
    </w:p>
    <w:p>
      <w:pPr>
        <w:pStyle w:val="DefinitionTerm"/>
      </w:pPr>
      <w:r>
        <w:rPr>
          <w:rStyle w:val="VerbatimChar"/>
        </w:rPr>
        <w:t xml:space="preserve">出力ファイルの接頭辞_inputpcov.tsv</w:t>
      </w:r>
    </w:p>
    <w:p>
      <w:pPr>
        <w:pStyle w:val="Definition"/>
      </w:pPr>
      <w:r>
        <w:t xml:space="preserve">入力された各サンプルのカバレッジ推定値のタブ区切りテキスト</w:t>
      </w:r>
    </w:p>
    <w:p>
      <w:pPr>
        <w:pStyle w:val="DefinitionTerm"/>
      </w:pPr>
      <w:r>
        <w:rPr>
          <w:rStyle w:val="VerbatimChar"/>
        </w:rPr>
        <w:t xml:space="preserve">出力ファイルの接頭辞_outputpcov.tsv</w:t>
      </w:r>
    </w:p>
    <w:p>
      <w:pPr>
        <w:pStyle w:val="Definition"/>
      </w:pPr>
      <w:r>
        <w:t xml:space="preserve">出力された各サンプルのカバレッジ値のタブ区切りテキスト</w:t>
      </w:r>
    </w:p>
    <w:p>
      <w:pPr>
        <w:pStyle w:val="DefinitionTerm"/>
      </w:pPr>
      <w:r>
        <w:rPr>
          <w:rStyle w:val="VerbatimChar"/>
        </w:rPr>
        <w:t xml:space="preserve">出力ファイルの接頭辞_outputnseq.tsv</w:t>
      </w:r>
    </w:p>
    <w:p>
      <w:pPr>
        <w:pStyle w:val="Definition"/>
      </w:pPr>
      <w:r>
        <w:t xml:space="preserve">出力された各サンプルの合計リード数のタブ区切りテキスト</w:t>
      </w:r>
    </w:p>
    <w:p>
      <w:pPr>
        <w:pStyle w:val="FirstParagraph"/>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12_community/sample_otu_matrix_all_rarefied-r$n.tsv \</w:t>
      </w:r>
      <w:r>
        <w:br/>
      </w:r>
      <w:r>
        <w:rPr>
          <w:rStyle w:val="NormalTok"/>
        </w:rPr>
        <w:t xml:space="preserve">12_community/sample_otu_matrix_standard_rarefied-r$n.tsv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12_community/sample_otu_matrix_all_rarefied-r$n.tsv \</w:t>
      </w:r>
      <w:r>
        <w:br/>
      </w:r>
      <w:r>
        <w:rPr>
          <w:rStyle w:val="NormalTok"/>
        </w:rPr>
        <w:t xml:space="preserve">12_community/sample_otu_matrix_fishes_rarefied-r$n.tsv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12_community/sample_otu_matrix_all_rarefied-r$n.tsv \</w:t>
      </w:r>
      <w:r>
        <w:br/>
      </w:r>
      <w:r>
        <w:rPr>
          <w:rStyle w:val="NormalTok"/>
        </w:rPr>
        <w:t xml:space="preserve">12_community/sample_otu_matrix_nonfishes_rarefied-r$n.tsv</w:t>
      </w:r>
      <w:r>
        <w:br/>
      </w:r>
      <w:r>
        <w:rPr>
          <w:rStyle w:val="NormalTok"/>
        </w:rPr>
        <w:t xml:space="preserve">done</w:t>
      </w:r>
    </w:p>
    <w:p>
      <w:pPr>
        <w:pStyle w:val="FirstParagraph"/>
      </w:pPr>
      <w:r>
        <w:t xml:space="preserve">上記の例では全分類群のOTU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OTU組成表を用いてカバレッジベースレアファクションを行う方が良いかもしれません。</w:t>
      </w:r>
    </w:p>
    <w:p>
      <w:pPr>
        <w:pStyle w:val="BodyText"/>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しかし、それらは全て飽和している(カバレッジがほぼ1.0)という仮定のもとでこの先の解析は行われます。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Heading3"/>
      </w:pPr>
      <w:bookmarkStart w:id="68" w:name="clestimateconcと内部標準dnaリード数を用いたdna濃度の推定"/>
      <w:r>
        <w:t xml:space="preserve">clestimateconcと内部標準DNAリード数を用いたDNA濃度の推定</w:t>
      </w:r>
      <w:bookmarkEnd w:id="68"/>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12_community/sample_otu_matrix_fishes_concentration.tsv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--stdtable=12_community/sample_otu_matrix_standard_rarefied-r$n.tsv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12_community/sample_otu_matrix_fishes_rarefied-r$n.tsv \</w:t>
      </w:r>
      <w:r>
        <w:br/>
      </w:r>
      <w:r>
        <w:rPr>
          <w:rStyle w:val="NormalTok"/>
        </w:rPr>
        <w:t xml:space="preserve">12_community/sample_otu_matrix_fishes_rarefied-r$n_concentration.tsv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3"/>
      </w:pPr>
      <w:bookmarkStart w:id="69" w:name="otu組成表からの種組成表の作成"/>
      <w:r>
        <w:t xml:space="preserve">OTU組成表からの種組成表の作成</w:t>
      </w:r>
      <w:bookmarkEnd w:id="69"/>
    </w:p>
    <w:p>
      <w:pPr>
        <w:pStyle w:val="FirstParagraph"/>
      </w:pPr>
      <w:r>
        <w:t xml:space="preserve">OTU組成表は群集生態学解析には適していますが、作図などの際には種組成表や属組成表の方がわかりやすいことがあるでしょう。</w:t>
      </w:r>
      <w:r>
        <w:t xml:space="preserve"> </w:t>
      </w:r>
      <w:r>
        <w:t xml:space="preserve">そのような場合、OTU組成表と分子同定結果から、種組成表や属組成表を作成することができます。</w:t>
      </w:r>
      <w:r>
        <w:t xml:space="preserve"> </w:t>
      </w:r>
      <w:r>
        <w:t xml:space="preserve">以下のコマンドでは、魚類のOTU組成表から種組成表を作成しています。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12_community/sample_otu_matrix_fishes.tsv \</w:t>
      </w:r>
      <w:r>
        <w:br/>
      </w:r>
      <w:r>
        <w:rPr>
          <w:rStyle w:val="NormalTok"/>
        </w:rPr>
        <w:t xml:space="preserve">12_community/sample_species_matrix_fishes.tsv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--targetrank</w:t>
      </w:r>
    </w:p>
    <w:p>
      <w:pPr>
        <w:pStyle w:val="Definition"/>
      </w:pPr>
      <w:r>
        <w:t xml:space="preserve">指定した分類階層の情報を使用する</w:t>
      </w:r>
    </w:p>
    <w:p>
      <w:pPr>
        <w:pStyle w:val="DefinitionTerm"/>
      </w:pPr>
      <w:r>
        <w:rPr>
          <w:rStyle w:val="VerbatimChar"/>
        </w:rPr>
        <w:t xml:space="preserve">--taxnamereplace</w:t>
      </w:r>
    </w:p>
    <w:p>
      <w:pPr>
        <w:pStyle w:val="Definition"/>
      </w:pPr>
      <w:r>
        <w:t xml:space="preserve">出力OTU名内で使用されているスペースやコロンをアンダーバーに置換(ENABLE | DISABLEから選択)</w:t>
      </w:r>
    </w:p>
    <w:p>
      <w:pPr>
        <w:pStyle w:val="DefinitionTerm"/>
      </w:pPr>
      <w:r>
        <w:rPr>
          <w:rStyle w:val="VerbatimChar"/>
        </w:rPr>
        <w:t xml:space="preserve">--fuseotu</w:t>
      </w:r>
    </w:p>
    <w:p>
      <w:pPr>
        <w:pStyle w:val="Definition"/>
      </w:pPr>
      <w:r>
        <w:t xml:space="preserve">分類群名が同じOTUをまとめるか否か(ENABLE | DISABLEから選択)</w:t>
      </w:r>
    </w:p>
    <w:p>
      <w:pPr>
        <w:pStyle w:val="Definition"/>
      </w:pPr>
      <w:r>
        <w:t xml:space="preserve">まとめない場合は出力OTU名を「</w:t>
      </w:r>
      <w:r>
        <w:rPr>
          <w:rStyle w:val="VerbatimChar"/>
        </w:rPr>
        <w:t xml:space="preserve">入力OTU名:分類群名</w:t>
      </w:r>
      <w:r>
        <w:t xml:space="preserve">」とし、組成の内容は維持する</w:t>
      </w:r>
    </w:p>
    <w:p>
      <w:pPr>
        <w:pStyle w:val="Definition"/>
      </w:pPr>
      <w:r>
        <w:t xml:space="preserve">ただし</w:t>
      </w:r>
      <w:r>
        <w:rPr>
          <w:rStyle w:val="VerbatimChar"/>
        </w:rPr>
        <w:t xml:space="preserve">--taxnamereplace</w:t>
      </w:r>
      <w:r>
        <w:t xml:space="preserve">が有効の場合は出力OTU名は「</w:t>
      </w:r>
      <w:r>
        <w:rPr>
          <w:rStyle w:val="VerbatimChar"/>
        </w:rPr>
        <w:t xml:space="preserve">入力OTU名_分類群名</w:t>
      </w:r>
      <w:r>
        <w:t xml:space="preserve">」となる</w:t>
      </w:r>
    </w:p>
    <w:p>
      <w:pPr>
        <w:pStyle w:val="DefinitionTerm"/>
      </w:pPr>
      <w:r>
        <w:rPr>
          <w:rStyle w:val="VerbatimChar"/>
        </w:rPr>
        <w:t xml:space="preserve">--numbering</w:t>
      </w:r>
    </w:p>
    <w:p>
      <w:pPr>
        <w:pStyle w:val="Definition"/>
      </w:pPr>
      <w:r>
        <w:t xml:space="preserve">出力OTU名にソート順で番号を接頭辞として付加するか否か(ENABLE | DISABLEから選択)</w:t>
      </w:r>
    </w:p>
    <w:p>
      <w:pPr>
        <w:pStyle w:val="Definition"/>
      </w:pPr>
      <w:r>
        <w:t xml:space="preserve">出力OTUが100ある場合は</w:t>
      </w:r>
      <w:r>
        <w:rPr>
          <w:rStyle w:val="VerbatimChar"/>
        </w:rPr>
        <w:t xml:space="preserve">001</w:t>
      </w:r>
      <w:r>
        <w:t xml:space="preserve">～</w:t>
      </w:r>
      <w:r>
        <w:rPr>
          <w:rStyle w:val="VerbatimChar"/>
        </w:rPr>
        <w:t xml:space="preserve">100</w:t>
      </w:r>
      <w:r>
        <w:t xml:space="preserve">という風に幅を揃えた番号をコロン「</w:t>
      </w:r>
      <w:r>
        <w:rPr>
          <w:rStyle w:val="VerbatimChar"/>
        </w:rPr>
        <w:t xml:space="preserve">:</w:t>
      </w:r>
      <w:r>
        <w:t xml:space="preserve">」で区切って付加する</w:t>
      </w:r>
    </w:p>
    <w:p>
      <w:pPr>
        <w:pStyle w:val="Definition"/>
      </w:pPr>
      <w:r>
        <w:rPr>
          <w:rStyle w:val="VerbatimChar"/>
        </w:rPr>
        <w:t xml:space="preserve">--taxnamereplace</w:t>
      </w:r>
      <w:r>
        <w:t xml:space="preserve">が有効の場合はコロンではなくアンダーバー「</w:t>
      </w:r>
      <w:r>
        <w:rPr>
          <w:rStyle w:val="VerbatimChar"/>
        </w:rPr>
        <w:t xml:space="preserve">_</w:t>
      </w:r>
      <w:r>
        <w:t xml:space="preserve">」で区切って付加する</w:t>
      </w:r>
    </w:p>
    <w:p>
      <w:pPr>
        <w:pStyle w:val="Definition"/>
      </w:pPr>
      <w:r>
        <w:rPr>
          <w:rStyle w:val="VerbatimChar"/>
        </w:rPr>
        <w:t xml:space="preserve">--fuseotu</w:t>
      </w:r>
      <w:r>
        <w:t xml:space="preserve">と</w:t>
      </w:r>
      <w:r>
        <w:rPr>
          <w:rStyle w:val="VerbatimChar"/>
        </w:rPr>
        <w:t xml:space="preserve">--taxnamereplace</w:t>
      </w:r>
      <w:r>
        <w:t xml:space="preserve">が有効の場合は「</w:t>
      </w:r>
      <w:r>
        <w:rPr>
          <w:rStyle w:val="VerbatimChar"/>
        </w:rPr>
        <w:t xml:space="preserve">番号_分類群名</w:t>
      </w:r>
      <w:r>
        <w:t xml:space="preserve">」となる</w:t>
      </w:r>
    </w:p>
    <w:p>
      <w:pPr>
        <w:pStyle w:val="Definition"/>
      </w:pPr>
      <w:r>
        <w:rPr>
          <w:rStyle w:val="VerbatimChar"/>
        </w:rPr>
        <w:t xml:space="preserve">--fuseotu</w:t>
      </w:r>
      <w:r>
        <w:t xml:space="preserve">が有効、</w:t>
      </w:r>
      <w:r>
        <w:rPr>
          <w:rStyle w:val="VerbatimChar"/>
        </w:rPr>
        <w:t xml:space="preserve">--taxnamereplace</w:t>
      </w:r>
      <w:r>
        <w:t xml:space="preserve">が無効の場合は「</w:t>
      </w:r>
      <w:r>
        <w:rPr>
          <w:rStyle w:val="VerbatimChar"/>
        </w:rPr>
        <w:t xml:space="preserve">番号:分類群名</w:t>
      </w:r>
      <w:r>
        <w:t xml:space="preserve">」となる</w:t>
      </w:r>
    </w:p>
    <w:p>
      <w:pPr>
        <w:pStyle w:val="Definition"/>
      </w:pPr>
      <w:r>
        <w:rPr>
          <w:rStyle w:val="VerbatimChar"/>
        </w:rPr>
        <w:t xml:space="preserve">--fuseotu</w:t>
      </w:r>
      <w:r>
        <w:t xml:space="preserve">が無効、</w:t>
      </w:r>
      <w:r>
        <w:rPr>
          <w:rStyle w:val="VerbatimChar"/>
        </w:rPr>
        <w:t xml:space="preserve">--taxnamereplace</w:t>
      </w:r>
      <w:r>
        <w:t xml:space="preserve">が有効の場合は「</w:t>
      </w:r>
      <w:r>
        <w:rPr>
          <w:rStyle w:val="VerbatimChar"/>
        </w:rPr>
        <w:t xml:space="preserve">番号_入力OTU名_分類群名</w:t>
      </w:r>
      <w:r>
        <w:t xml:space="preserve">」となる</w:t>
      </w:r>
    </w:p>
    <w:p>
      <w:pPr>
        <w:pStyle w:val="Definition"/>
      </w:pPr>
      <w:r>
        <w:rPr>
          <w:rStyle w:val="VerbatimChar"/>
        </w:rPr>
        <w:t xml:space="preserve">--fuseotu</w:t>
      </w:r>
      <w:r>
        <w:t xml:space="preserve">と</w:t>
      </w:r>
      <w:r>
        <w:rPr>
          <w:rStyle w:val="VerbatimChar"/>
        </w:rPr>
        <w:t xml:space="preserve">--taxnamereplace</w:t>
      </w:r>
      <w:r>
        <w:t xml:space="preserve">が無効の場合は「</w:t>
      </w:r>
      <w:r>
        <w:rPr>
          <w:rStyle w:val="VerbatimChar"/>
        </w:rPr>
        <w:t xml:space="preserve">番号:入力OTU名:分類群名</w:t>
      </w:r>
      <w:r>
        <w:t xml:space="preserve">」となる</w:t>
      </w:r>
    </w:p>
    <w:p>
      <w:pPr>
        <w:pStyle w:val="DefinitionTerm"/>
      </w:pPr>
      <w:r>
        <w:rPr>
          <w:rStyle w:val="VerbatimChar"/>
        </w:rPr>
        <w:t xml:space="preserve">--sortkey</w:t>
      </w:r>
    </w:p>
    <w:p>
      <w:pPr>
        <w:pStyle w:val="Definition"/>
      </w:pPr>
      <w:r>
        <w:t xml:space="preserve">ソート順を決めるキー(ABUNDANCE | RANKNAMEから選択)</w:t>
      </w:r>
    </w:p>
    <w:p>
      <w:pPr>
        <w:pStyle w:val="Definition"/>
      </w:pPr>
      <w:r>
        <w:t xml:space="preserve">RANKNAMEは「</w:t>
      </w:r>
      <w:r>
        <w:rPr>
          <w:rStyle w:val="VerbatimChar"/>
        </w:rPr>
        <w:t xml:space="preserve">familyname</w:t>
      </w:r>
      <w:r>
        <w:t xml:space="preserve">」、「</w:t>
      </w:r>
      <w:r>
        <w:rPr>
          <w:rStyle w:val="VerbatimChar"/>
        </w:rPr>
        <w:t xml:space="preserve">classname</w:t>
      </w:r>
      <w:r>
        <w:t xml:space="preserve">」、「</w:t>
      </w:r>
      <w:r>
        <w:rPr>
          <w:rStyle w:val="VerbatimChar"/>
        </w:rPr>
        <w:t xml:space="preserve">"species group name"</w:t>
      </w:r>
      <w:r>
        <w:t xml:space="preserve">」(スペースが含まれる場合はクォートする)などとする</w:t>
      </w:r>
    </w:p>
    <w:p>
      <w:pPr>
        <w:pStyle w:val="FirstParagraph"/>
      </w:pPr>
      <w:r>
        <w:t xml:space="preserve">コマンドラインオプションに引き続いて、入力ファイル、出力ファイルを指定します。</w:t>
      </w:r>
    </w:p>
    <w:p>
      <w:pPr>
        <w:pStyle w:val="BodyText"/>
      </w:pPr>
      <w:r>
        <w:t xml:space="preserve">以下のコマンドでは、DNA濃度を値とするOTU組成表から種組成表を作成しています。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--taxranknamereplace=enable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12_community/sample_otu_matrix_fishes_concentration.tsv \</w:t>
      </w:r>
      <w:r>
        <w:br/>
      </w:r>
      <w:r>
        <w:rPr>
          <w:rStyle w:val="NormalTok"/>
        </w:rPr>
        <w:t xml:space="preserve">12_community/sample_species_matrix_fishes_concentration.tsv</w:t>
      </w:r>
    </w:p>
    <w:p>
      <w:pPr>
        <w:pStyle w:val="FirstParagraph"/>
      </w:pPr>
      <w:r>
        <w:t xml:space="preserve">なお、</w:t>
      </w:r>
      <w:r>
        <w:rPr>
          <w:rStyle w:val="VerbatimChar"/>
        </w:rPr>
        <w:t xml:space="preserve">--fuseotu</w:t>
      </w:r>
      <w:r>
        <w:t xml:space="preserve">を有効化した場合、分類群名だけでOTUがまとめられてしまうため、</w:t>
      </w:r>
      <w:r>
        <w:rPr>
          <w:rStyle w:val="VerbatimChar"/>
        </w:rPr>
        <w:t xml:space="preserve">--targetrank=species</w:t>
      </w:r>
      <w:r>
        <w:t xml:space="preserve">であっても「</w:t>
      </w:r>
      <w:r>
        <w:rPr>
          <w:rStyle w:val="VerbatimChar"/>
        </w:rPr>
        <w:t xml:space="preserve">unidentified 高次分類群名</w:t>
      </w:r>
      <w:r>
        <w:t xml:space="preserve">」という種が存在し、これには多数の種がまとめられてしまう可能性があります。</w:t>
      </w:r>
      <w:r>
        <w:t xml:space="preserve"> </w:t>
      </w:r>
      <w:r>
        <w:t xml:space="preserve">これは、低レベルの分類階層が同定できなかったOTUを</w:t>
      </w:r>
      <w:r>
        <w:rPr>
          <w:rStyle w:val="VerbatimChar"/>
        </w:rPr>
        <w:t xml:space="preserve">clfillassign</w:t>
      </w:r>
      <w:r>
        <w:t xml:space="preserve">で「</w:t>
      </w:r>
      <w:r>
        <w:rPr>
          <w:rStyle w:val="VerbatimChar"/>
        </w:rPr>
        <w:t xml:space="preserve">unidentified 高次分類群名</w:t>
      </w:r>
      <w:r>
        <w:t xml:space="preserve">」としたためです。</w:t>
      </w:r>
      <w:r>
        <w:t xml:space="preserve"> </w:t>
      </w:r>
      <w:r>
        <w:t xml:space="preserve">したがって、複数の種が誤ってまとめられたOTUを含む種組成表となってしまいます。</w:t>
      </w:r>
      <w:r>
        <w:t xml:space="preserve"> </w:t>
      </w:r>
      <w:r>
        <w:t xml:space="preserve">このような種組成表は作図に使用することはできますが、統計的分析にはASVや配列の類似度に基づいてクラスタリングを行ったOTUを単位とするOTU組成表を使用するようにしましょう。</w:t>
      </w:r>
    </w:p>
    <w:p>
      <w:pPr>
        <w:pStyle w:val="Heading2"/>
      </w:pPr>
      <w:bookmarkStart w:id="70" w:name="otu組成表を用いた群集生態学解析に向けて"/>
      <w:r>
        <w:t xml:space="preserve">OTU組成表を用いた群集生態学解析に向けて</w:t>
      </w:r>
      <w:bookmarkEnd w:id="70"/>
    </w:p>
    <w:p>
      <w:pPr>
        <w:pStyle w:val="FirstParagraph"/>
      </w:pPr>
      <w:r>
        <w:t xml:space="preserve">ここまでの内容で群集生態学解析に必要なOTU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r>
        <w:t xml:space="preserve"> </w:t>
      </w:r>
      <w:r>
        <w:t xml:space="preserve">ここではOTU組成表を使用してR</w:t>
      </w:r>
      <w:r>
        <w:t xml:space="preserve"> </w:t>
      </w:r>
      <w:r>
        <w:t xml:space="preserve">(R Core Team 2023)</w:t>
      </w:r>
      <w:r>
        <w:t xml:space="preserve"> </w:t>
      </w:r>
      <w:r>
        <w:t xml:space="preserve">で群集生態学解析を行う際に役立つパッケージを簡単に紹介します。</w:t>
      </w:r>
    </w:p>
    <w:p>
      <w:pPr>
        <w:pStyle w:val="BodyText"/>
      </w:pPr>
      <w:r>
        <w:t xml:space="preserve">まず、レアファクションカーブやヒル数(有効種数)</w:t>
      </w:r>
      <w:r>
        <w:t xml:space="preserve"> </w:t>
      </w:r>
      <w:r>
        <w:t xml:space="preserve">(Chao</w:t>
      </w:r>
      <w:r>
        <w:t xml:space="preserve"> </w:t>
      </w:r>
      <w:r>
        <w:rPr>
          <w:i/>
        </w:rPr>
        <w:t xml:space="preserve">et al.</w:t>
      </w:r>
      <w:r>
        <w:t xml:space="preserve"> </w:t>
      </w:r>
      <w:r>
        <w:t xml:space="preserve">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9"/>
        </w:numPr>
        <w:pStyle w:val="Compact"/>
      </w:pPr>
      <w:r>
        <w:t xml:space="preserve">vegan</w:t>
      </w:r>
      <w:r>
        <w:t xml:space="preserve"> </w:t>
      </w:r>
      <w:hyperlink r:id="rId71">
        <w:r>
          <w:rPr>
            <w:rStyle w:val="Hyperlink"/>
          </w:rPr>
          <w:t xml:space="preserve">https://github.com/vegandevs/vegan</w:t>
        </w:r>
      </w:hyperlink>
    </w:p>
    <w:p>
      <w:pPr>
        <w:numPr>
          <w:ilvl w:val="0"/>
          <w:numId w:val="1019"/>
        </w:numPr>
        <w:pStyle w:val="Compact"/>
      </w:pPr>
      <w:r>
        <w:t xml:space="preserve">iNEXT</w:t>
      </w:r>
      <w:r>
        <w:t xml:space="preserve"> </w:t>
      </w:r>
      <w:hyperlink r:id="rId72">
        <w:r>
          <w:rPr>
            <w:rStyle w:val="Hyperlink"/>
          </w:rPr>
          <w:t xml:space="preserve">https://github.com/JohnsonHsieh/iNEXT</w:t>
        </w:r>
      </w:hyperlink>
      <w:r>
        <w:t xml:space="preserve"> </w:t>
      </w:r>
      <w:r>
        <w:t xml:space="preserve">(Hsieh</w:t>
      </w:r>
      <w:r>
        <w:t xml:space="preserve"> </w:t>
      </w:r>
      <w:r>
        <w:rPr>
          <w:i/>
        </w:rPr>
        <w:t xml:space="preserve">et al.</w:t>
      </w:r>
      <w:r>
        <w:t xml:space="preserve"> </w:t>
      </w:r>
      <w:r>
        <w:t xml:space="preserve">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20"/>
        </w:numPr>
        <w:pStyle w:val="Compact"/>
      </w:pPr>
      <w:r>
        <w:t xml:space="preserve">vegan</w:t>
      </w:r>
      <w:r>
        <w:t xml:space="preserve"> </w:t>
      </w:r>
      <w:hyperlink r:id="rId71">
        <w:r>
          <w:rPr>
            <w:rStyle w:val="Hyperlink"/>
          </w:rPr>
          <w:t xml:space="preserve">https://github.com/vegandevs/vegan</w:t>
        </w:r>
      </w:hyperlink>
    </w:p>
    <w:p>
      <w:pPr>
        <w:numPr>
          <w:ilvl w:val="0"/>
          <w:numId w:val="1020"/>
        </w:numPr>
        <w:pStyle w:val="Compact"/>
      </w:pPr>
      <w:r>
        <w:t xml:space="preserve">picante</w:t>
      </w:r>
      <w:r>
        <w:t xml:space="preserve"> </w:t>
      </w:r>
      <w:hyperlink r:id="rId73">
        <w:r>
          <w:rPr>
            <w:rStyle w:val="Hyperlink"/>
          </w:rPr>
          <w:t xml:space="preserve">https://cran.r-project.org/web/packages/picante/</w:t>
        </w:r>
      </w:hyperlink>
      <w:r>
        <w:t xml:space="preserve"> </w:t>
      </w:r>
      <w:r>
        <w:t xml:space="preserve">(Kembel</w:t>
      </w:r>
      <w:r>
        <w:t xml:space="preserve"> </w:t>
      </w:r>
      <w:r>
        <w:rPr>
          <w:i/>
        </w:rPr>
        <w:t xml:space="preserve">et al.</w:t>
      </w:r>
      <w:r>
        <w:t xml:space="preserve"> </w:t>
      </w:r>
      <w:r>
        <w:t xml:space="preserve">2010)</w:t>
      </w:r>
    </w:p>
    <w:p>
      <w:pPr>
        <w:numPr>
          <w:ilvl w:val="0"/>
          <w:numId w:val="1020"/>
        </w:numPr>
        <w:pStyle w:val="Compact"/>
      </w:pPr>
      <w:r>
        <w:t xml:space="preserve">MicEco</w:t>
      </w:r>
      <w:r>
        <w:t xml:space="preserve"> </w:t>
      </w:r>
      <w:hyperlink r:id="rId74">
        <w:r>
          <w:rPr>
            <w:rStyle w:val="Hyperlink"/>
          </w:rPr>
          <w:t xml:space="preserve">https://github.com/Russel88/MicEco</w:t>
        </w:r>
      </w:hyperlink>
    </w:p>
    <w:p>
      <w:pPr>
        <w:numPr>
          <w:ilvl w:val="0"/>
          <w:numId w:val="1020"/>
        </w:numPr>
        <w:pStyle w:val="Compact"/>
      </w:pPr>
      <w:r>
        <w:t xml:space="preserve">iNEXT.beta3D</w:t>
      </w:r>
      <w:r>
        <w:t xml:space="preserve"> </w:t>
      </w:r>
      <w:hyperlink r:id="rId75">
        <w:r>
          <w:rPr>
            <w:rStyle w:val="Hyperlink"/>
          </w:rPr>
          <w:t xml:space="preserve">https://github.com/KaiHsiangHu/iNEXT.beta3D</w:t>
        </w:r>
      </w:hyperlink>
      <w:r>
        <w:t xml:space="preserve"> </w:t>
      </w:r>
      <w:r>
        <w:t xml:space="preserve">(Chao</w:t>
      </w:r>
      <w:r>
        <w:t xml:space="preserve"> </w:t>
      </w:r>
      <w:r>
        <w:rPr>
          <w:i/>
        </w:rPr>
        <w:t xml:space="preserve">et al.</w:t>
      </w:r>
      <w:r>
        <w:t xml:space="preserve"> </w:t>
      </w:r>
      <w:r>
        <w:t xml:space="preserve">2023)</w:t>
      </w:r>
    </w:p>
    <w:p>
      <w:pPr>
        <w:numPr>
          <w:ilvl w:val="0"/>
          <w:numId w:val="1020"/>
        </w:numPr>
        <w:pStyle w:val="Compact"/>
      </w:pPr>
      <w:r>
        <w:t xml:space="preserve">bipartite</w:t>
      </w:r>
      <w:r>
        <w:t xml:space="preserve"> </w:t>
      </w:r>
      <w:hyperlink r:id="rId76">
        <w:r>
          <w:rPr>
            <w:rStyle w:val="Hyperlink"/>
          </w:rPr>
          <w:t xml:space="preserve">https://github.com/biometry/bipartite</w:t>
        </w:r>
      </w:hyperlink>
    </w:p>
    <w:p>
      <w:pPr>
        <w:numPr>
          <w:ilvl w:val="0"/>
          <w:numId w:val="1020"/>
        </w:numPr>
        <w:pStyle w:val="Compact"/>
      </w:pPr>
      <w:r>
        <w:t xml:space="preserve">pvclust</w:t>
      </w:r>
      <w:r>
        <w:t xml:space="preserve"> </w:t>
      </w:r>
      <w:hyperlink r:id="rId77">
        <w:r>
          <w:rPr>
            <w:rStyle w:val="Hyperlink"/>
          </w:rPr>
          <w:t xml:space="preserve">https://github.com/shimo-lab/pvclust</w:t>
        </w:r>
      </w:hyperlink>
      <w:r>
        <w:t xml:space="preserve"> </w:t>
      </w:r>
      <w:r>
        <w:t xml:space="preserve">(Suzuki &amp; Shimodaira 2006)</w:t>
      </w:r>
    </w:p>
    <w:p>
      <w:pPr>
        <w:numPr>
          <w:ilvl w:val="0"/>
          <w:numId w:val="1020"/>
        </w:numPr>
        <w:pStyle w:val="Compact"/>
      </w:pPr>
      <w:r>
        <w:t xml:space="preserve">mpmcorrelogram</w:t>
      </w:r>
      <w:r>
        <w:t xml:space="preserve"> </w:t>
      </w:r>
      <w:hyperlink r:id="rId78">
        <w:r>
          <w:rPr>
            <w:rStyle w:val="Hyperlink"/>
          </w:rPr>
          <w:t xml:space="preserve">https://cran.r-project.org/web/packages/mpmcorrelogram/</w:t>
        </w:r>
      </w:hyperlink>
    </w:p>
    <w:p>
      <w:pPr>
        <w:numPr>
          <w:ilvl w:val="0"/>
          <w:numId w:val="1020"/>
        </w:numPr>
        <w:pStyle w:val="Compact"/>
      </w:pPr>
      <w:r>
        <w:t xml:space="preserve">boral</w:t>
      </w:r>
      <w:r>
        <w:t xml:space="preserve"> </w:t>
      </w:r>
      <w:hyperlink r:id="rId79">
        <w:r>
          <w:rPr>
            <w:rStyle w:val="Hyperlink"/>
          </w:rPr>
          <w:t xml:space="preserve">https://cran.r-project.org/web/packages/boral/</w:t>
        </w:r>
      </w:hyperlink>
      <w:r>
        <w:t xml:space="preserve"> </w:t>
      </w:r>
      <w:r>
        <w:t xml:space="preserve">(Hui 2016)</w:t>
      </w:r>
    </w:p>
    <w:p>
      <w:pPr>
        <w:numPr>
          <w:ilvl w:val="0"/>
          <w:numId w:val="1020"/>
        </w:numPr>
        <w:pStyle w:val="Compact"/>
      </w:pPr>
      <w:r>
        <w:t xml:space="preserve">gllvm</w:t>
      </w:r>
      <w:r>
        <w:t xml:space="preserve"> </w:t>
      </w:r>
      <w:hyperlink r:id="rId80">
        <w:r>
          <w:rPr>
            <w:rStyle w:val="Hyperlink"/>
          </w:rPr>
          <w:t xml:space="preserve">https://github.com/JenniNiku/gllvm</w:t>
        </w:r>
      </w:hyperlink>
      <w:r>
        <w:t xml:space="preserve"> </w:t>
      </w:r>
      <w:r>
        <w:t xml:space="preserve">(Niku</w:t>
      </w:r>
      <w:r>
        <w:t xml:space="preserve"> </w:t>
      </w:r>
      <w:r>
        <w:rPr>
          <w:i/>
        </w:rPr>
        <w:t xml:space="preserve">et al.</w:t>
      </w:r>
      <w:r>
        <w:t xml:space="preserve"> </w:t>
      </w:r>
      <w:r>
        <w:t xml:space="preserve">2019)</w:t>
      </w:r>
    </w:p>
    <w:p>
      <w:pPr>
        <w:pStyle w:val="FirstParagraph"/>
      </w:pPr>
      <w:r>
        <w:t xml:space="preserve">DNA濃度データはサンプル間での定量性が必要な解析方法に使用することができます。</w:t>
      </w:r>
      <w:r>
        <w:t xml:space="preserve"> </w:t>
      </w:r>
      <w:r>
        <w:t xml:space="preserve">その代わり、整数値を要求する手法を適用することができません。</w:t>
      </w:r>
      <w:r>
        <w:t xml:space="preserve"> </w:t>
      </w:r>
      <w:r>
        <w:t xml:space="preserve">以下のRパッケージでは時系列因果推論を行うことができます。</w:t>
      </w:r>
    </w:p>
    <w:p>
      <w:pPr>
        <w:numPr>
          <w:ilvl w:val="0"/>
          <w:numId w:val="1021"/>
        </w:numPr>
        <w:pStyle w:val="Compact"/>
      </w:pPr>
      <w:r>
        <w:t xml:space="preserve">rEDM</w:t>
      </w:r>
      <w:r>
        <w:t xml:space="preserve"> </w:t>
      </w:r>
      <w:hyperlink r:id="rId81">
        <w:r>
          <w:rPr>
            <w:rStyle w:val="Hyperlink"/>
          </w:rPr>
          <w:t xml:space="preserve">https://ha0ye.github.io/rEDM/</w:t>
        </w:r>
      </w:hyperlink>
      <w:r>
        <w:t xml:space="preserve"> </w:t>
      </w:r>
      <w:r>
        <w:t xml:space="preserve">(Ye &amp; Sugihara 2016)</w:t>
      </w:r>
    </w:p>
    <w:p>
      <w:pPr>
        <w:numPr>
          <w:ilvl w:val="0"/>
          <w:numId w:val="1021"/>
        </w:numPr>
        <w:pStyle w:val="Compact"/>
      </w:pPr>
      <w:r>
        <w:t xml:space="preserve">rUIC</w:t>
      </w:r>
      <w:r>
        <w:t xml:space="preserve"> </w:t>
      </w:r>
      <w:hyperlink r:id="rId82">
        <w:r>
          <w:rPr>
            <w:rStyle w:val="Hyperlink"/>
          </w:rPr>
          <w:t xml:space="preserve">https://github.com/yutakaos/rUIC</w:t>
        </w:r>
      </w:hyperlink>
      <w:r>
        <w:t xml:space="preserve"> </w:t>
      </w:r>
      <w:r>
        <w:t xml:space="preserve">(Osada</w:t>
      </w:r>
      <w:r>
        <w:t xml:space="preserve"> </w:t>
      </w:r>
      <w:r>
        <w:rPr>
          <w:i/>
        </w:rPr>
        <w:t xml:space="preserve">et al.</w:t>
      </w:r>
      <w:r>
        <w:t xml:space="preserve"> </w:t>
      </w:r>
      <w:r>
        <w:t xml:space="preserve">2023)</w:t>
      </w:r>
    </w:p>
    <w:p>
      <w:pPr>
        <w:pStyle w:val="FirstParagraph"/>
      </w:pPr>
      <w:r>
        <w:t xml:space="preserve">空間を対象とした場合、結合種分布モデリング(Joint Species Distribution Modeling)によって多種の生息適地の同時推定や多様性の高い重要地域の推定が可能です。</w:t>
      </w:r>
      <w:r>
        <w:t xml:space="preserve"> </w:t>
      </w:r>
      <w:r>
        <w:t xml:space="preserve">下記のRパッケージではそのような複雑なモデルの当てはめに対応しています。</w:t>
      </w:r>
    </w:p>
    <w:p>
      <w:pPr>
        <w:numPr>
          <w:ilvl w:val="0"/>
          <w:numId w:val="1022"/>
        </w:numPr>
        <w:pStyle w:val="Compact"/>
      </w:pPr>
      <w:r>
        <w:t xml:space="preserve">jSDM</w:t>
      </w:r>
      <w:r>
        <w:t xml:space="preserve"> </w:t>
      </w:r>
      <w:hyperlink r:id="rId83">
        <w:r>
          <w:rPr>
            <w:rStyle w:val="Hyperlink"/>
          </w:rPr>
          <w:t xml:space="preserve">https://ecology.ghislainv.fr/jSDM/</w:t>
        </w:r>
      </w:hyperlink>
      <w:r>
        <w:t xml:space="preserve"> </w:t>
      </w:r>
      <w:r>
        <w:t xml:space="preserve">(Warton</w:t>
      </w:r>
      <w:r>
        <w:t xml:space="preserve"> </w:t>
      </w:r>
      <w:r>
        <w:rPr>
          <w:i/>
        </w:rPr>
        <w:t xml:space="preserve">et al.</w:t>
      </w:r>
      <w:r>
        <w:t xml:space="preserve"> </w:t>
      </w:r>
      <w:r>
        <w:t xml:space="preserve">2015)</w:t>
      </w:r>
    </w:p>
    <w:p>
      <w:pPr>
        <w:numPr>
          <w:ilvl w:val="0"/>
          <w:numId w:val="1022"/>
        </w:numPr>
        <w:pStyle w:val="Compact"/>
      </w:pPr>
      <w:r>
        <w:t xml:space="preserve">HMSC</w:t>
      </w:r>
      <w:r>
        <w:t xml:space="preserve"> </w:t>
      </w:r>
      <w:hyperlink r:id="rId84">
        <w:r>
          <w:rPr>
            <w:rStyle w:val="Hyperlink"/>
          </w:rPr>
          <w:t xml:space="preserve">https://github.com/hmsc-r/HMSC</w:t>
        </w:r>
      </w:hyperlink>
      <w:r>
        <w:t xml:space="preserve"> </w:t>
      </w:r>
      <w:r>
        <w:t xml:space="preserve">(Tikhonov</w:t>
      </w:r>
      <w:r>
        <w:t xml:space="preserve"> </w:t>
      </w:r>
      <w:r>
        <w:rPr>
          <w:i/>
        </w:rPr>
        <w:t xml:space="preserve">et al.</w:t>
      </w:r>
      <w:r>
        <w:t xml:space="preserve"> </w:t>
      </w:r>
      <w:r>
        <w:t xml:space="preserve">2020)</w:t>
      </w:r>
    </w:p>
    <w:p>
      <w:pPr>
        <w:pStyle w:val="FirstParagraph"/>
      </w:pPr>
      <w:r>
        <w:t xml:space="preserve">OTU組成からOTU間関係のネットワークを推定する手法も近年活発に開発されています。</w:t>
      </w:r>
      <w:r>
        <w:t xml:space="preserve"> </w:t>
      </w:r>
      <w:r>
        <w:t xml:space="preserve">下記はOTU間関係ネットワークの推定と描画をサポートしたRパッケージです。</w:t>
      </w:r>
    </w:p>
    <w:p>
      <w:pPr>
        <w:numPr>
          <w:ilvl w:val="0"/>
          <w:numId w:val="1023"/>
        </w:numPr>
        <w:pStyle w:val="Compact"/>
      </w:pPr>
      <w:r>
        <w:t xml:space="preserve">SpiecEasi</w:t>
      </w:r>
      <w:r>
        <w:t xml:space="preserve"> </w:t>
      </w:r>
      <w:hyperlink r:id="rId85">
        <w:r>
          <w:rPr>
            <w:rStyle w:val="Hyperlink"/>
          </w:rPr>
          <w:t xml:space="preserve">https://github.com/zdk123/SpiecEasi</w:t>
        </w:r>
      </w:hyperlink>
      <w:r>
        <w:t xml:space="preserve"> </w:t>
      </w:r>
      <w:r>
        <w:t xml:space="preserve">(Kurtz</w:t>
      </w:r>
      <w:r>
        <w:t xml:space="preserve"> </w:t>
      </w:r>
      <w:r>
        <w:rPr>
          <w:i/>
        </w:rPr>
        <w:t xml:space="preserve">et al.</w:t>
      </w:r>
      <w:r>
        <w:t xml:space="preserve"> </w:t>
      </w:r>
      <w:r>
        <w:t xml:space="preserve">2015)</w:t>
      </w:r>
    </w:p>
    <w:p>
      <w:pPr>
        <w:numPr>
          <w:ilvl w:val="0"/>
          <w:numId w:val="1023"/>
        </w:numPr>
        <w:pStyle w:val="Compact"/>
      </w:pPr>
      <w:r>
        <w:t xml:space="preserve">NetCoMi</w:t>
      </w:r>
      <w:r>
        <w:t xml:space="preserve"> </w:t>
      </w:r>
      <w:hyperlink r:id="rId86">
        <w:r>
          <w:rPr>
            <w:rStyle w:val="Hyperlink"/>
          </w:rPr>
          <w:t xml:space="preserve">https://github.com/stefpeschel/NetCoMi</w:t>
        </w:r>
      </w:hyperlink>
      <w:r>
        <w:t xml:space="preserve"> </w:t>
      </w:r>
      <w:r>
        <w:t xml:space="preserve">(Peschel</w:t>
      </w:r>
      <w:r>
        <w:t xml:space="preserve"> </w:t>
      </w:r>
      <w:r>
        <w:rPr>
          <w:i/>
        </w:rPr>
        <w:t xml:space="preserve">et al.</w:t>
      </w:r>
      <w:r>
        <w:t xml:space="preserve"> </w:t>
      </w:r>
      <w:r>
        <w:t xml:space="preserve">2021)</w:t>
      </w:r>
    </w:p>
    <w:p>
      <w:pPr>
        <w:numPr>
          <w:ilvl w:val="0"/>
          <w:numId w:val="1023"/>
        </w:numPr>
        <w:pStyle w:val="Compact"/>
      </w:pPr>
      <w:r>
        <w:t xml:space="preserve">ggClusterNet</w:t>
      </w:r>
      <w:r>
        <w:t xml:space="preserve"> </w:t>
      </w:r>
      <w:hyperlink r:id="rId87">
        <w:r>
          <w:rPr>
            <w:rStyle w:val="Hyperlink"/>
          </w:rPr>
          <w:t xml:space="preserve">https://github.com/taowenmicro/ggClusterNet</w:t>
        </w:r>
      </w:hyperlink>
      <w:r>
        <w:t xml:space="preserve"> </w:t>
      </w:r>
      <w:r>
        <w:t xml:space="preserve">(Wen</w:t>
      </w:r>
      <w:r>
        <w:t xml:space="preserve"> </w:t>
      </w:r>
      <w:r>
        <w:rPr>
          <w:i/>
        </w:rPr>
        <w:t xml:space="preserve">et al.</w:t>
      </w:r>
      <w:r>
        <w:t xml:space="preserve"> </w:t>
      </w:r>
      <w:r>
        <w:t xml:space="preserve">2022)</w:t>
      </w:r>
    </w:p>
    <w:p>
      <w:pPr>
        <w:pStyle w:val="FirstParagraph"/>
      </w:pPr>
      <w:r>
        <w:t xml:space="preserve">ここで紹介したRパッケージとそれらに実装されている手法は新しいものも多く、筆者も十分に把握できているとは言えません。</w:t>
      </w:r>
      <w:r>
        <w:t xml:space="preserve"> </w:t>
      </w:r>
      <w:r>
        <w:t xml:space="preserve">特に、それぞれの手法の前提として要求するデータの性質(在不在か、整数値か小数値か実数値か、サンプル内定量性やサンプル間定量性があるかなど)を論文やマニュアルでよく検討して使用するようにして下さい。</w:t>
      </w:r>
    </w:p>
    <w:p>
      <w:pPr>
        <w:pStyle w:val="BodyText"/>
      </w:pPr>
      <w:r>
        <w:t xml:space="preserve">最後に、</w:t>
      </w:r>
      <w:r>
        <w:t xml:space="preserve"> </w:t>
      </w:r>
      <w:r>
        <w:t xml:space="preserve">土居 ・ 岡村 (2011)</w:t>
      </w:r>
      <w:r>
        <w:t xml:space="preserve"> </w:t>
      </w:r>
      <w:r>
        <w:t xml:space="preserve">、</w:t>
      </w:r>
      <w:r>
        <w:t xml:space="preserve"> </w:t>
      </w:r>
      <w:r>
        <w:t xml:space="preserve">門脇 (2016)</w:t>
      </w:r>
      <w:r>
        <w:t xml:space="preserve"> </w:t>
      </w:r>
      <w:r>
        <w:t xml:space="preserve">および</w:t>
      </w:r>
      <w:r>
        <w:t xml:space="preserve"> </w:t>
      </w:r>
      <w:r>
        <w:t xml:space="preserve">Kadowaki (2023)</w:t>
      </w:r>
      <w:r>
        <w:t xml:space="preserve"> </w:t>
      </w:r>
      <w:r>
        <w:t xml:space="preserve">ではR上での群集生態学分析の入門的な解説がなされていますので、一読をお勧めします。</w:t>
      </w:r>
    </w:p>
    <w:p>
      <w:pPr>
        <w:pStyle w:val="Heading1"/>
      </w:pPr>
      <w:bookmarkStart w:id="88" w:name="引用文献"/>
      <w:r>
        <w:t xml:space="preserve">引用文献</w:t>
      </w:r>
      <w:bookmarkEnd w:id="88"/>
    </w:p>
    <w:bookmarkStart w:id="167" w:name="refs"/>
    <w:bookmarkStart w:id="90" w:name="X6de2a223c072cfc9bc041e5aa44c5820b8de666"/>
    <w:p>
      <w:pPr>
        <w:pStyle w:val="Bibliography"/>
      </w:pPr>
      <w:r>
        <w:t xml:space="preserve">Callahan, Benjamin J., McMurdie, Paul J., Rosen, Michael J., Han, Andrew W., Johnson, Amy Jo A. &amp; Holmes, Susan P. (2016) DADA2: High-resolution sample inference from Illumina amplicon data.</w:t>
      </w:r>
      <w:r>
        <w:t xml:space="preserve"> </w:t>
      </w:r>
      <w:r>
        <w:rPr>
          <w:i/>
        </w:rPr>
        <w:t xml:space="preserve">Nature Methods</w:t>
      </w:r>
      <w:r>
        <w:t xml:space="preserve"> </w:t>
      </w:r>
      <w:r>
        <w:t xml:space="preserve">13, 581–583.</w:t>
      </w:r>
      <w:r>
        <w:t xml:space="preserve"> </w:t>
      </w:r>
      <w:hyperlink r:id="rId89">
        <w:r>
          <w:rPr>
            <w:rStyle w:val="Hyperlink"/>
          </w:rPr>
          <w:t xml:space="preserve">https://doi.org/10.1038/nmeth.3869</w:t>
        </w:r>
      </w:hyperlink>
    </w:p>
    <w:bookmarkEnd w:id="90"/>
    <w:bookmarkStart w:id="92" w:name="ref-Chao2014RarefactionextrapolationHill"/>
    <w:p>
      <w:pPr>
        <w:pStyle w:val="Bibliography"/>
      </w:pPr>
      <w:r>
        <w:t xml:space="preserve">Chao, Anne, Gotelli, Nicholas J., Hsieh, T. C., Sander, Elizabeth L., Ma, K. H., Colwell, Robert K. &amp; Ellison, Aaron M. (2014) Rarefaction and extrapolation with Hill numbers: a framework for sampling and estimation in species diversity studies.</w:t>
      </w:r>
      <w:r>
        <w:t xml:space="preserve"> </w:t>
      </w:r>
      <w:r>
        <w:rPr>
          <w:i/>
        </w:rPr>
        <w:t xml:space="preserve">Ecological Monographs</w:t>
      </w:r>
      <w:r>
        <w:t xml:space="preserve"> </w:t>
      </w:r>
      <w:r>
        <w:t xml:space="preserve">84, 45–67.</w:t>
      </w:r>
      <w:r>
        <w:t xml:space="preserve"> </w:t>
      </w:r>
      <w:hyperlink r:id="rId91">
        <w:r>
          <w:rPr>
            <w:rStyle w:val="Hyperlink"/>
          </w:rPr>
          <w:t xml:space="preserve">https://doi.org/10.1890/13-0133.1</w:t>
        </w:r>
      </w:hyperlink>
    </w:p>
    <w:bookmarkEnd w:id="92"/>
    <w:bookmarkStart w:id="94" w:name="X3be505009a62da157b8323bcfd4b2c20524613f"/>
    <w:p>
      <w:pPr>
        <w:pStyle w:val="Bibliography"/>
      </w:pPr>
      <w:r>
        <w:t xml:space="preserve">Chao, Anne &amp; Jost, Lou (2012) Coverage-based rarefaction and extrapolation: standardizing samples by completeness rather than size.</w:t>
      </w:r>
      <w:r>
        <w:t xml:space="preserve"> </w:t>
      </w:r>
      <w:r>
        <w:rPr>
          <w:i/>
        </w:rPr>
        <w:t xml:space="preserve">Ecology</w:t>
      </w:r>
      <w:r>
        <w:t xml:space="preserve"> </w:t>
      </w:r>
      <w:r>
        <w:t xml:space="preserve">93, 2533–2547.</w:t>
      </w:r>
      <w:r>
        <w:t xml:space="preserve"> </w:t>
      </w:r>
      <w:hyperlink r:id="rId93">
        <w:r>
          <w:rPr>
            <w:rStyle w:val="Hyperlink"/>
          </w:rPr>
          <w:t xml:space="preserve">https://doi.org/10.1890/11-1952.1</w:t>
        </w:r>
      </w:hyperlink>
    </w:p>
    <w:bookmarkEnd w:id="94"/>
    <w:bookmarkStart w:id="96" w:name="ref-Chao2023Rarefactionextrapolationbeta"/>
    <w:p>
      <w:pPr>
        <w:pStyle w:val="Bibliography"/>
      </w:pPr>
      <w:r>
        <w:t xml:space="preserve">Chao, Anne, Thorn, Simon, Chiu, Chun-Huo, Moyes, Faye, Hu, Kai-Hsiang, Chazdon, Robin L., Wu, Jessie, Magnago, Luiz Fernando S., Dornelas, Maria, Zelený, David, Colwell, Robert K. &amp; Magurran, Anne E. (2023) Rarefaction and extrapolation with beta diversity under a framework of Hill numbers: The iNEXT.beta3D standardization.</w:t>
      </w:r>
      <w:r>
        <w:t xml:space="preserve"> </w:t>
      </w:r>
      <w:r>
        <w:rPr>
          <w:i/>
        </w:rPr>
        <w:t xml:space="preserve">Ecological Monographs</w:t>
      </w:r>
      <w:r>
        <w:t xml:space="preserve"> </w:t>
      </w:r>
      <w:r>
        <w:t xml:space="preserve">93, e1588.</w:t>
      </w:r>
      <w:r>
        <w:t xml:space="preserve"> </w:t>
      </w:r>
      <w:hyperlink r:id="rId95">
        <w:r>
          <w:rPr>
            <w:rStyle w:val="Hyperlink"/>
          </w:rPr>
          <w:t xml:space="preserve">https://doi.org/10.1002/ecm.1588</w:t>
        </w:r>
      </w:hyperlink>
    </w:p>
    <w:bookmarkEnd w:id="96"/>
    <w:bookmarkStart w:id="98" w:name="ref-Chiu2016Estimatingcomparingmicrobial"/>
    <w:p>
      <w:pPr>
        <w:pStyle w:val="Bibliography"/>
      </w:pPr>
      <w:r>
        <w:t xml:space="preserve">Chiu, Chun-Huo &amp; Chao, Anne (2016) Estimating and comparing microbial diversity in the presence of sequencing errors.</w:t>
      </w:r>
      <w:r>
        <w:t xml:space="preserve"> </w:t>
      </w:r>
      <w:r>
        <w:rPr>
          <w:i/>
        </w:rPr>
        <w:t xml:space="preserve">PeerJ</w:t>
      </w:r>
      <w:r>
        <w:t xml:space="preserve"> </w:t>
      </w:r>
      <w:r>
        <w:t xml:space="preserve">4, e1634.</w:t>
      </w:r>
      <w:r>
        <w:t xml:space="preserve"> </w:t>
      </w:r>
      <w:hyperlink r:id="rId97">
        <w:r>
          <w:rPr>
            <w:rStyle w:val="Hyperlink"/>
          </w:rPr>
          <w:t xml:space="preserve">https://doi.org/10.7717/peerj.1634</w:t>
        </w:r>
      </w:hyperlink>
    </w:p>
    <w:bookmarkEnd w:id="98"/>
    <w:bookmarkStart w:id="100" w:name="ref-Edgar2010Searchclusteringorders"/>
    <w:p>
      <w:pPr>
        <w:pStyle w:val="Bibliography"/>
      </w:pPr>
      <w:r>
        <w:t xml:space="preserve">Edgar, Robert C. (2010) Search and clustering orders of magnitude faster than BLAST.</w:t>
      </w:r>
      <w:r>
        <w:t xml:space="preserve"> </w:t>
      </w:r>
      <w:r>
        <w:rPr>
          <w:i/>
        </w:rPr>
        <w:t xml:space="preserve">Bioinformatics</w:t>
      </w:r>
      <w:r>
        <w:t xml:space="preserve"> </w:t>
      </w:r>
      <w:r>
        <w:t xml:space="preserve">26, 2460–2461.</w:t>
      </w:r>
      <w:r>
        <w:t xml:space="preserve"> </w:t>
      </w:r>
      <w:hyperlink r:id="rId99">
        <w:r>
          <w:rPr>
            <w:rStyle w:val="Hyperlink"/>
          </w:rPr>
          <w:t xml:space="preserve">https://doi.org/10.1093/bioinformatics/btq461</w:t>
        </w:r>
      </w:hyperlink>
    </w:p>
    <w:bookmarkEnd w:id="100"/>
    <w:bookmarkStart w:id="101" w:name="ref-Edgar2016UCHIME2improvedchimera"/>
    <w:p>
      <w:pPr>
        <w:pStyle w:val="Bibliography"/>
      </w:pPr>
      <w:r>
        <w:t xml:space="preserve">Edgar, Robert C. (2016) UCHIME2: improved chimera prediction for amplicon sequencing., 074252.</w:t>
      </w:r>
    </w:p>
    <w:bookmarkEnd w:id="101"/>
    <w:bookmarkStart w:id="103" w:name="ref-Edgar2015Errorfilteringpair"/>
    <w:p>
      <w:pPr>
        <w:pStyle w:val="Bibliography"/>
      </w:pPr>
      <w:r>
        <w:t xml:space="preserve">Edgar, Robert C. &amp; Flyvbjerg, Henrik (2015) Error filtering, pair assembly and error correction for next-generation sequencing reads.</w:t>
      </w:r>
      <w:r>
        <w:t xml:space="preserve"> </w:t>
      </w:r>
      <w:r>
        <w:rPr>
          <w:i/>
        </w:rPr>
        <w:t xml:space="preserve">Bioinformatics</w:t>
      </w:r>
      <w:r>
        <w:t xml:space="preserve"> </w:t>
      </w:r>
      <w:r>
        <w:t xml:space="preserve">31, 3476–3482.</w:t>
      </w:r>
      <w:r>
        <w:t xml:space="preserve"> </w:t>
      </w:r>
      <w:hyperlink r:id="rId102">
        <w:r>
          <w:rPr>
            <w:rStyle w:val="Hyperlink"/>
          </w:rPr>
          <w:t xml:space="preserve">https://doi.org/10.1093/bioinformatics/btv401</w:t>
        </w:r>
      </w:hyperlink>
    </w:p>
    <w:bookmarkEnd w:id="103"/>
    <w:bookmarkStart w:id="105" w:name="ref-Edgar2011UCHIMEimprovessensitivity"/>
    <w:p>
      <w:pPr>
        <w:pStyle w:val="Bibliography"/>
      </w:pPr>
      <w:r>
        <w:t xml:space="preserve">Edgar, Robert C., Haas, Brian J., Clemente, Jose C., Quince, Christopher &amp; Knight, Rob (2011) UCHIME improves sensitivity and speed of chimera detection.</w:t>
      </w:r>
      <w:r>
        <w:t xml:space="preserve"> </w:t>
      </w:r>
      <w:r>
        <w:rPr>
          <w:i/>
        </w:rPr>
        <w:t xml:space="preserve">Bioinformatics</w:t>
      </w:r>
      <w:r>
        <w:t xml:space="preserve"> </w:t>
      </w:r>
      <w:r>
        <w:t xml:space="preserve">27, 2194–2200.</w:t>
      </w:r>
      <w:r>
        <w:t xml:space="preserve"> </w:t>
      </w:r>
      <w:hyperlink r:id="rId104">
        <w:r>
          <w:rPr>
            <w:rStyle w:val="Hyperlink"/>
          </w:rPr>
          <w:t xml:space="preserve">https://doi.org/10.1093/bioinformatics/btr381</w:t>
        </w:r>
      </w:hyperlink>
    </w:p>
    <w:bookmarkEnd w:id="105"/>
    <w:bookmarkStart w:id="107" w:name="X7b30066f7ad789bde3b87197594d92104dbe379"/>
    <w:p>
      <w:pPr>
        <w:pStyle w:val="Bibliography"/>
      </w:pPr>
      <w:r>
        <w:t xml:space="preserve">Esling, Philippe, Lejzerowicz, Franck &amp; Pawlowski, Jan (2015) Accurate multiplexing and filtering for high-throughput amplicon-sequencing.</w:t>
      </w:r>
      <w:r>
        <w:t xml:space="preserve"> </w:t>
      </w:r>
      <w:r>
        <w:rPr>
          <w:i/>
        </w:rPr>
        <w:t xml:space="preserve">Nucleic Acids Research</w:t>
      </w:r>
      <w:r>
        <w:t xml:space="preserve"> </w:t>
      </w:r>
      <w:r>
        <w:t xml:space="preserve">43, 2513–2524.</w:t>
      </w:r>
      <w:r>
        <w:t xml:space="preserve"> </w:t>
      </w:r>
      <w:hyperlink r:id="rId106">
        <w:r>
          <w:rPr>
            <w:rStyle w:val="Hyperlink"/>
          </w:rPr>
          <w:t xml:space="preserve">https://doi.org/10.1093/nar/gkv107</w:t>
        </w:r>
      </w:hyperlink>
    </w:p>
    <w:bookmarkEnd w:id="107"/>
    <w:bookmarkStart w:id="109" w:name="ref-Hsieh2016iNEXTpackagerarefaction"/>
    <w:p>
      <w:pPr>
        <w:pStyle w:val="Bibliography"/>
      </w:pPr>
      <w:r>
        <w:t xml:space="preserve">Hsieh, T. C., Ma, K. H. &amp; Chao, Anne (2016) iNEXT: an R package for rarefaction and extrapolation of species diversity (Hill numbers).</w:t>
      </w:r>
      <w:r>
        <w:t xml:space="preserve"> </w:t>
      </w:r>
      <w:r>
        <w:rPr>
          <w:i/>
        </w:rPr>
        <w:t xml:space="preserve">Methods in Ecology and Evolution</w:t>
      </w:r>
      <w:r>
        <w:t xml:space="preserve"> </w:t>
      </w:r>
      <w:r>
        <w:t xml:space="preserve">7, 1451–1456.</w:t>
      </w:r>
      <w:r>
        <w:t xml:space="preserve"> </w:t>
      </w:r>
      <w:hyperlink r:id="rId108">
        <w:r>
          <w:rPr>
            <w:rStyle w:val="Hyperlink"/>
          </w:rPr>
          <w:t xml:space="preserve">https://doi.org/10.1111/2041-210X.12613</w:t>
        </w:r>
      </w:hyperlink>
    </w:p>
    <w:bookmarkEnd w:id="109"/>
    <w:bookmarkStart w:id="111" w:name="ref-Hui2016boralBayesianOrdination"/>
    <w:p>
      <w:pPr>
        <w:pStyle w:val="Bibliography"/>
      </w:pPr>
      <w:r>
        <w:t xml:space="preserve">Hui, Francis K. C. (2016) boral – Bayesian Ordination and Regression Analysis of Multivariate Abundance Data in r.</w:t>
      </w:r>
      <w:r>
        <w:t xml:space="preserve"> </w:t>
      </w:r>
      <w:r>
        <w:rPr>
          <w:i/>
        </w:rPr>
        <w:t xml:space="preserve">Methods in Ecology and Evolution</w:t>
      </w:r>
      <w:r>
        <w:t xml:space="preserve"> </w:t>
      </w:r>
      <w:r>
        <w:t xml:space="preserve">7, 744–750.</w:t>
      </w:r>
      <w:r>
        <w:t xml:space="preserve"> </w:t>
      </w:r>
      <w:hyperlink r:id="rId110">
        <w:r>
          <w:rPr>
            <w:rStyle w:val="Hyperlink"/>
          </w:rPr>
          <w:t xml:space="preserve">https://doi.org/10.1111/2041-210X.12514</w:t>
        </w:r>
      </w:hyperlink>
    </w:p>
    <w:bookmarkEnd w:id="111"/>
    <w:bookmarkStart w:id="113" w:name="ref-Huson2007MEGANanalysismetagenomic"/>
    <w:p>
      <w:pPr>
        <w:pStyle w:val="Bibliography"/>
      </w:pPr>
      <w:r>
        <w:t xml:space="preserve">Huson, Daniel H., Auch, Alexander F., Qi, Ji &amp; Schuster, Stephan C. (2007) MEGAN analysis of metagenomic data.</w:t>
      </w:r>
      <w:r>
        <w:t xml:space="preserve"> </w:t>
      </w:r>
      <w:r>
        <w:rPr>
          <w:i/>
        </w:rPr>
        <w:t xml:space="preserve">Genome Research</w:t>
      </w:r>
      <w:r>
        <w:t xml:space="preserve"> </w:t>
      </w:r>
      <w:r>
        <w:t xml:space="preserve">17, 377–386.</w:t>
      </w:r>
      <w:r>
        <w:t xml:space="preserve"> </w:t>
      </w:r>
      <w:hyperlink r:id="rId112">
        <w:r>
          <w:rPr>
            <w:rStyle w:val="Hyperlink"/>
          </w:rPr>
          <w:t xml:space="preserve">https://doi.org/10.1101/gr.5969107</w:t>
        </w:r>
      </w:hyperlink>
    </w:p>
    <w:bookmarkEnd w:id="113"/>
    <w:bookmarkStart w:id="115" w:name="ref-Kadowaki2023primercommunityecology"/>
    <w:p>
      <w:pPr>
        <w:pStyle w:val="Bibliography"/>
      </w:pPr>
      <w:r>
        <w:t xml:space="preserve">Kadowaki, Kohmei (2023) A primer of community ecology using the R language.</w:t>
      </w:r>
      <w:r>
        <w:t xml:space="preserve"> </w:t>
      </w:r>
      <w:r>
        <w:rPr>
          <w:i/>
        </w:rPr>
        <w:t xml:space="preserve">Population Ecology</w:t>
      </w:r>
      <w:r>
        <w:t xml:space="preserve"> </w:t>
      </w:r>
      <w:r>
        <w:t xml:space="preserve">65, 240–256.</w:t>
      </w:r>
      <w:r>
        <w:t xml:space="preserve"> </w:t>
      </w:r>
      <w:hyperlink r:id="rId114">
        <w:r>
          <w:rPr>
            <w:rStyle w:val="Hyperlink"/>
          </w:rPr>
          <w:t xml:space="preserve">https://doi.org/10.1002/1438-390X.12158</w:t>
        </w:r>
      </w:hyperlink>
    </w:p>
    <w:bookmarkEnd w:id="115"/>
    <w:bookmarkStart w:id="117" w:name="ref-Kembel2010Picantetoolsintegrating"/>
    <w:p>
      <w:pPr>
        <w:pStyle w:val="Bibliography"/>
      </w:pPr>
      <w:r>
        <w:t xml:space="preserve">Kembel, Steven W., Cowan, Peter D., Helmus, Matthew R., Cornwell, William K., Morlon, Helene, Ackerly, David D., Blomberg, Simon P. &amp; Webb, Campbell O. (2010) Picante: R tools for integrating phylogenies and ecology.</w:t>
      </w:r>
      <w:r>
        <w:t xml:space="preserve"> </w:t>
      </w:r>
      <w:r>
        <w:rPr>
          <w:i/>
        </w:rPr>
        <w:t xml:space="preserve">Bioinformatics</w:t>
      </w:r>
      <w:r>
        <w:t xml:space="preserve"> </w:t>
      </w:r>
      <w:r>
        <w:t xml:space="preserve">26, 1463–1464.</w:t>
      </w:r>
      <w:r>
        <w:t xml:space="preserve"> </w:t>
      </w:r>
      <w:hyperlink r:id="rId116">
        <w:r>
          <w:rPr>
            <w:rStyle w:val="Hyperlink"/>
          </w:rPr>
          <w:t xml:space="preserve">https://doi.org/10.1093/bioinformatics/btq166</w:t>
        </w:r>
      </w:hyperlink>
    </w:p>
    <w:bookmarkEnd w:id="117"/>
    <w:bookmarkStart w:id="119" w:name="ref-Komai2019Developmentnewset"/>
    <w:p>
      <w:pPr>
        <w:pStyle w:val="Bibliography"/>
      </w:pPr>
      <w:r>
        <w:t xml:space="preserve">Komai, Tomoyuki, Gotoh, Ryo O., Sado, Tetsuya &amp; Miya, Masaki (2019) Development of a new set of PCR primers for eDNA metabarcoding decapod crustaceans.</w:t>
      </w:r>
      <w:r>
        <w:t xml:space="preserve"> </w:t>
      </w:r>
      <w:r>
        <w:rPr>
          <w:i/>
        </w:rPr>
        <w:t xml:space="preserve">Metabarcoding and Metagenomics</w:t>
      </w:r>
      <w:r>
        <w:t xml:space="preserve"> </w:t>
      </w:r>
      <w:r>
        <w:t xml:space="preserve">3, e33835.</w:t>
      </w:r>
      <w:r>
        <w:t xml:space="preserve"> </w:t>
      </w:r>
      <w:hyperlink r:id="rId118">
        <w:r>
          <w:rPr>
            <w:rStyle w:val="Hyperlink"/>
          </w:rPr>
          <w:t xml:space="preserve">https://doi.org/10.3897/mbmg.3.33835</w:t>
        </w:r>
      </w:hyperlink>
    </w:p>
    <w:bookmarkEnd w:id="119"/>
    <w:bookmarkStart w:id="121" w:name="ref-Kurtz2015SparseCompositionallyRobust"/>
    <w:p>
      <w:pPr>
        <w:pStyle w:val="Bibliography"/>
      </w:pPr>
      <w:r>
        <w:t xml:space="preserve">Kurtz, Zachary D., Müller, Christian L., Miraldi, Emily R., Littman, Dan R., Blaser, Martin J. &amp; Bonneau, Richard A. (2015) Sparse and Compositionally Robust Inference of Microbial Ecological Networks.</w:t>
      </w:r>
      <w:r>
        <w:t xml:space="preserve"> </w:t>
      </w:r>
      <w:r>
        <w:rPr>
          <w:i/>
        </w:rPr>
        <w:t xml:space="preserve">PLOS Computational Biology</w:t>
      </w:r>
      <w:r>
        <w:t xml:space="preserve"> </w:t>
      </w:r>
      <w:r>
        <w:t xml:space="preserve">11, e1004226.</w:t>
      </w:r>
      <w:r>
        <w:t xml:space="preserve"> </w:t>
      </w:r>
      <w:hyperlink r:id="rId120">
        <w:r>
          <w:rPr>
            <w:rStyle w:val="Hyperlink"/>
          </w:rPr>
          <w:t xml:space="preserve">https://doi.org/10.1371/journal.pcbi.1004226</w:t>
        </w:r>
      </w:hyperlink>
    </w:p>
    <w:bookmarkEnd w:id="121"/>
    <w:bookmarkStart w:id="123" w:name="X49cf763435f0da31f7181be37a696ec8530c862"/>
    <w:p>
      <w:pPr>
        <w:pStyle w:val="Bibliography"/>
      </w:pPr>
      <w:r>
        <w:t xml:space="preserve">Miya, Masaki, Gotoh, Ryo O. &amp; Sado, Tetsuya (2020) MiFish metabarcoding: a high-throughput approach for simultaneous detection of multiple fish species from environmental DNA and other samples.</w:t>
      </w:r>
      <w:r>
        <w:t xml:space="preserve"> </w:t>
      </w:r>
      <w:r>
        <w:rPr>
          <w:i/>
        </w:rPr>
        <w:t xml:space="preserve">Fisheries Science</w:t>
      </w:r>
      <w:r>
        <w:t xml:space="preserve"> </w:t>
      </w:r>
      <w:r>
        <w:t xml:space="preserve">86, 939–970.</w:t>
      </w:r>
      <w:r>
        <w:t xml:space="preserve"> </w:t>
      </w:r>
      <w:hyperlink r:id="rId122">
        <w:r>
          <w:rPr>
            <w:rStyle w:val="Hyperlink"/>
          </w:rPr>
          <w:t xml:space="preserve">https://doi.org/10.1007/s12562-020-01461-x</w:t>
        </w:r>
      </w:hyperlink>
    </w:p>
    <w:bookmarkEnd w:id="123"/>
    <w:bookmarkStart w:id="125" w:name="ref-Miya2015MiFishsetuniversal"/>
    <w:p>
      <w:pPr>
        <w:pStyle w:val="Bibliography"/>
      </w:pPr>
      <w:r>
        <w:t xml:space="preserve">Miya, M., Sato, Y., Fukunaga, T., Sado, T., Poulsen, J. Y., Sato, K., Minamoto, T., Yamamoto, S., Yamanaka, H., Araki, H., Kondoh, M. &amp; Iwasaki, W. (2015) MiFish, a set of universal PCR primers for metabarcoding environmental DNA from fishes: detection of more than 230 subtropical marine species.</w:t>
      </w:r>
      <w:r>
        <w:t xml:space="preserve"> </w:t>
      </w:r>
      <w:r>
        <w:rPr>
          <w:i/>
        </w:rPr>
        <w:t xml:space="preserve">Royal Society Open Science</w:t>
      </w:r>
      <w:r>
        <w:t xml:space="preserve"> </w:t>
      </w:r>
      <w:r>
        <w:t xml:space="preserve">2, 150088.</w:t>
      </w:r>
      <w:r>
        <w:t xml:space="preserve"> </w:t>
      </w:r>
      <w:hyperlink r:id="rId124">
        <w:r>
          <w:rPr>
            <w:rStyle w:val="Hyperlink"/>
          </w:rPr>
          <w:t xml:space="preserve">https://doi.org/10.1098/rsos.150088</w:t>
        </w:r>
      </w:hyperlink>
    </w:p>
    <w:bookmarkEnd w:id="125"/>
    <w:bookmarkStart w:id="127" w:name="ref-Niku2019gllvmFastanalysis"/>
    <w:p>
      <w:pPr>
        <w:pStyle w:val="Bibliography"/>
      </w:pPr>
      <w:r>
        <w:t xml:space="preserve">Niku, Jenni, Hui, Francis K. C., Taskinen, Sara &amp; Warton, David I. (2019) gllvm: Fast analysis of multivariate abundance data with generalized linear latent variable models in r.</w:t>
      </w:r>
      <w:r>
        <w:t xml:space="preserve"> </w:t>
      </w:r>
      <w:r>
        <w:rPr>
          <w:i/>
        </w:rPr>
        <w:t xml:space="preserve">Methods in Ecology and Evolution</w:t>
      </w:r>
      <w:r>
        <w:t xml:space="preserve"> </w:t>
      </w:r>
      <w:r>
        <w:t xml:space="preserve">10, 2173–2182.</w:t>
      </w:r>
      <w:r>
        <w:t xml:space="preserve"> </w:t>
      </w:r>
      <w:hyperlink r:id="rId126">
        <w:r>
          <w:rPr>
            <w:rStyle w:val="Hyperlink"/>
          </w:rPr>
          <w:t xml:space="preserve">https://doi.org/10.1111/2041-210X.13303</w:t>
        </w:r>
      </w:hyperlink>
    </w:p>
    <w:bookmarkEnd w:id="127"/>
    <w:bookmarkStart w:id="128" w:name="Xb5489c4465f4c1c7dcd80a3ff0501eb4665b501"/>
    <w:p>
      <w:pPr>
        <w:pStyle w:val="Bibliography"/>
      </w:pPr>
      <w:r>
        <w:t xml:space="preserve">Osada, Yutaka, Ushio, Masayuki &amp; Michio, Kondoh (2023) A unified framework for nonparametric causality detection., 2023.04.20.537743.</w:t>
      </w:r>
    </w:p>
    <w:bookmarkEnd w:id="128"/>
    <w:bookmarkStart w:id="130" w:name="X2f0538adea7e4863904e5643b1ac90390cce104"/>
    <w:p>
      <w:pPr>
        <w:pStyle w:val="Bibliography"/>
      </w:pPr>
      <w:r>
        <w:t xml:space="preserve">Peschel, Stefanie, Müller, Christian L, von Mutius, Erika, Boulesteix, Anne-Laure &amp; Depner, Martin (2021) NetCoMi: network construction and comparison for microbiome data in R.</w:t>
      </w:r>
      <w:r>
        <w:t xml:space="preserve"> </w:t>
      </w:r>
      <w:r>
        <w:rPr>
          <w:i/>
        </w:rPr>
        <w:t xml:space="preserve">Briefings in Bioinformatics</w:t>
      </w:r>
      <w:r>
        <w:t xml:space="preserve"> </w:t>
      </w:r>
      <w:r>
        <w:t xml:space="preserve">22, bbaa290.</w:t>
      </w:r>
      <w:r>
        <w:t xml:space="preserve"> </w:t>
      </w:r>
      <w:hyperlink r:id="rId129">
        <w:r>
          <w:rPr>
            <w:rStyle w:val="Hyperlink"/>
          </w:rPr>
          <w:t xml:space="preserve">https://doi.org/10.1093/bib/bbaa290</w:t>
        </w:r>
      </w:hyperlink>
    </w:p>
    <w:bookmarkEnd w:id="130"/>
    <w:bookmarkStart w:id="132" w:name="X715984a41d965ce24450aa0988de2d31c72bb38"/>
    <w:p>
      <w:pPr>
        <w:pStyle w:val="Bibliography"/>
      </w:pPr>
      <w:r>
        <w:t xml:space="preserve">R Core Team (2023) R: A Language and Environment for Statistical Computing.</w:t>
      </w:r>
      <w:r>
        <w:t xml:space="preserve"> </w:t>
      </w:r>
      <w:hyperlink r:id="rId131">
        <w:r>
          <w:rPr>
            <w:rStyle w:val="Hyperlink"/>
          </w:rPr>
          <w:t xml:space="preserve">https://www.R-project.org</w:t>
        </w:r>
      </w:hyperlink>
    </w:p>
    <w:bookmarkEnd w:id="132"/>
    <w:bookmarkStart w:id="134" w:name="ref-Rognes2016VSEARCHversatileopen"/>
    <w:p>
      <w:pPr>
        <w:pStyle w:val="Bibliography"/>
      </w:pPr>
      <w:r>
        <w:t xml:space="preserve">Rognes, Torbjørn, Flouri, Tomáš, Nichols, Ben, Quince, Christopher &amp; Mahé, Frédéric (2016) VSEARCH: a versatile open source tool for metagenomics.</w:t>
      </w:r>
      <w:r>
        <w:t xml:space="preserve"> </w:t>
      </w:r>
      <w:r>
        <w:rPr>
          <w:i/>
        </w:rPr>
        <w:t xml:space="preserve">PeerJ</w:t>
      </w:r>
      <w:r>
        <w:t xml:space="preserve"> </w:t>
      </w:r>
      <w:r>
        <w:t xml:space="preserve">4, e2584.</w:t>
      </w:r>
      <w:r>
        <w:t xml:space="preserve"> </w:t>
      </w:r>
      <w:hyperlink r:id="rId133">
        <w:r>
          <w:rPr>
            <w:rStyle w:val="Hyperlink"/>
          </w:rPr>
          <w:t xml:space="preserve">https://doi.org/10.7717/peerj.2584</w:t>
        </w:r>
      </w:hyperlink>
    </w:p>
    <w:bookmarkEnd w:id="134"/>
    <w:bookmarkStart w:id="136" w:name="ref-Sakata2022DevelopmentevaluationPCR"/>
    <w:p>
      <w:pPr>
        <w:pStyle w:val="Bibliography"/>
      </w:pPr>
      <w:r>
        <w:t xml:space="preserve">Sakata, Masayuki K., Kawata, Mone U., Kurabayashi, Atsushi, Kurita, Takaki, Nakamura, Masatoshi, Shirako, Tomoyasu, Kakehashi, Ryosuke, Nishikawa, Kanto, Hossman, Mohamad Yazid, Nishijima, Takashi, Kabamoto, Junichi, Miya, Masaki &amp; Minamoto, Toshifumi (2022) Development and evaluation of PCR primers for environmental DNA (eDNA) metabarcoding of Amphibia.</w:t>
      </w:r>
      <w:r>
        <w:t xml:space="preserve"> </w:t>
      </w:r>
      <w:r>
        <w:rPr>
          <w:i/>
        </w:rPr>
        <w:t xml:space="preserve">Metabarcoding and Metagenomics</w:t>
      </w:r>
      <w:r>
        <w:t xml:space="preserve"> </w:t>
      </w:r>
      <w:r>
        <w:t xml:space="preserve">6, e76534.</w:t>
      </w:r>
      <w:r>
        <w:t xml:space="preserve"> </w:t>
      </w:r>
      <w:hyperlink r:id="rId135">
        <w:r>
          <w:rPr>
            <w:rStyle w:val="Hyperlink"/>
          </w:rPr>
          <w:t xml:space="preserve">https://doi.org/10.3897/mbmg.6.76534</w:t>
        </w:r>
      </w:hyperlink>
    </w:p>
    <w:bookmarkEnd w:id="136"/>
    <w:bookmarkStart w:id="138" w:name="ref-Sato2018MitoFishMiFishPipeline"/>
    <w:p>
      <w:pPr>
        <w:pStyle w:val="Bibliography"/>
      </w:pPr>
      <w:r>
        <w:t xml:space="preserve">Sato, Yukuto, Miya, Masaki, Fukunaga, Tsukasa, Sado, Tetsuya &amp; Iwasaki, Wataru (2018) MitoFish and MiFish Pipeline: A Mitochondrial Genome Database of Fish with an Analysis Pipeline for Environmental DNA Metabarcoding.</w:t>
      </w:r>
      <w:r>
        <w:t xml:space="preserve"> </w:t>
      </w:r>
      <w:r>
        <w:rPr>
          <w:i/>
        </w:rPr>
        <w:t xml:space="preserve">Molecular Biology and Evolution</w:t>
      </w:r>
      <w:r>
        <w:t xml:space="preserve"> </w:t>
      </w:r>
      <w:r>
        <w:t xml:space="preserve">35, 1553–1555.</w:t>
      </w:r>
      <w:r>
        <w:t xml:space="preserve"> </w:t>
      </w:r>
      <w:hyperlink r:id="rId137">
        <w:r>
          <w:rPr>
            <w:rStyle w:val="Hyperlink"/>
          </w:rPr>
          <w:t xml:space="preserve">https://doi.org/10.1093/molbev/msy074</w:t>
        </w:r>
      </w:hyperlink>
    </w:p>
    <w:bookmarkEnd w:id="138"/>
    <w:bookmarkStart w:id="140" w:name="ref-Suzuki2006Pvclustpackageassessing"/>
    <w:p>
      <w:pPr>
        <w:pStyle w:val="Bibliography"/>
      </w:pPr>
      <w:r>
        <w:t xml:space="preserve">Suzuki, Ryota &amp; Shimodaira, Hidetoshi (2006) Pvclust: an R package for assessing the uncertainty in hierarchical clustering.</w:t>
      </w:r>
      <w:r>
        <w:t xml:space="preserve"> </w:t>
      </w:r>
      <w:r>
        <w:rPr>
          <w:i/>
        </w:rPr>
        <w:t xml:space="preserve">Bioinformatics</w:t>
      </w:r>
      <w:r>
        <w:t xml:space="preserve"> </w:t>
      </w:r>
      <w:r>
        <w:t xml:space="preserve">22, 1540–1542.</w:t>
      </w:r>
      <w:r>
        <w:t xml:space="preserve"> </w:t>
      </w:r>
      <w:hyperlink r:id="rId139">
        <w:r>
          <w:rPr>
            <w:rStyle w:val="Hyperlink"/>
          </w:rPr>
          <w:t xml:space="preserve">https://doi.org/10.1093/bioinformatics/btl117</w:t>
        </w:r>
      </w:hyperlink>
    </w:p>
    <w:bookmarkEnd w:id="140"/>
    <w:bookmarkStart w:id="142" w:name="ref-Takenaka2023DevelopmentnovelPCR"/>
    <w:p>
      <w:pPr>
        <w:pStyle w:val="Bibliography"/>
      </w:pPr>
      <w:r>
        <w:t xml:space="preserve">Takenaka, Masaki, Yano, Koki, Suzuki, Tomoya &amp; Tojo, Koji (2023) Development of novel PCR primer sets for DNA barcoding of aquatic insects, and the discovery of some cryptic species.</w:t>
      </w:r>
      <w:r>
        <w:t xml:space="preserve"> </w:t>
      </w:r>
      <w:r>
        <w:rPr>
          <w:i/>
        </w:rPr>
        <w:t xml:space="preserve">Limnology</w:t>
      </w:r>
      <w:r>
        <w:t xml:space="preserve"> </w:t>
      </w:r>
      <w:r>
        <w:t xml:space="preserve">24, 121–136.</w:t>
      </w:r>
      <w:r>
        <w:t xml:space="preserve"> </w:t>
      </w:r>
      <w:hyperlink r:id="rId141">
        <w:r>
          <w:rPr>
            <w:rStyle w:val="Hyperlink"/>
          </w:rPr>
          <w:t xml:space="preserve">https://doi.org/10.1007/s10201-022-00710-5</w:t>
        </w:r>
      </w:hyperlink>
    </w:p>
    <w:bookmarkEnd w:id="142"/>
    <w:bookmarkStart w:id="144" w:name="ref-Tanabe2013TwoNewComputational"/>
    <w:p>
      <w:pPr>
        <w:pStyle w:val="Bibliography"/>
      </w:pPr>
      <w:r>
        <w:t xml:space="preserve">Tanabe, Akifumi S. &amp; Toju, Hirokazu (2013) Two New Computational Methods for Universal DNA Barcoding: A Benchmark Using Barcode Sequences of Bacteria, Archaea, Animals, Fungi, and Land Plants.</w:t>
      </w:r>
      <w:r>
        <w:t xml:space="preserve"> </w:t>
      </w:r>
      <w:r>
        <w:rPr>
          <w:i/>
        </w:rPr>
        <w:t xml:space="preserve">PLOS ONE</w:t>
      </w:r>
      <w:r>
        <w:t xml:space="preserve"> </w:t>
      </w:r>
      <w:r>
        <w:t xml:space="preserve">8, e76910.</w:t>
      </w:r>
      <w:r>
        <w:t xml:space="preserve"> </w:t>
      </w:r>
      <w:hyperlink r:id="rId143">
        <w:r>
          <w:rPr>
            <w:rStyle w:val="Hyperlink"/>
          </w:rPr>
          <w:t xml:space="preserve">https://doi.org/10.1371/journal.pone.0076910</w:t>
        </w:r>
      </w:hyperlink>
    </w:p>
    <w:bookmarkEnd w:id="144"/>
    <w:bookmarkStart w:id="146" w:name="ref-Tikhonov2020Jointspeciesdistribution"/>
    <w:p>
      <w:pPr>
        <w:pStyle w:val="Bibliography"/>
      </w:pPr>
      <w:r>
        <w:t xml:space="preserve">Tikhonov, Gleb, Opedal, Øystein H., Abrego, Nerea, Lehikoinen, Aleksi, de Jonge, Melinda M. J., Oksanen, Jari &amp; Ovaskainen, Otso (2020) Joint species distribution modelling with the r-package Hmsc.</w:t>
      </w:r>
      <w:r>
        <w:t xml:space="preserve"> </w:t>
      </w:r>
      <w:r>
        <w:rPr>
          <w:i/>
        </w:rPr>
        <w:t xml:space="preserve">Methods in Ecology and Evolution</w:t>
      </w:r>
      <w:r>
        <w:t xml:space="preserve"> </w:t>
      </w:r>
      <w:r>
        <w:t xml:space="preserve">11, 442–447.</w:t>
      </w:r>
      <w:r>
        <w:t xml:space="preserve"> </w:t>
      </w:r>
      <w:hyperlink r:id="rId145">
        <w:r>
          <w:rPr>
            <w:rStyle w:val="Hyperlink"/>
          </w:rPr>
          <w:t xml:space="preserve">https://doi.org/10.1111/2041-210X.13345</w:t>
        </w:r>
      </w:hyperlink>
    </w:p>
    <w:bookmarkEnd w:id="146"/>
    <w:bookmarkStart w:id="148" w:name="ref-Ushio2017EnvironmentalDNAenables"/>
    <w:p>
      <w:pPr>
        <w:pStyle w:val="Bibliography"/>
      </w:pPr>
      <w:r>
        <w:t xml:space="preserve">Ushio, Masayuki, Fukuda, Hisato, Inoue, Toshiki, Makoto, Kobayashi, Kishida, Osamu, Sato, Keiichi, Murata, Koichi, Nikaido, Masato, Sado, Tetsuya, Sato, Yukuto, Takeshita, Masamichi, Iwasaki, Wataru, Yamanaka, Hiroki, Kondoh, Michio &amp; Miya, Masaki (2017) Environmental DNA enables detection of terrestrial mammals from forest pond water.</w:t>
      </w:r>
      <w:r>
        <w:t xml:space="preserve"> </w:t>
      </w:r>
      <w:r>
        <w:rPr>
          <w:i/>
        </w:rPr>
        <w:t xml:space="preserve">Molecular Ecology Resources</w:t>
      </w:r>
      <w:r>
        <w:t xml:space="preserve"> </w:t>
      </w:r>
      <w:r>
        <w:t xml:space="preserve">17, e63–e75.</w:t>
      </w:r>
      <w:r>
        <w:t xml:space="preserve"> </w:t>
      </w:r>
      <w:hyperlink r:id="rId147">
        <w:r>
          <w:rPr>
            <w:rStyle w:val="Hyperlink"/>
          </w:rPr>
          <w:t xml:space="preserve">https://doi.org/10.1111/1755-0998.12690</w:t>
        </w:r>
      </w:hyperlink>
    </w:p>
    <w:bookmarkEnd w:id="148"/>
    <w:bookmarkStart w:id="150" w:name="Xa784d30867563540627e1d7a6dcc22df1df8fb8"/>
    <w:p>
      <w:pPr>
        <w:pStyle w:val="Bibliography"/>
      </w:pPr>
      <w:r>
        <w:t xml:space="preserve">Ushio, Masayuki, Furukawa, Saori, Murakami, Hiroaki, Masuda, Reiji &amp; Nagano, Atsushi J. (2022) An efficient early-pooling protocol for environmental DNA metabarcoding.</w:t>
      </w:r>
      <w:r>
        <w:t xml:space="preserve"> </w:t>
      </w:r>
      <w:r>
        <w:rPr>
          <w:i/>
        </w:rPr>
        <w:t xml:space="preserve">Environmental DNA</w:t>
      </w:r>
      <w:r>
        <w:t xml:space="preserve"> </w:t>
      </w:r>
      <w:r>
        <w:t xml:space="preserve">4, 1212–1228.</w:t>
      </w:r>
      <w:r>
        <w:t xml:space="preserve"> </w:t>
      </w:r>
      <w:hyperlink r:id="rId149">
        <w:r>
          <w:rPr>
            <w:rStyle w:val="Hyperlink"/>
          </w:rPr>
          <w:t xml:space="preserve">https://doi.org/10.1002/edn3.337</w:t>
        </w:r>
      </w:hyperlink>
    </w:p>
    <w:bookmarkEnd w:id="150"/>
    <w:bookmarkStart w:id="152" w:name="Xb70268fb8d30bc36d7218049aa0a0593819a413"/>
    <w:p>
      <w:pPr>
        <w:pStyle w:val="Bibliography"/>
      </w:pPr>
      <w:r>
        <w:t xml:space="preserve">Ushio, Masayuki, Murakami, Hiroaki, Masuda, Reiji, Sado, Tetsuya, Miya, Masaki, Sakurai, Sho, Yamanaka, Hiroki, Minamoto, Toshifumi &amp; Kondoh, Michio (2018a) Quantitative monitoring of multispecies fish environmental DNA using high-throughput sequencing.</w:t>
      </w:r>
      <w:r>
        <w:t xml:space="preserve"> </w:t>
      </w:r>
      <w:r>
        <w:rPr>
          <w:i/>
        </w:rPr>
        <w:t xml:space="preserve">Metabarcoding and Metagenomics</w:t>
      </w:r>
      <w:r>
        <w:t xml:space="preserve"> </w:t>
      </w:r>
      <w:r>
        <w:t xml:space="preserve">2, e23297.</w:t>
      </w:r>
      <w:r>
        <w:t xml:space="preserve"> </w:t>
      </w:r>
      <w:hyperlink r:id="rId151">
        <w:r>
          <w:rPr>
            <w:rStyle w:val="Hyperlink"/>
          </w:rPr>
          <w:t xml:space="preserve">https://doi.org/10.3897/mbmg.2.23297</w:t>
        </w:r>
      </w:hyperlink>
    </w:p>
    <w:bookmarkEnd w:id="152"/>
    <w:bookmarkStart w:id="154" w:name="X825629c0fd5f4225af5d59edf6d209b5c564ef2"/>
    <w:p>
      <w:pPr>
        <w:pStyle w:val="Bibliography"/>
      </w:pPr>
      <w:r>
        <w:t xml:space="preserve">Ushio, Masayuki, Murata, Koichi, Sado, Tetsuya, Nishiumi, Isao, Takeshita, Masamichi, Iwasaki, Wataru &amp; Miya, Masaki (2018b) Demonstration of the potential of environmental DNA as a tool for the detection of avian species.</w:t>
      </w:r>
      <w:r>
        <w:t xml:space="preserve"> </w:t>
      </w:r>
      <w:r>
        <w:rPr>
          <w:i/>
        </w:rPr>
        <w:t xml:space="preserve">Scientific Reports</w:t>
      </w:r>
      <w:r>
        <w:t xml:space="preserve"> </w:t>
      </w:r>
      <w:r>
        <w:t xml:space="preserve">8, 4493.</w:t>
      </w:r>
      <w:r>
        <w:t xml:space="preserve"> </w:t>
      </w:r>
      <w:hyperlink r:id="rId153">
        <w:r>
          <w:rPr>
            <w:rStyle w:val="Hyperlink"/>
          </w:rPr>
          <w:t xml:space="preserve">https://doi.org/10.1038/s41598-018-22817-5</w:t>
        </w:r>
      </w:hyperlink>
    </w:p>
    <w:bookmarkEnd w:id="154"/>
    <w:bookmarkStart w:id="156" w:name="ref-Warton2015ManyVariablesJoint"/>
    <w:p>
      <w:pPr>
        <w:pStyle w:val="Bibliography"/>
      </w:pPr>
      <w:r>
        <w:t xml:space="preserve">Warton, David I., Blanchet, F. Guillaume, O’Hara, Robert B., Ovaskainen, Otso, Taskinen, Sara, Walker, Steven C. &amp; Hui, Francis K. C. (2015) So Many Variables: Joint Modeling in Community Ecology.</w:t>
      </w:r>
      <w:r>
        <w:t xml:space="preserve"> </w:t>
      </w:r>
      <w:r>
        <w:rPr>
          <w:i/>
        </w:rPr>
        <w:t xml:space="preserve">Trends in Ecology &amp; Evolution</w:t>
      </w:r>
      <w:r>
        <w:t xml:space="preserve"> </w:t>
      </w:r>
      <w:r>
        <w:t xml:space="preserve">30, 766–779.</w:t>
      </w:r>
      <w:r>
        <w:t xml:space="preserve"> </w:t>
      </w:r>
      <w:hyperlink r:id="rId155">
        <w:r>
          <w:rPr>
            <w:rStyle w:val="Hyperlink"/>
          </w:rPr>
          <w:t xml:space="preserve">https://doi.org/10.1016/j.tree.2015.09.007</w:t>
        </w:r>
      </w:hyperlink>
    </w:p>
    <w:bookmarkEnd w:id="156"/>
    <w:bookmarkStart w:id="158" w:name="ref-Wen2022ggClusterNetpackagemicrobiome"/>
    <w:p>
      <w:pPr>
        <w:pStyle w:val="Bibliography"/>
      </w:pPr>
      <w:r>
        <w:t xml:space="preserve">Wen, Tao, Xie, Penghao, Yang, Shengdie, Niu, Guoqing, Liu, Xiaoyu, Ding, Zhexu, Xue, Chao, Liu, Yong-Xin, Shen, Qirong &amp; Yuan, Jun (2022) ggClusterNet: An R package for microbiome network analysis and modularity-based multiple network layouts.</w:t>
      </w:r>
      <w:r>
        <w:t xml:space="preserve"> </w:t>
      </w:r>
      <w:r>
        <w:rPr>
          <w:i/>
        </w:rPr>
        <w:t xml:space="preserve">iMeta</w:t>
      </w:r>
      <w:r>
        <w:t xml:space="preserve"> </w:t>
      </w:r>
      <w:r>
        <w:t xml:space="preserve">1, e32.</w:t>
      </w:r>
      <w:r>
        <w:t xml:space="preserve"> </w:t>
      </w:r>
      <w:hyperlink r:id="rId157">
        <w:r>
          <w:rPr>
            <w:rStyle w:val="Hyperlink"/>
          </w:rPr>
          <w:t xml:space="preserve">https://doi.org/10.1002/imt2.32</w:t>
        </w:r>
      </w:hyperlink>
    </w:p>
    <w:bookmarkEnd w:id="158"/>
    <w:bookmarkStart w:id="160" w:name="X1f074db7003527090399b02c766a63d468281d4"/>
    <w:p>
      <w:pPr>
        <w:pStyle w:val="Bibliography"/>
      </w:pPr>
      <w:r>
        <w:t xml:space="preserve">Ye, Hao &amp; Sugihara, George (2016) Information leverage in interconnected ecosystems: Overcoming the curse of dimensionality.</w:t>
      </w:r>
      <w:r>
        <w:t xml:space="preserve"> </w:t>
      </w:r>
      <w:r>
        <w:rPr>
          <w:i/>
        </w:rPr>
        <w:t xml:space="preserve">Science</w:t>
      </w:r>
      <w:r>
        <w:t xml:space="preserve"> </w:t>
      </w:r>
      <w:r>
        <w:t xml:space="preserve">353, 922–925.</w:t>
      </w:r>
      <w:r>
        <w:t xml:space="preserve"> </w:t>
      </w:r>
      <w:hyperlink r:id="rId159">
        <w:r>
          <w:rPr>
            <w:rStyle w:val="Hyperlink"/>
          </w:rPr>
          <w:t xml:space="preserve">https://doi.org/10.1126/science.aag0863</w:t>
        </w:r>
      </w:hyperlink>
    </w:p>
    <w:bookmarkEnd w:id="160"/>
    <w:bookmarkStart w:id="162" w:name="ref-Zhu2023MitoFishMitoAnnotatorMiFish"/>
    <w:p>
      <w:pPr>
        <w:pStyle w:val="Bibliography"/>
      </w:pPr>
      <w:r>
        <w:t xml:space="preserve">Zhu, Tao, Sato, Yukuto, Sado, Tetsuya, Miya, Masaki &amp; Iwasaki, Wataru (2023) MitoFish, MitoAnnotator, and MiFish Pipeline: Updates in 10 Years.</w:t>
      </w:r>
      <w:r>
        <w:t xml:space="preserve"> </w:t>
      </w:r>
      <w:r>
        <w:rPr>
          <w:i/>
        </w:rPr>
        <w:t xml:space="preserve">Molecular Biology and Evolution</w:t>
      </w:r>
      <w:r>
        <w:t xml:space="preserve"> </w:t>
      </w:r>
      <w:r>
        <w:t xml:space="preserve">40, msad035.</w:t>
      </w:r>
      <w:r>
        <w:t xml:space="preserve"> </w:t>
      </w:r>
      <w:hyperlink r:id="rId161">
        <w:r>
          <w:rPr>
            <w:rStyle w:val="Hyperlink"/>
          </w:rPr>
          <w:t xml:space="preserve">https://doi.org/10.1093/molbev/msad035</w:t>
        </w:r>
      </w:hyperlink>
    </w:p>
    <w:bookmarkEnd w:id="162"/>
    <w:bookmarkStart w:id="164" w:name="X3fa7bd9d1e1cd3d5768c0028a5675af621ae7eb"/>
    <w:p>
      <w:pPr>
        <w:pStyle w:val="Bibliography"/>
      </w:pPr>
      <w:r>
        <w:t xml:space="preserve">土居秀幸 ・ 岡村寛 (2011) 生物群集解析のための類似度とその応用: Rを使った類似度の算出、グラフ化、検定. 日本生態学会誌 61, 3–20.</w:t>
      </w:r>
      <w:r>
        <w:t xml:space="preserve"> </w:t>
      </w:r>
      <w:hyperlink r:id="rId163">
        <w:r>
          <w:rPr>
            <w:rStyle w:val="Hyperlink"/>
          </w:rPr>
          <w:t xml:space="preserve">https://doi.org/10.18960/seitai.61.1_3</w:t>
        </w:r>
      </w:hyperlink>
    </w:p>
    <w:bookmarkEnd w:id="164"/>
    <w:bookmarkStart w:id="166" w:name="X536189f8a8958aa476ad4eb3e46e43a80bf2db2"/>
    <w:p>
      <w:pPr>
        <w:pStyle w:val="Bibliography"/>
      </w:pPr>
      <w:r>
        <w:t xml:space="preserve">門脇浩明 (2016) メタゲノムデータを用いた群集統計解析法：レアファクションから仮説検定まで. 日本生態学会第63回大会講演資料.</w:t>
      </w:r>
      <w:r>
        <w:t xml:space="preserve"> </w:t>
      </w:r>
      <w:hyperlink r:id="rId165">
        <w:r>
          <w:rPr>
            <w:rStyle w:val="Hyperlink"/>
          </w:rPr>
          <w:t xml:space="preserve">https://www.fifthdimension.jp/wiki.cgi?page=%BC%AB%CD%B3%BD%B8%B2%F12016%A1%A7%A5%E1%A5%BF%A5%D0%A1%BC%A5%B3%A1%BC%A5%C7%A5%A3%A5%F3%A5%B0%A1%A6%B4%C4%B6%ADDNA%A5%D0%A1%BC%A5%B3%A1%BC%A5%C7%A5%A3%A5%F3%A5%B0%B2%F2%C0%CF%A4%CE%B5%BB%CB%A1</w:t>
        </w:r>
      </w:hyperlink>
    </w:p>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9" Target="https://doi.org/10.1002/edn3.337" TargetMode="External" /><Relationship Type="http://schemas.openxmlformats.org/officeDocument/2006/relationships/hyperlink" Id="rId157" Target="https://doi.org/10.1002/imt2.32" TargetMode="External" /><Relationship Type="http://schemas.openxmlformats.org/officeDocument/2006/relationships/hyperlink" Id="rId141"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5"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3"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39" Target="https://doi.org/10.1093/bioinformatics/btl117"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61"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7"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5" Target="https://doi.org/10.1111/2041-210X.13345" TargetMode="External" /><Relationship Type="http://schemas.openxmlformats.org/officeDocument/2006/relationships/hyperlink" Id="rId159"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3"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3" Target="https://doi.org/10.18960/seitai.61.1_3" TargetMode="External" /><Relationship Type="http://schemas.openxmlformats.org/officeDocument/2006/relationships/hyperlink" Id="rId151"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5" Target="https://www.fifthdimension.jp/wiki.cgi?page=%BC%AB%CD%B3%BD%B8%B2%F12016%A1%A7%A5%E1%A5%BF%A5%D0%A1%BC%A5%B3%A1%BC%A5%C7%A5%A3%A5%F3%A5%B0%A1%A6%B4%C4%B6%ADDNA%A5%D0%A1%BC%A5%B3%A1%BC%A5%C7%A5%A3%A5%F3%A5%B0%B2%F2%C0%CF%A4%CE%B5%BB%CB%A1" TargetMode="External" /></Relationships>
</file>

<file path=word/_rels/footnotes.xml.rels><?xml version="1.0" encoding="UTF-8"?>
<Relationships xmlns="http://schemas.openxmlformats.org/package/2006/relationships"><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9" Target="https://doi.org/10.1002/edn3.337" TargetMode="External" /><Relationship Type="http://schemas.openxmlformats.org/officeDocument/2006/relationships/hyperlink" Id="rId157" Target="https://doi.org/10.1002/imt2.32" TargetMode="External" /><Relationship Type="http://schemas.openxmlformats.org/officeDocument/2006/relationships/hyperlink" Id="rId141"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5"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3"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39" Target="https://doi.org/10.1093/bioinformatics/btl117"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61"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7"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5" Target="https://doi.org/10.1111/2041-210X.13345" TargetMode="External" /><Relationship Type="http://schemas.openxmlformats.org/officeDocument/2006/relationships/hyperlink" Id="rId159"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3"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3" Target="https://doi.org/10.18960/seitai.61.1_3" TargetMode="External" /><Relationship Type="http://schemas.openxmlformats.org/officeDocument/2006/relationships/hyperlink" Id="rId151"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5" Target="https://www.fifthdimension.jp/wiki.cgi?page=%BC%AB%CD%B3%BD%B8%B2%F12016%A1%A7%A5%E1%A5%BF%A5%D0%A1%BC%A5%B3%A1%BC%A5%C7%A5%A3%A5%F3%A5%B0%A1%A6%B4%C4%B6%ADDNA%A5%D0%A1%BC%A5%B3%A1%BC%A5%C7%A5%A3%A5%F3%A5%B0%B2%F2%C0%CF%A4%CE%B5%BB%CB%A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2024-02-15T19:17:52Z</dcterms:created>
  <dcterms:modified xsi:type="dcterms:W3CDTF">2024-02-15T19:17:52Z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metabarcodinganalysiswithClaident.yaml</vt:lpwstr>
  </property>
  <property fmtid="{D5CDD505-2E9C-101B-9397-08002B2CF9AE}" pid="3" name="classoption">
    <vt:lpwstr>pandoc</vt:lpwstr>
  </property>
  <property fmtid="{D5CDD505-2E9C-101B-9397-08002B2CF9AE}" pid="4" name="csl">
    <vt:lpwstr>citationstyle.csl</vt:lpwstr>
  </property>
  <property fmtid="{D5CDD505-2E9C-101B-9397-08002B2CF9AE}" pid="5" name="date">
    <vt:lpwstr>2024-02-15</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