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2024-05-10</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なお、AnacondaやMinicondaなど、環境を改変してしまうプログラムがインストールされていると、Claidentを正常にインストールすることができません。</w:t>
      </w:r>
      <w:r>
        <w:t xml:space="preserve"> </w:t>
      </w:r>
      <w:r>
        <w:t xml:space="preserve">一時的に無効化するか、それらのプログラムを一切使用していない別のユーザーアカウントでコンピュータにログインしてインストールする必要があります。</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macOSをご利用の方は、下記のページを参照してHomebrewをインストールして下さい。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キメラ除去1回目</w:t>
      </w:r>
      <w:r>
        <w:t xml:space="preserve"> </w:t>
      </w:r>
      <w:r>
        <w:t xml:space="preserve">(Edgar 2016; 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キメラ除去2回目</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r>
        <w:t xml:space="preserve"> </w:t>
      </w:r>
      <w:r>
        <w:t xml:space="preserve">なお、RunIDとPrimerIDを省略し、以下の形式で記述することもできます。</w:t>
      </w:r>
    </w:p>
    <w:p>
      <w:pPr>
        <w:pStyle w:val="SourceCode"/>
      </w:pPr>
      <w:r>
        <w:rPr>
          <w:rStyle w:val="NormalTok"/>
        </w:rPr>
        <w:t xml:space="preserve">BlankMaterialID1</w:t>
      </w:r>
      <w:r>
        <w:br/>
      </w:r>
      <w:r>
        <w:rPr>
          <w:rStyle w:val="NormalTok"/>
        </w:rPr>
        <w:t xml:space="preserve">BlankMaterialID2</w:t>
      </w:r>
      <w:r>
        <w:br/>
      </w:r>
      <w:r>
        <w:rPr>
          <w:rStyle w:val="NormalTok"/>
        </w:rPr>
        <w:t xml:space="preserve">BlankMaterialID3</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なお、RunIDとPrimerIDを省略し、以下の形式で記述することもできます。</w:t>
      </w:r>
    </w:p>
    <w:p>
      <w:pPr>
        <w:pStyle w:val="SourceCode"/>
      </w:pPr>
      <w:r>
        <w:rPr>
          <w:rStyle w:val="NormalTok"/>
        </w:rPr>
        <w:t xml:space="preserve">SampleMaterialID1  1000  1000</w:t>
      </w:r>
      <w:r>
        <w:br/>
      </w:r>
      <w:r>
        <w:rPr>
          <w:rStyle w:val="NormalTok"/>
        </w:rPr>
        <w:t xml:space="preserve">SampleMaterialID2  1000  500</w:t>
      </w:r>
      <w:r>
        <w:br/>
      </w:r>
      <w:r>
        <w:rPr>
          <w:rStyle w:val="NormalTok"/>
        </w:rPr>
        <w:t xml:space="preserve">SampleMaterialID3  1500</w:t>
      </w:r>
      <w:r>
        <w:br/>
      </w:r>
      <w:r>
        <w:rPr>
          <w:rStyle w:val="NormalTok"/>
        </w:rPr>
        <w:t xml:space="preserve">BlankMaterialID1   500</w:t>
      </w:r>
      <w:r>
        <w:br/>
      </w:r>
      <w:r>
        <w:rPr>
          <w:rStyle w:val="NormalTok"/>
        </w:rPr>
        <w:t xml:space="preserve">BlankMaterialID2   500</w:t>
      </w:r>
      <w:r>
        <w:br/>
      </w:r>
      <w:r>
        <w:rPr>
          <w:rStyle w:val="NormalTok"/>
        </w:rPr>
        <w:t xml:space="preserve">BlankMaterialID3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なお、RunIDとPrimerIDを省略し、以下の形式で記述することもできます。</w:t>
      </w:r>
    </w:p>
    <w:p>
      <w:pPr>
        <w:pStyle w:val="SourceCode"/>
      </w:pPr>
      <w:r>
        <w:rPr>
          <w:rStyle w:val="NormalTok"/>
        </w:rPr>
        <w:t xml:space="preserve">SampleMaterialID1  200  200</w:t>
      </w:r>
      <w:r>
        <w:br/>
      </w:r>
      <w:r>
        <w:rPr>
          <w:rStyle w:val="NormalTok"/>
        </w:rPr>
        <w:t xml:space="preserve">SampleMaterialID2  200  200</w:t>
      </w:r>
      <w:r>
        <w:br/>
      </w:r>
      <w:r>
        <w:rPr>
          <w:rStyle w:val="NormalTok"/>
        </w:rPr>
        <w:t xml:space="preserve">SampleMaterialID3  200</w:t>
      </w:r>
      <w:r>
        <w:br/>
      </w:r>
      <w:r>
        <w:rPr>
          <w:rStyle w:val="NormalTok"/>
        </w:rPr>
        <w:t xml:space="preserve">BlankMaterialID1   200</w:t>
      </w:r>
      <w:r>
        <w:br/>
      </w:r>
      <w:r>
        <w:rPr>
          <w:rStyle w:val="NormalTok"/>
        </w:rPr>
        <w:t xml:space="preserve">BlankMaterialID2   200</w:t>
      </w:r>
      <w:r>
        <w:br/>
      </w:r>
      <w:r>
        <w:rPr>
          <w:rStyle w:val="NormalTok"/>
        </w:rPr>
        <w:t xml:space="preserve">BlankMaterialID3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なお、RunIDとPrimerIDを省略し、以下の形式で記述することもできます。</w:t>
      </w:r>
    </w:p>
    <w:p>
      <w:pPr>
        <w:pStyle w:val="SourceCode"/>
      </w:pPr>
      <w:r>
        <w:rPr>
          <w:rStyle w:val="NormalTok"/>
        </w:rPr>
        <w:t xml:space="preserve">samplename        MiFish_STD_01 MiFish_STD_02 MiFish_STD_03 MiFish_STD_04-2</w:t>
      </w:r>
      <w:r>
        <w:br/>
      </w:r>
      <w:r>
        <w:rPr>
          <w:rStyle w:val="NormalTok"/>
        </w:rPr>
        <w:t xml:space="preserve">SampleMaterialID1 5             10            20            40</w:t>
      </w:r>
      <w:r>
        <w:br/>
      </w:r>
      <w:r>
        <w:rPr>
          <w:rStyle w:val="NormalTok"/>
        </w:rPr>
        <w:t xml:space="preserve">SampleMaterialID2 5             10            20            40</w:t>
      </w:r>
      <w:r>
        <w:br/>
      </w:r>
      <w:r>
        <w:rPr>
          <w:rStyle w:val="NormalTok"/>
        </w:rPr>
        <w:t xml:space="preserve">SampleMaterialID3 5             10            20            40</w:t>
      </w:r>
      <w:r>
        <w:br/>
      </w:r>
      <w:r>
        <w:rPr>
          <w:rStyle w:val="NormalTok"/>
        </w:rPr>
        <w:t xml:space="preserve">BlankMaterialID1  5             10            20            40</w:t>
      </w:r>
      <w:r>
        <w:br/>
      </w:r>
      <w:r>
        <w:rPr>
          <w:rStyle w:val="NormalTok"/>
        </w:rPr>
        <w:t xml:space="preserve">BlankMaterialID2  5             10            20            40</w:t>
      </w:r>
      <w:r>
        <w:br/>
      </w:r>
      <w:r>
        <w:rPr>
          <w:rStyle w:val="NormalTok"/>
        </w:rPr>
        <w:t xml:space="preserve">BlankMaterialID3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サンプルDNA溶液も内部標準DNA溶液もどちらも10倍希釈して混合してPCRした場合は1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キメラ除去1回目"/>
      <w:r>
        <w:t xml:space="preserve">clremovechimevによるキメラ除去1回目</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--mode=both \</w:t>
      </w:r>
      <w:r>
        <w:br/>
      </w:r>
      <w:r>
        <w:rPr>
          <w:rStyle w:val="NormalTok"/>
        </w:rPr>
        <w:t xml:space="preserve">--uchimedenovo=3 \</w:t>
      </w:r>
      <w:r>
        <w:br/>
      </w:r>
      <w:r>
        <w:rPr>
          <w:rStyle w:val="NormalTok"/>
        </w:rPr>
        <w:t xml:space="preserve">--referencedb=cdu12s \</w:t>
      </w:r>
      <w:r>
        <w:br/>
      </w:r>
      <w:r>
        <w:rPr>
          <w:rStyle w:val="NormalTok"/>
        </w:rPr>
        <w:t xml:space="preserve">--addtoref=standard.fasta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--mode=both</w:t>
      </w:r>
      <w:r>
        <w:t xml:space="preserve">では、参照配列データベースを用いないキメラ除去と参照配列データベースを用いるキメラ除去の両方をそれぞれ実行して、どちらにおいてもキメラではないと判定された配列を残して、それ以外は除去します。</w:t>
      </w:r>
      <w:r>
        <w:t xml:space="preserve"> </w:t>
      </w:r>
      <w:r>
        <w:t xml:space="preserve">参照配列データベースを用いないキメラ除去法であるUCHIME de novoは異なる3つのバージョンがありますが、デノイジングした塩基配列に対して最適化されているのはUCHIME3なので、</w:t>
      </w:r>
      <w:r>
        <w:rPr>
          <w:rStyle w:val="VerbatimChar"/>
        </w:rPr>
        <w:t xml:space="preserve">--uchimedenovo</w:t>
      </w:r>
      <w:r>
        <w:t xml:space="preserve">ではそれを選択しています。</w:t>
      </w:r>
      <w:r>
        <w:t xml:space="preserve"> </w:t>
      </w:r>
      <w:r>
        <w:t xml:space="preserve">参照配列データベースを用いたキメラ除去モードでは、参照配列データベースを指定してやる必要があります。</w:t>
      </w:r>
      <w:r>
        <w:t xml:space="preserve"> </w:t>
      </w:r>
      <w:r>
        <w:t xml:space="preserve">Claidentのインストーラで自動インストールされる参照配列データベースは以下の通りです。</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そこで、内部標準DNA配列(「</w:t>
      </w:r>
      <w:r>
        <w:rPr>
          <w:rStyle w:val="VerbatimChar"/>
        </w:rPr>
        <w:t xml:space="preserve">standard.fasta</w:t>
      </w:r>
      <w:r>
        <w:t xml:space="preserve">」に含まれている)を</w:t>
      </w:r>
      <w:r>
        <w:rPr>
          <w:rStyle w:val="VerbatimChar"/>
        </w:rPr>
        <w:t xml:space="preserve">--addtoref</w:t>
      </w:r>
      <w:r>
        <w:t xml:space="preserve">で参照配列に追加することで、キメラの検出力向上を狙っています。</w:t>
      </w:r>
    </w:p>
    <w:p>
      <w:pPr>
        <w:pStyle w:val="BodyText"/>
      </w:pPr>
      <w:r>
        <w:t xml:space="preserve">参照配列データベースに適したものがなく、内部標準DNAを混合してPCRするライブラリ調製を行っている場合は、内部標準DNA配列(「</w:t>
      </w:r>
      <w:r>
        <w:rPr>
          <w:rStyle w:val="VerbatimChar"/>
        </w:rPr>
        <w:t xml:space="preserve">standard.fasta</w:t>
      </w:r>
      <w:r>
        <w:t xml:space="preserve">」に含まれている)を</w:t>
      </w:r>
      <w:r>
        <w:rPr>
          <w:rStyle w:val="VerbatimChar"/>
        </w:rPr>
        <w:t xml:space="preserve">--referencedb</w:t>
      </w:r>
      <w:r>
        <w:t xml:space="preserve">に指定して</w:t>
      </w:r>
      <w:r>
        <w:rPr>
          <w:rStyle w:val="VerbatimChar"/>
        </w:rPr>
        <w:t xml:space="preserve">--mode=both</w:t>
      </w:r>
      <w:r>
        <w:t xml:space="preserve">でキメラ除去を行って下さい。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w:t>
      </w:r>
      <w:r>
        <w:rPr>
          <w:rStyle w:val="VerbatimChar"/>
        </w:rPr>
        <w:t xml:space="preserve">--mode=both</w:t>
      </w:r>
      <w:r>
        <w:t xml:space="preserve">の代わりに</w:t>
      </w:r>
      <w:r>
        <w:rPr>
          <w:rStyle w:val="VerbatimChar"/>
        </w:rPr>
        <w:t xml:space="preserve">--mode=denovo</w:t>
      </w:r>
      <w:r>
        <w:t xml:space="preserve">として参照配列データベースを用いないキメラ除去だけを実行します。</w:t>
      </w:r>
      <w:r>
        <w:t xml:space="preserve"> </w:t>
      </w:r>
      <w:r>
        <w:t xml:space="preserve">この場合も</w:t>
      </w:r>
      <w:r>
        <w:rPr>
          <w:rStyle w:val="VerbatimChar"/>
        </w:rPr>
        <w:t xml:space="preserve">--addtoref</w:t>
      </w:r>
      <w:r>
        <w:t xml:space="preserve">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0" w:name="clremovechimevによるキメラ除去2回目"/>
      <w:r>
        <w:t xml:space="preserve">clremovechimevによるキメラ除去2回目</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キメラ除去用参照配列データベースについてはキメラ除去1回目の節を参照して下さい。</w:t>
      </w:r>
    </w:p>
    <w:p>
      <w:pPr>
        <w:pStyle w:val="BodyText"/>
      </w:pP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w:t>
      </w:r>
      <w:r>
        <w:rPr>
          <w:rStyle w:val="VerbatimChar"/>
        </w:rPr>
        <w:t xml:space="preserve">--addtoref</w:t>
      </w:r>
      <w:r>
        <w:t xml:space="preserve">で参照配列に追加することで、キメラの検出力向上を狙っています。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参照配列データベースに適したものがなく、内部標準DNAを混合してPCRするライブラリ調製を行っている場合は、内部標準DNAと判定された配列群(「</w:t>
      </w:r>
      <w:r>
        <w:rPr>
          <w:rStyle w:val="VerbatimChar"/>
        </w:rPr>
        <w:t xml:space="preserve">07_stdclustered/stdvariations.fasta</w:t>
      </w:r>
      <w:r>
        <w:t xml:space="preserve">」に含まれている)を</w:t>
      </w:r>
      <w:r>
        <w:rPr>
          <w:rStyle w:val="VerbatimChar"/>
        </w:rPr>
        <w:t xml:space="preserve">--referencedb</w:t>
      </w:r>
      <w:r>
        <w:t xml:space="preserve">に指定してキメラ除去を行って下さい。</w:t>
      </w:r>
      <w:r>
        <w:t xml:space="preserve"> </w:t>
      </w:r>
      <w:r>
        <w:t xml:space="preserve">その際は</w:t>
      </w:r>
      <w:r>
        <w:rPr>
          <w:rStyle w:val="VerbatimChar"/>
        </w:rPr>
        <w:t xml:space="preserve">--addtoref</w:t>
      </w:r>
      <w:r>
        <w:t xml:space="preserve">は不要です。</w:t>
      </w:r>
    </w:p>
    <w:p>
      <w:pPr>
        <w:pStyle w:val="BodyText"/>
      </w:pPr>
      <w:r>
        <w:t xml:space="preserve">参照配列データベースに適したものがなく、内部標準DNAを混合してPCRするライブラリ調製を行っていない場合はこの処理は不要です。</w:t>
      </w:r>
      <w:r>
        <w:t xml:space="preserve"> </w:t>
      </w:r>
      <w:r>
        <w:t xml:space="preserve">ただし、内部標準DNAを混合してPCRするライブラリ調製を行ったことのあるラボでライブラリ調製を行っている場合、増幅された内部標準DNAでラボが汚染されていて、PCRの際に混入する可能性があります。</w:t>
      </w:r>
      <w:r>
        <w:t xml:space="preserve"> </w:t>
      </w:r>
      <w:r>
        <w:t xml:space="preserve">そのため、内部標準DNAを混合してPCRするライブラリ調製を行った場合と同様のデータ解析を念のため行っておいた方が良いかもしれません。</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デコンタミネーションの対象外にするOTUの塩基配列ファイル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もし、野外での採集からDNA抽出およびライブラリ調製の過程で大量のコンタミネーションが起こっていた場合、フィールドブランクからも多くのDNAが検出され、結果としてサンプルから検出されたDNAがことごとくコンタミネーション由来であると判定されて0に置換される可能性があります。</w:t>
      </w:r>
      <w:r>
        <w:t xml:space="preserve"> </w:t>
      </w:r>
      <w:r>
        <w:t xml:space="preserve">これは意図した動作なのですが、0に置換される件数があまりにも多いと、群集生態学的な分析を一切行うことができなくなります。</w:t>
      </w:r>
      <w:r>
        <w:t xml:space="preserve"> </w:t>
      </w:r>
      <w:r>
        <w:t xml:space="preserve">せっかく多くの費用と労力を費やして得たデータがコンタミネーションだらけで使用できない、ということがここで判明するのはあまりにも悲しいことですので、採集からライブラリ調製におけるコンタミネーション防止には細心の注意を払うようにしましょう。</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animals_12S</w:t>
      </w:r>
    </w:p>
    <w:p>
      <w:pPr>
        <w:pStyle w:val="Definition"/>
      </w:pPr>
      <w:r>
        <w:t xml:space="preserve">動物12S</w:t>
      </w:r>
    </w:p>
    <w:p>
      <w:pPr>
        <w:pStyle w:val="DefinitionTerm"/>
      </w:pPr>
      <w:r>
        <w:t xml:space="preserve">animals_16S</w:t>
      </w:r>
    </w:p>
    <w:p>
      <w:pPr>
        <w:pStyle w:val="Definition"/>
      </w:pPr>
      <w:r>
        <w:t xml:space="preserve">動物16S</w:t>
      </w:r>
    </w:p>
    <w:p>
      <w:pPr>
        <w:pStyle w:val="DefinitionTerm"/>
      </w:pPr>
      <w:r>
        <w:t xml:space="preserve">animals_COX1</w:t>
      </w:r>
    </w:p>
    <w:p>
      <w:pPr>
        <w:pStyle w:val="Definition"/>
      </w:pPr>
      <w:r>
        <w:t xml:space="preserve">動物COX1(COI)</w:t>
      </w:r>
    </w:p>
    <w:p>
      <w:pPr>
        <w:pStyle w:val="DefinitionTerm"/>
      </w:pPr>
      <w:r>
        <w:t xml:space="preserve">animals_CytB</w:t>
      </w:r>
    </w:p>
    <w:p>
      <w:pPr>
        <w:pStyle w:val="Definition"/>
      </w:pPr>
      <w:r>
        <w:t xml:space="preserve">動物CytB</w:t>
      </w:r>
    </w:p>
    <w:p>
      <w:pPr>
        <w:pStyle w:val="DefinitionTerm"/>
      </w:pPr>
      <w:r>
        <w:t xml:space="preserve">animals_D-loop</w:t>
      </w:r>
    </w:p>
    <w:p>
      <w:pPr>
        <w:pStyle w:val="Definition"/>
      </w:pPr>
      <w:r>
        <w:t xml:space="preserve">動物D-loop</w:t>
      </w:r>
    </w:p>
    <w:p>
      <w:pPr>
        <w:pStyle w:val="DefinitionTerm"/>
      </w:pPr>
      <w:r>
        <w:t xml:space="preserve">animals_mt</w:t>
      </w:r>
    </w:p>
    <w:p>
      <w:pPr>
        <w:pStyle w:val="Definition"/>
      </w:pPr>
      <w:r>
        <w:t xml:space="preserve">動物ミトコンドリアDNA</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植物葉緑体DNA</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そのような場合、動物以外の配列や対象外の配列は同定できなくなりますが、animals_12S_species_wspやanimals_mt_species_wspが良いでしょう。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出力ファイルの接頭辞_inputnseq.tsv</w:t>
      </w:r>
    </w:p>
    <w:p>
      <w:pPr>
        <w:pStyle w:val="Definition"/>
      </w:pPr>
      <w:r>
        <w:t xml:space="preserve">入力された各サンプルの合計リード数のタブ区切りテキスト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出力された各サンプルのカバレッジ推定値のタブ区切りテキスト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r>
        <w:t xml:space="preserve"> </w:t>
      </w:r>
      <w:r>
        <w:t xml:space="preserve">(Suzuki &amp; Shimodaira 2006)</w:t>
      </w:r>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7"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Suzuki2006Pvclustpackageassessing"/>
    <w:p>
      <w:pPr>
        <w:pStyle w:val="Bibliography"/>
      </w:pPr>
      <w:r>
        <w:t xml:space="preserve">Suzuki, Ryota &amp; Shimodaira, Hidetoshi (2006) Pvclust: an R package for assessing the uncertainty in hierarchical clustering.</w:t>
      </w:r>
      <w:r>
        <w:t xml:space="preserve"> </w:t>
      </w:r>
      <w:r>
        <w:rPr>
          <w:i/>
        </w:rPr>
        <w:t xml:space="preserve">Bioinformatics</w:t>
      </w:r>
      <w:r>
        <w:t xml:space="preserve"> </w:t>
      </w:r>
      <w:r>
        <w:t xml:space="preserve">22, 1540–1542.</w:t>
      </w:r>
      <w:r>
        <w:t xml:space="preserve"> </w:t>
      </w:r>
      <w:hyperlink r:id="rId139">
        <w:r>
          <w:rPr>
            <w:rStyle w:val="Hyperlink"/>
          </w:rPr>
          <w:t xml:space="preserve">https://doi.org/10.1093/bioinformatics/btl117</w:t>
        </w:r>
      </w:hyperlink>
    </w:p>
    <w:bookmarkEnd w:id="140"/>
    <w:bookmarkStart w:id="142"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41">
        <w:r>
          <w:rPr>
            <w:rStyle w:val="Hyperlink"/>
          </w:rPr>
          <w:t xml:space="preserve">https://doi.org/10.1007/s10201-022-00710-5</w:t>
        </w:r>
      </w:hyperlink>
    </w:p>
    <w:bookmarkEnd w:id="142"/>
    <w:bookmarkStart w:id="144"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3">
        <w:r>
          <w:rPr>
            <w:rStyle w:val="Hyperlink"/>
          </w:rPr>
          <w:t xml:space="preserve">https://doi.org/10.1371/journal.pone.0076910</w:t>
        </w:r>
      </w:hyperlink>
    </w:p>
    <w:bookmarkEnd w:id="144"/>
    <w:bookmarkStart w:id="146"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5">
        <w:r>
          <w:rPr>
            <w:rStyle w:val="Hyperlink"/>
          </w:rPr>
          <w:t xml:space="preserve">https://doi.org/10.1111/2041-210X.13345</w:t>
        </w:r>
      </w:hyperlink>
    </w:p>
    <w:bookmarkEnd w:id="146"/>
    <w:bookmarkStart w:id="148"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7">
        <w:r>
          <w:rPr>
            <w:rStyle w:val="Hyperlink"/>
          </w:rPr>
          <w:t xml:space="preserve">https://doi.org/10.1111/1755-0998.12690</w:t>
        </w:r>
      </w:hyperlink>
    </w:p>
    <w:bookmarkEnd w:id="148"/>
    <w:bookmarkStart w:id="150"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9">
        <w:r>
          <w:rPr>
            <w:rStyle w:val="Hyperlink"/>
          </w:rPr>
          <w:t xml:space="preserve">https://doi.org/10.1002/edn3.337</w:t>
        </w:r>
      </w:hyperlink>
    </w:p>
    <w:bookmarkEnd w:id="150"/>
    <w:bookmarkStart w:id="152"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51">
        <w:r>
          <w:rPr>
            <w:rStyle w:val="Hyperlink"/>
          </w:rPr>
          <w:t xml:space="preserve">https://doi.org/10.3897/mbmg.2.23297</w:t>
        </w:r>
      </w:hyperlink>
    </w:p>
    <w:bookmarkEnd w:id="152"/>
    <w:bookmarkStart w:id="154"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3">
        <w:r>
          <w:rPr>
            <w:rStyle w:val="Hyperlink"/>
          </w:rPr>
          <w:t xml:space="preserve">https://doi.org/10.1038/s41598-018-22817-5</w:t>
        </w:r>
      </w:hyperlink>
    </w:p>
    <w:bookmarkEnd w:id="154"/>
    <w:bookmarkStart w:id="156"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5">
        <w:r>
          <w:rPr>
            <w:rStyle w:val="Hyperlink"/>
          </w:rPr>
          <w:t xml:space="preserve">https://doi.org/10.1016/j.tree.2015.09.007</w:t>
        </w:r>
      </w:hyperlink>
    </w:p>
    <w:bookmarkEnd w:id="156"/>
    <w:bookmarkStart w:id="158"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7">
        <w:r>
          <w:rPr>
            <w:rStyle w:val="Hyperlink"/>
          </w:rPr>
          <w:t xml:space="preserve">https://doi.org/10.1002/imt2.32</w:t>
        </w:r>
      </w:hyperlink>
    </w:p>
    <w:bookmarkEnd w:id="158"/>
    <w:bookmarkStart w:id="160"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9">
        <w:r>
          <w:rPr>
            <w:rStyle w:val="Hyperlink"/>
          </w:rPr>
          <w:t xml:space="preserve">https://doi.org/10.1126/science.aag0863</w:t>
        </w:r>
      </w:hyperlink>
    </w:p>
    <w:bookmarkEnd w:id="160"/>
    <w:bookmarkStart w:id="162"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61">
        <w:r>
          <w:rPr>
            <w:rStyle w:val="Hyperlink"/>
          </w:rPr>
          <w:t xml:space="preserve">https://doi.org/10.1093/molbev/msad035</w:t>
        </w:r>
      </w:hyperlink>
    </w:p>
    <w:bookmarkEnd w:id="162"/>
    <w:bookmarkStart w:id="164"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3">
        <w:r>
          <w:rPr>
            <w:rStyle w:val="Hyperlink"/>
          </w:rPr>
          <w:t xml:space="preserve">https://doi.org/10.18960/seitai.61.1_3</w:t>
        </w:r>
      </w:hyperlink>
    </w:p>
    <w:bookmarkEnd w:id="164"/>
    <w:bookmarkStart w:id="166"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5">
        <w:r>
          <w:rPr>
            <w:rStyle w:val="Hyperlink"/>
          </w:rPr>
          <w:t xml:space="preserve">https://www.fifthdimension.jp/wiki.cgi?page=%BC%AB%CD%B3%BD%B8%B2%F12016%A1%A7%A5%E1%A5%BF%A5%D0%A1%BC%A5%B3%A1%BC%A5%C7%A5%A3%A5%F3%A5%B0%A1%A6%B4%C4%B6%ADDNA%A5%D0%A1%BC%A5%B3%A1%BC%A5%C7%A5%A3%A5%F3%A5%B0%B2%F2%C0%CF%A4%CE%B5%BB%CB%A1</w:t>
        </w:r>
      </w:hyperlink>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9" Target="https://doi.org/10.1002/edn3.337" TargetMode="External" /><Relationship Type="http://schemas.openxmlformats.org/officeDocument/2006/relationships/hyperlink" Id="rId157" Target="https://doi.org/10.1002/imt2.32" TargetMode="External" /><Relationship Type="http://schemas.openxmlformats.org/officeDocument/2006/relationships/hyperlink" Id="rId141"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5"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3"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39" Target="https://doi.org/10.1093/bioinformatics/btl117"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61"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7"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5" Target="https://doi.org/10.1111/2041-210X.13345" TargetMode="External" /><Relationship Type="http://schemas.openxmlformats.org/officeDocument/2006/relationships/hyperlink" Id="rId159"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3"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3" Target="https://doi.org/10.18960/seitai.61.1_3" TargetMode="External" /><Relationship Type="http://schemas.openxmlformats.org/officeDocument/2006/relationships/hyperlink" Id="rId151"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5"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2025-05-10T13:23:32Z</dcterms:created>
  <dcterms:modified xsi:type="dcterms:W3CDTF">2025-05-10T13:23:32Z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2024-05-10</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