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2024-02-11</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デマルチプレクシング</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10"/>
        </w:numPr>
        <w:pStyle w:val="Compact"/>
      </w:pPr>
      <w:r>
        <w:t xml:space="preserve">サンプル・ブランクのいずれなのか</w:t>
      </w:r>
    </w:p>
    <w:p>
      <w:pPr>
        <w:numPr>
          <w:ilvl w:val="0"/>
          <w:numId w:val="1010"/>
        </w:numPr>
        <w:pStyle w:val="Compact"/>
      </w:pPr>
      <w:r>
        <w:t xml:space="preserve">濾過水量</w:t>
      </w:r>
    </w:p>
    <w:p>
      <w:pPr>
        <w:numPr>
          <w:ilvl w:val="0"/>
          <w:numId w:val="1010"/>
        </w:numPr>
        <w:pStyle w:val="Compact"/>
      </w:pPr>
      <w:r>
        <w:t xml:space="preserve">抽出DNA溶液量(回収液量ではなく、最後の溶出時に使用した液量)</w:t>
      </w:r>
    </w:p>
    <w:p>
      <w:pPr>
        <w:numPr>
          <w:ilvl w:val="0"/>
          <w:numId w:val="1010"/>
        </w:numPr>
        <w:pStyle w:val="Compact"/>
      </w:pPr>
      <w:r>
        <w:t xml:space="preserve">内部標準DNA塩基配列</w:t>
      </w:r>
    </w:p>
    <w:p>
      <w:pPr>
        <w:numPr>
          <w:ilvl w:val="0"/>
          <w:numId w:val="1010"/>
        </w:numPr>
        <w:pStyle w:val="Compact"/>
      </w:pPr>
      <w:r>
        <w:t xml:space="preserve">内部標準DNA濃度</w:t>
      </w:r>
    </w:p>
    <w:p>
      <w:pPr>
        <w:numPr>
          <w:ilvl w:val="0"/>
          <w:numId w:val="1010"/>
        </w:numPr>
        <w:pStyle w:val="Compact"/>
      </w:pPr>
      <w:r>
        <w:t xml:space="preserve">1st PCR時のプライマー配列のうち、シーケンサの読み始めになる部分配列</w:t>
      </w:r>
    </w:p>
    <w:p>
      <w:pPr>
        <w:numPr>
          <w:ilvl w:val="0"/>
          <w:numId w:val="1010"/>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1"/>
        </w:numPr>
        <w:pStyle w:val="Compact"/>
      </w:pPr>
      <w:hyperlink r:id="rId27">
        <w:r>
          <w:rPr>
            <w:rStyle w:val="Hyperlink"/>
          </w:rPr>
          <w:t xml:space="preserve">https://github.com/astanabe/TruSeqStyleIndexPrimers</w:t>
        </w:r>
      </w:hyperlink>
    </w:p>
    <w:p>
      <w:pPr>
        <w:numPr>
          <w:ilvl w:val="0"/>
          <w:numId w:val="1011"/>
        </w:numPr>
        <w:pStyle w:val="Compact"/>
      </w:pPr>
      <w:hyperlink r:id="rId28">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Heading3"/>
      </w:pPr>
      <w:bookmarkStart w:id="29" w:name="claidentにおけるサンプルidについて"/>
      <w:r>
        <w:t xml:space="preserve">Claidentにおける「サンプルID」について</w:t>
      </w:r>
      <w:bookmarkEnd w:id="29"/>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0" w:name="otuとasvについて"/>
      <w:r>
        <w:t xml:space="preserve">OTUとASVについて</w:t>
      </w:r>
      <w:bookmarkEnd w:id="30"/>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1" w:name="必要なファイル群とディレクトリ構造"/>
      <w:r>
        <w:t xml:space="preserve">必要なファイル群とディレクトリ構造</w:t>
      </w:r>
      <w:bookmarkEnd w:id="31"/>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2" w:name="ブランクリストblanklist.txt"/>
      <w:r>
        <w:t xml:space="preserve">ブランクリスト(blanklist.txt)</w:t>
      </w:r>
      <w:bookmarkEnd w:id="32"/>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3" w:name="濾過水量表watervoltable.tsv"/>
      <w:r>
        <w:t xml:space="preserve">濾過水量表(watervoltable.tsv)</w:t>
      </w:r>
      <w:bookmarkEnd w:id="33"/>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4" w:name="抽出dna溶液量表solutionvoltable.tsv"/>
      <w:r>
        <w:t xml:space="preserve">抽出DNA溶液量表(solutionvoltable.tsv)</w:t>
      </w:r>
      <w:bookmarkEnd w:id="34"/>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5" w:name="内部標準dna塩基配列standard.fasta"/>
      <w:r>
        <w:t xml:space="preserve">内部標準DNA塩基配列(standard.fasta)</w:t>
      </w:r>
      <w:bookmarkEnd w:id="35"/>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6" w:name="内部標準dna濃度表stdconctable.tsv"/>
      <w:r>
        <w:t xml:space="preserve">内部標準DNA濃度表(stdconctable.tsv)</w:t>
      </w:r>
      <w:bookmarkEnd w:id="36"/>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7" w:name="X6f92aa88758fb857af311a69c3667a1203ce354"/>
      <w:r>
        <w:t xml:space="preserve">シーケンサの読み始めになる部分配列(forwardprimer.fasta・reverseprimer.fasta)</w:t>
      </w:r>
      <w:bookmarkEnd w:id="37"/>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8" w:name="X4f4f21bef0b7ceaf74a559b150bea30b3b97810"/>
      <w:r>
        <w:t xml:space="preserve">インデックスとして読まれる部分配列(index1.fasta・index2.fasta)</w:t>
      </w:r>
      <w:bookmarkEnd w:id="38"/>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9" w:name="undemultiplexed-fastq"/>
      <w:r>
        <w:t xml:space="preserve">undemultiplexed FASTQ</w:t>
      </w:r>
      <w:bookmarkEnd w:id="39"/>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2"/>
        </w:numPr>
        <w:pStyle w:val="Compact"/>
      </w:pPr>
      <w:hyperlink r:id="rId40">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Convertでundemultiplexed 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Convertに内蔵されているデマルチプレックス機能を無効化し、undemultiplexed FASTQを作成することができます。</w:t>
      </w:r>
      <w:r>
        <w:t xml:space="preserve"> </w:t>
      </w:r>
      <w:r>
        <w:t xml:space="preserve">以下のコマンドでは、undemultiplexed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のファイル以外に以下の4ファイルが生成されます(1レーンのみ出力した場合)。</w:t>
      </w:r>
    </w:p>
    <w:p>
      <w:pPr>
        <w:pStyle w:val="DefinitionTerm"/>
      </w:pPr>
      <w:r>
        <w:t xml:space="preserve">Undetermined_S0_L001_I1_001.fastq.gz</w:t>
      </w:r>
    </w:p>
    <w:p>
      <w:pPr>
        <w:pStyle w:val="Definition"/>
      </w:pPr>
      <w:r>
        <w:t xml:space="preserve">index1のundemultiplexed FASTQ (長さ8塩基)</w:t>
      </w:r>
    </w:p>
    <w:p>
      <w:pPr>
        <w:pStyle w:val="DefinitionTerm"/>
      </w:pPr>
      <w:r>
        <w:t xml:space="preserve">Undetermined_S0_L001_I2_001.fastq.gz</w:t>
      </w:r>
    </w:p>
    <w:p>
      <w:pPr>
        <w:pStyle w:val="Definition"/>
      </w:pPr>
      <w:r>
        <w:t xml:space="preserve">index2のundemultiplexed FASTQ (長さ8塩基)</w:t>
      </w:r>
    </w:p>
    <w:p>
      <w:pPr>
        <w:pStyle w:val="DefinitionTerm"/>
      </w:pPr>
      <w:r>
        <w:t xml:space="preserve">Undetermined_S0_L001_R1_001.fastq.gz</w:t>
      </w:r>
    </w:p>
    <w:p>
      <w:pPr>
        <w:pStyle w:val="Definition"/>
      </w:pPr>
      <w:r>
        <w:t xml:space="preserve">インサートのフォワード側リードのundemultiplexed FASTQ (長さ150塩基)</w:t>
      </w:r>
    </w:p>
    <w:p>
      <w:pPr>
        <w:pStyle w:val="DefinitionTerm"/>
      </w:pPr>
      <w:r>
        <w:t xml:space="preserve">Undetermined_S0_L001_R2_001.fastq.gz</w:t>
      </w:r>
    </w:p>
    <w:p>
      <w:pPr>
        <w:pStyle w:val="Definition"/>
      </w:pPr>
      <w:r>
        <w:t xml:space="preserve">インサートのリバース側リードのundemultiplexed FASTQ (長さ150塩基)</w:t>
      </w:r>
    </w:p>
    <w:p>
      <w:pPr>
        <w:pStyle w:val="Heading4"/>
      </w:pPr>
      <w:bookmarkStart w:id="41" w:name="ディレクトリ構造"/>
      <w:r>
        <w:t xml:space="preserve">ディレクトリ構造</w:t>
      </w:r>
      <w:bookmarkEnd w:id="41"/>
    </w:p>
    <w:p>
      <w:pPr>
        <w:pStyle w:val="FirstParagraph"/>
      </w:pPr>
      <w:r>
        <w:t xml:space="preserve">Claidentでの解析開始前の作業ディレクトリ内のファイルとディレクトリは以下の通りです。</w:t>
      </w:r>
    </w:p>
    <w:p>
      <w:pPr>
        <w:numPr>
          <w:ilvl w:val="0"/>
          <w:numId w:val="1013"/>
        </w:numPr>
        <w:pStyle w:val="Compact"/>
      </w:pPr>
      <w:r>
        <w:t xml:space="preserve">作業ディレクトリ</w:t>
      </w:r>
    </w:p>
    <w:p>
      <w:pPr>
        <w:numPr>
          <w:ilvl w:val="1"/>
          <w:numId w:val="1014"/>
        </w:numPr>
        <w:pStyle w:val="Compact"/>
      </w:pPr>
      <w:r>
        <w:t xml:space="preserve">blanklist.txt</w:t>
      </w:r>
    </w:p>
    <w:p>
      <w:pPr>
        <w:numPr>
          <w:ilvl w:val="1"/>
          <w:numId w:val="1014"/>
        </w:numPr>
        <w:pStyle w:val="Compact"/>
      </w:pPr>
      <w:r>
        <w:t xml:space="preserve">watervoltable.tsv</w:t>
      </w:r>
    </w:p>
    <w:p>
      <w:pPr>
        <w:numPr>
          <w:ilvl w:val="1"/>
          <w:numId w:val="1014"/>
        </w:numPr>
        <w:pStyle w:val="Compact"/>
      </w:pPr>
      <w:r>
        <w:t xml:space="preserve">solutionvoltable.tsv</w:t>
      </w:r>
    </w:p>
    <w:p>
      <w:pPr>
        <w:numPr>
          <w:ilvl w:val="1"/>
          <w:numId w:val="1014"/>
        </w:numPr>
        <w:pStyle w:val="Compact"/>
      </w:pPr>
      <w:r>
        <w:t xml:space="preserve">standard.fasta</w:t>
      </w:r>
    </w:p>
    <w:p>
      <w:pPr>
        <w:numPr>
          <w:ilvl w:val="1"/>
          <w:numId w:val="1014"/>
        </w:numPr>
        <w:pStyle w:val="Compact"/>
      </w:pPr>
      <w:r>
        <w:t xml:space="preserve">stdconctable.tsv</w:t>
      </w:r>
    </w:p>
    <w:p>
      <w:pPr>
        <w:numPr>
          <w:ilvl w:val="1"/>
          <w:numId w:val="1014"/>
        </w:numPr>
        <w:pStyle w:val="Compact"/>
      </w:pPr>
      <w:r>
        <w:t xml:space="preserve">forwardprimer.fasta</w:t>
      </w:r>
    </w:p>
    <w:p>
      <w:pPr>
        <w:numPr>
          <w:ilvl w:val="1"/>
          <w:numId w:val="1014"/>
        </w:numPr>
        <w:pStyle w:val="Compact"/>
      </w:pPr>
      <w:r>
        <w:t xml:space="preserve">reverseprimer.fasta</w:t>
      </w:r>
    </w:p>
    <w:p>
      <w:pPr>
        <w:numPr>
          <w:ilvl w:val="1"/>
          <w:numId w:val="1014"/>
        </w:numPr>
        <w:pStyle w:val="Compact"/>
      </w:pPr>
      <w:r>
        <w:t xml:space="preserve">index1.fasta</w:t>
      </w:r>
    </w:p>
    <w:p>
      <w:pPr>
        <w:numPr>
          <w:ilvl w:val="1"/>
          <w:numId w:val="1014"/>
        </w:numPr>
        <w:pStyle w:val="Compact"/>
      </w:pPr>
      <w:r>
        <w:t xml:space="preserve">index2.fasta</w:t>
      </w:r>
    </w:p>
    <w:p>
      <w:pPr>
        <w:numPr>
          <w:ilvl w:val="1"/>
          <w:numId w:val="1014"/>
        </w:numPr>
        <w:pStyle w:val="Compact"/>
      </w:pPr>
      <w:r>
        <w:t xml:space="preserve">01_undemultiplexed (ディレクトリ)</w:t>
      </w:r>
    </w:p>
    <w:p>
      <w:pPr>
        <w:numPr>
          <w:ilvl w:val="2"/>
          <w:numId w:val="1015"/>
        </w:numPr>
        <w:pStyle w:val="Compact"/>
      </w:pPr>
      <w:r>
        <w:t xml:space="preserve">Undetermined_S0_L001_I1_001.fastq.gz</w:t>
      </w:r>
    </w:p>
    <w:p>
      <w:pPr>
        <w:numPr>
          <w:ilvl w:val="2"/>
          <w:numId w:val="1015"/>
        </w:numPr>
        <w:pStyle w:val="Compact"/>
      </w:pPr>
      <w:r>
        <w:t xml:space="preserve">Undetermined_S0_L001_I2_001.fastq.gz</w:t>
      </w:r>
    </w:p>
    <w:p>
      <w:pPr>
        <w:numPr>
          <w:ilvl w:val="2"/>
          <w:numId w:val="1015"/>
        </w:numPr>
        <w:pStyle w:val="Compact"/>
      </w:pPr>
      <w:r>
        <w:t xml:space="preserve">Undetermined_S0_L001_R1_001.fastq.gz</w:t>
      </w:r>
    </w:p>
    <w:p>
      <w:pPr>
        <w:numPr>
          <w:ilvl w:val="2"/>
          <w:numId w:val="1015"/>
        </w:numPr>
        <w:pStyle w:val="Compact"/>
      </w:pPr>
      <w:r>
        <w:t xml:space="preserve">Undetermined_S0_L001_R2_001.fastq.gz</w:t>
      </w:r>
    </w:p>
    <w:p>
      <w:pPr>
        <w:pStyle w:val="Heading2"/>
      </w:pPr>
      <w:bookmarkStart w:id="42" w:name="塩基配列データ処理"/>
      <w:r>
        <w:t xml:space="preserve">塩基配列データ処理</w:t>
      </w:r>
      <w:bookmarkEnd w:id="42"/>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3" w:name="clsplitseqによるデマルチプレクシング"/>
      <w:r>
        <w:t xml:space="preserve">clsplitseqによるデマルチプレクシング</w:t>
      </w:r>
      <w:bookmarkEnd w:id="43"/>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6"/>
        </w:numPr>
        <w:pStyle w:val="Compact"/>
      </w:pPr>
      <w:r>
        <w:t xml:space="preserve">インサートのフォワード側リードのundemultiplexed FASTQ</w:t>
      </w:r>
    </w:p>
    <w:p>
      <w:pPr>
        <w:numPr>
          <w:ilvl w:val="0"/>
          <w:numId w:val="1016"/>
        </w:numPr>
        <w:pStyle w:val="Compact"/>
      </w:pPr>
      <w:r>
        <w:t xml:space="preserve">index1のundemultiplexed FASTQ</w:t>
      </w:r>
    </w:p>
    <w:p>
      <w:pPr>
        <w:numPr>
          <w:ilvl w:val="0"/>
          <w:numId w:val="1016"/>
        </w:numPr>
        <w:pStyle w:val="Compact"/>
      </w:pPr>
      <w:r>
        <w:t xml:space="preserve">index2のundemultiplexed FASTQ</w:t>
      </w:r>
    </w:p>
    <w:p>
      <w:pPr>
        <w:numPr>
          <w:ilvl w:val="0"/>
          <w:numId w:val="1016"/>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Heading3"/>
      </w:pPr>
      <w:bookmarkStart w:id="44" w:name="clconcatpairvによるペアエンド配列の連結"/>
      <w:r>
        <w:t xml:space="preserve">clconcatpairvによるペアエンド配列の連結</w:t>
      </w:r>
      <w:bookmarkEnd w:id="44"/>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5" w:name="clfilterseqvによる低品質配列の除去"/>
      <w:r>
        <w:t xml:space="preserve">clfilterseqvによる低品質配列の除去</w:t>
      </w:r>
      <w:bookmarkEnd w:id="45"/>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6" w:name="cldenoiseseqdによるデノイジング"/>
      <w:r>
        <w:t xml:space="preserve">cldenoiseseqdによるデノイジング</w:t>
      </w:r>
      <w:bookmarkEnd w:id="46"/>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7" w:name="clremovechimevによる参照配列データベースを用いないキメラ除去"/>
      <w:r>
        <w:t xml:space="preserve">clremovechimevによる参照配列データベースを用いないキメラ除去</w:t>
      </w:r>
      <w:bookmarkEnd w:id="47"/>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8" w:name="clclusterstdvによる内部標準配列クラスタリング"/>
      <w:r>
        <w:t xml:space="preserve">clclusterstdvによる内部標準配列クラスタリング</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Heading3"/>
      </w:pPr>
      <w:bookmarkStart w:id="49" w:name="clremovechimevによる参照配列データベースを用いたキメラ除去"/>
      <w:r>
        <w:t xml:space="preserve">clremovechimevによる参照配列データベースを用いたキメラ除去</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50" w:name="clremovecontamによるインデックスホッピング除去"/>
      <w:r>
        <w:t xml:space="preserve">clremovecontamによるインデックスホッピング除去</w:t>
      </w:r>
      <w:bookmarkEnd w:id="50"/>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処理の対象外とします。</w:t>
      </w:r>
    </w:p>
    <w:p>
      <w:pPr>
        <w:pStyle w:val="Heading3"/>
      </w:pPr>
      <w:bookmarkStart w:id="51" w:name="Xa289b86ea08d3f3d275e124ff6c56b49de31ee7"/>
      <w:r>
        <w:t xml:space="preserve">clremovecontamとネガティブコントロールを利用したデコンタミネーション</w:t>
      </w:r>
      <w:bookmarkEnd w:id="51"/>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r>
        <w:t xml:space="preserve"> </w:t>
      </w:r>
      <w:r>
        <w:t xml:space="preserve">また、複数のシーケンスランの結果をまとめて解析を行いたい場合にも、ここまでの結果を</w:t>
      </w:r>
      <w:r>
        <w:rPr>
          <w:rStyle w:val="VerbatimChar"/>
        </w:rPr>
        <w:t xml:space="preserve">clclassseqv</w:t>
      </w:r>
      <w:r>
        <w:t xml:space="preserve">を用いて統合することができます。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2" w:name="分子同定"/>
      <w:r>
        <w:t xml:space="preserve">分子同定</w:t>
      </w:r>
      <w:bookmarkEnd w:id="52"/>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3" w:name="分子同定用参照配列データベース"/>
      <w:r>
        <w:t xml:space="preserve">分子同定用参照配列データベース</w:t>
      </w:r>
      <w:bookmarkEnd w:id="53"/>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4" w:name="clmakecachedbによるキャッシュデータベースの生成"/>
      <w:r>
        <w:t xml:space="preserve">clmakecachedbによるキャッシュデータベースの生成</w:t>
      </w:r>
      <w:bookmarkEnd w:id="54"/>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5" w:name="qcauto法による分子同定"/>
      <w:r>
        <w:t xml:space="preserve">QCauto法による分子同定</w:t>
      </w:r>
      <w:bookmarkEnd w:id="55"/>
    </w:p>
    <w:p>
      <w:pPr>
        <w:pStyle w:val="Heading4"/>
      </w:pPr>
      <w:bookmarkStart w:id="56" w:name="clidentseqによる近隣配列群の取得"/>
      <w:r>
        <w:t xml:space="preserve">clidentseqによる近隣配列群の取得</w:t>
      </w:r>
      <w:bookmarkEnd w:id="56"/>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7" w:name="classigntaxによる分類群の割り当て"/>
      <w:r>
        <w:t xml:space="preserve">classigntaxによる分類群の割り当て</w:t>
      </w:r>
      <w:bookmarkEnd w:id="57"/>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8" w:name="nn法による分子同定"/>
      <w:r>
        <w:t xml:space="preserve">95%-3NN法による分子同定</w:t>
      </w:r>
      <w:bookmarkEnd w:id="58"/>
    </w:p>
    <w:p>
      <w:pPr>
        <w:pStyle w:val="Heading4"/>
      </w:pPr>
      <w:bookmarkStart w:id="59" w:name="clidentseqによる近隣配列群の取得-1"/>
      <w:r>
        <w:t xml:space="preserve">clidentseqによる近隣配列群の取得</w:t>
      </w:r>
      <w:bookmarkEnd w:id="59"/>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0" w:name="classigntaxによる分類群の割当"/>
      <w:r>
        <w:t xml:space="preserve">classigntaxによる分類群の割当</w:t>
      </w:r>
      <w:bookmarkEnd w:id="60"/>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61" w:name="clmakeidentdbによる分子同定結果の再利用"/>
      <w:r>
        <w:t xml:space="preserve">clmakeidentdbによる分子同定結果の再利用</w:t>
      </w:r>
      <w:bookmarkEnd w:id="61"/>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2" w:name="clmergeassignによる複数の分子同定結果のマージ"/>
      <w:r>
        <w:t xml:space="preserve">clmergeassignによる複数の分子同定結果のマージ</w:t>
      </w:r>
      <w:bookmarkEnd w:id="62"/>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3" w:name="clfillassignによる分子同定結果の穴埋め"/>
      <w:r>
        <w:t xml:space="preserve">clfillassignによる分子同定結果の穴埋め</w:t>
      </w:r>
      <w:bookmarkEnd w:id="63"/>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4" w:name="otu組成表の作成"/>
      <w:r>
        <w:t xml:space="preserve">OTU組成表の作成</w:t>
      </w:r>
      <w:bookmarkEnd w:id="64"/>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5" w:name="clfiltersumによるotu組成表の加工"/>
      <w:r>
        <w:t xml:space="preserve">clfiltersumによるOTU組成表の加工</w:t>
      </w:r>
      <w:bookmarkEnd w:id="65"/>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6" w:name="clrarefysumによるotu組成表のカバレッジベースレアファクション"/>
      <w:r>
        <w:t xml:space="preserve">clrarefysumによるOTU組成表のカバレッジベースレアファクション</w:t>
      </w:r>
      <w:bookmarkEnd w:id="66"/>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デノイジングを適用すると、リード数の少ないASV (シングルトンを含む)は、処理過程で捨てられたり近隣のリード数がより大きいASVのシーケンスエラー由来とみなされ、未デノイジングデータから激減します。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の方法をデノイジングしたデータにそのまま適用することは問題があると考えられます。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7" w:name="clestimateconcと内部標準dnaリード数を用いたdna濃度の推定"/>
      <w:r>
        <w:t xml:space="preserve">clestimateconcと内部標準DNAリード数を用いたDNA濃度の推定</w:t>
      </w:r>
      <w:bookmarkEnd w:id="67"/>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8" w:name="otu組成表からの種組成表の作成"/>
      <w:r>
        <w:t xml:space="preserve">OTU組成表からの種組成表の作成</w:t>
      </w:r>
      <w:bookmarkEnd w:id="68"/>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69" w:name="otu組成表を用いた群集生態学解析に向けて"/>
      <w:r>
        <w:t xml:space="preserve">OTU組成表を用いた群集生態学解析に向けて</w:t>
      </w:r>
      <w:bookmarkEnd w:id="69"/>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7"/>
        </w:numPr>
        <w:pStyle w:val="Compact"/>
      </w:pPr>
      <w:r>
        <w:t xml:space="preserve">vegan</w:t>
      </w:r>
      <w:r>
        <w:t xml:space="preserve"> </w:t>
      </w:r>
      <w:hyperlink r:id="rId70">
        <w:r>
          <w:rPr>
            <w:rStyle w:val="Hyperlink"/>
          </w:rPr>
          <w:t xml:space="preserve">https://github.com/vegandevs/vegan</w:t>
        </w:r>
      </w:hyperlink>
    </w:p>
    <w:p>
      <w:pPr>
        <w:numPr>
          <w:ilvl w:val="0"/>
          <w:numId w:val="1017"/>
        </w:numPr>
        <w:pStyle w:val="Compact"/>
      </w:pPr>
      <w:r>
        <w:t xml:space="preserve">iNEXT</w:t>
      </w:r>
      <w:r>
        <w:t xml:space="preserve"> </w:t>
      </w:r>
      <w:hyperlink r:id="rId71">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8"/>
        </w:numPr>
        <w:pStyle w:val="Compact"/>
      </w:pPr>
      <w:r>
        <w:t xml:space="preserve">vegan</w:t>
      </w:r>
      <w:r>
        <w:t xml:space="preserve"> </w:t>
      </w:r>
      <w:hyperlink r:id="rId70">
        <w:r>
          <w:rPr>
            <w:rStyle w:val="Hyperlink"/>
          </w:rPr>
          <w:t xml:space="preserve">https://github.com/vegandevs/vegan</w:t>
        </w:r>
      </w:hyperlink>
    </w:p>
    <w:p>
      <w:pPr>
        <w:numPr>
          <w:ilvl w:val="0"/>
          <w:numId w:val="1018"/>
        </w:numPr>
        <w:pStyle w:val="Compact"/>
      </w:pPr>
      <w:r>
        <w:t xml:space="preserve">picante</w:t>
      </w:r>
      <w:r>
        <w:t xml:space="preserve"> </w:t>
      </w:r>
      <w:hyperlink r:id="rId72">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18"/>
        </w:numPr>
        <w:pStyle w:val="Compact"/>
      </w:pPr>
      <w:r>
        <w:t xml:space="preserve">MicEco</w:t>
      </w:r>
      <w:r>
        <w:t xml:space="preserve"> </w:t>
      </w:r>
      <w:hyperlink r:id="rId73">
        <w:r>
          <w:rPr>
            <w:rStyle w:val="Hyperlink"/>
          </w:rPr>
          <w:t xml:space="preserve">https://github.com/Russel88/MicEco</w:t>
        </w:r>
      </w:hyperlink>
    </w:p>
    <w:p>
      <w:pPr>
        <w:numPr>
          <w:ilvl w:val="0"/>
          <w:numId w:val="1018"/>
        </w:numPr>
        <w:pStyle w:val="Compact"/>
      </w:pPr>
      <w:r>
        <w:t xml:space="preserve">iNEXT.beta3D</w:t>
      </w:r>
      <w:r>
        <w:t xml:space="preserve"> </w:t>
      </w:r>
      <w:hyperlink r:id="rId74">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18"/>
        </w:numPr>
        <w:pStyle w:val="Compact"/>
      </w:pPr>
      <w:r>
        <w:t xml:space="preserve">bipartite</w:t>
      </w:r>
      <w:r>
        <w:t xml:space="preserve"> </w:t>
      </w:r>
      <w:hyperlink r:id="rId75">
        <w:r>
          <w:rPr>
            <w:rStyle w:val="Hyperlink"/>
          </w:rPr>
          <w:t xml:space="preserve">https://github.com/biometry/bipartite</w:t>
        </w:r>
      </w:hyperlink>
    </w:p>
    <w:p>
      <w:pPr>
        <w:numPr>
          <w:ilvl w:val="0"/>
          <w:numId w:val="1018"/>
        </w:numPr>
        <w:pStyle w:val="Compact"/>
      </w:pPr>
      <w:r>
        <w:t xml:space="preserve">pvclust</w:t>
      </w:r>
      <w:r>
        <w:t xml:space="preserve"> </w:t>
      </w:r>
      <w:hyperlink r:id="rId76">
        <w:r>
          <w:rPr>
            <w:rStyle w:val="Hyperlink"/>
          </w:rPr>
          <w:t xml:space="preserve">https://github.com/shimo-lab/pvclust</w:t>
        </w:r>
      </w:hyperlink>
    </w:p>
    <w:p>
      <w:pPr>
        <w:numPr>
          <w:ilvl w:val="0"/>
          <w:numId w:val="1018"/>
        </w:numPr>
        <w:pStyle w:val="Compact"/>
      </w:pPr>
      <w:r>
        <w:t xml:space="preserve">mpmcorrelogram</w:t>
      </w:r>
      <w:r>
        <w:t xml:space="preserve"> </w:t>
      </w:r>
      <w:hyperlink r:id="rId77">
        <w:r>
          <w:rPr>
            <w:rStyle w:val="Hyperlink"/>
          </w:rPr>
          <w:t xml:space="preserve">https://cran.r-project.org/web/packages/mpmcorrelogram/</w:t>
        </w:r>
      </w:hyperlink>
    </w:p>
    <w:p>
      <w:pPr>
        <w:numPr>
          <w:ilvl w:val="0"/>
          <w:numId w:val="1018"/>
        </w:numPr>
        <w:pStyle w:val="Compact"/>
      </w:pPr>
      <w:r>
        <w:t xml:space="preserve">boral</w:t>
      </w:r>
      <w:r>
        <w:t xml:space="preserve"> </w:t>
      </w:r>
      <w:hyperlink r:id="rId78">
        <w:r>
          <w:rPr>
            <w:rStyle w:val="Hyperlink"/>
          </w:rPr>
          <w:t xml:space="preserve">https://cran.r-project.org/web/packages/boral/</w:t>
        </w:r>
      </w:hyperlink>
      <w:r>
        <w:t xml:space="preserve"> </w:t>
      </w:r>
      <w:r>
        <w:t xml:space="preserve">(Hui 2016)</w:t>
      </w:r>
    </w:p>
    <w:p>
      <w:pPr>
        <w:numPr>
          <w:ilvl w:val="0"/>
          <w:numId w:val="1018"/>
        </w:numPr>
        <w:pStyle w:val="Compact"/>
      </w:pPr>
      <w:r>
        <w:t xml:space="preserve">gllvm</w:t>
      </w:r>
      <w:r>
        <w:t xml:space="preserve"> </w:t>
      </w:r>
      <w:hyperlink r:id="rId79">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19"/>
        </w:numPr>
        <w:pStyle w:val="Compact"/>
      </w:pPr>
      <w:r>
        <w:t xml:space="preserve">rEDM</w:t>
      </w:r>
      <w:r>
        <w:t xml:space="preserve"> </w:t>
      </w:r>
      <w:hyperlink r:id="rId80">
        <w:r>
          <w:rPr>
            <w:rStyle w:val="Hyperlink"/>
          </w:rPr>
          <w:t xml:space="preserve">https://ha0ye.github.io/rEDM/</w:t>
        </w:r>
      </w:hyperlink>
      <w:r>
        <w:t xml:space="preserve"> </w:t>
      </w:r>
      <w:r>
        <w:t xml:space="preserve">(Ye &amp; Sugihara 2016)</w:t>
      </w:r>
    </w:p>
    <w:p>
      <w:pPr>
        <w:numPr>
          <w:ilvl w:val="0"/>
          <w:numId w:val="1019"/>
        </w:numPr>
        <w:pStyle w:val="Compact"/>
      </w:pPr>
      <w:r>
        <w:t xml:space="preserve">rUIC</w:t>
      </w:r>
      <w:r>
        <w:t xml:space="preserve"> </w:t>
      </w:r>
      <w:hyperlink r:id="rId81">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0"/>
        </w:numPr>
        <w:pStyle w:val="Compact"/>
      </w:pPr>
      <w:r>
        <w:t xml:space="preserve">jSDM</w:t>
      </w:r>
      <w:r>
        <w:t xml:space="preserve"> </w:t>
      </w:r>
      <w:hyperlink r:id="rId82">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0"/>
        </w:numPr>
        <w:pStyle w:val="Compact"/>
      </w:pPr>
      <w:r>
        <w:t xml:space="preserve">HMSC</w:t>
      </w:r>
      <w:r>
        <w:t xml:space="preserve"> </w:t>
      </w:r>
      <w:hyperlink r:id="rId83">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1"/>
        </w:numPr>
        <w:pStyle w:val="Compact"/>
      </w:pPr>
      <w:r>
        <w:t xml:space="preserve">SpiecEasi</w:t>
      </w:r>
      <w:r>
        <w:t xml:space="preserve"> </w:t>
      </w:r>
      <w:hyperlink r:id="rId84">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1"/>
        </w:numPr>
        <w:pStyle w:val="Compact"/>
      </w:pPr>
      <w:r>
        <w:t xml:space="preserve">NetCoMi</w:t>
      </w:r>
      <w:r>
        <w:t xml:space="preserve"> </w:t>
      </w:r>
      <w:hyperlink r:id="rId85">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1"/>
        </w:numPr>
        <w:pStyle w:val="Compact"/>
      </w:pPr>
      <w:r>
        <w:t xml:space="preserve">ggClusterNet</w:t>
      </w:r>
      <w:r>
        <w:t xml:space="preserve"> </w:t>
      </w:r>
      <w:hyperlink r:id="rId86">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7" w:name="引用文献"/>
      <w:r>
        <w:t xml:space="preserve">引用文献</w:t>
      </w:r>
      <w:bookmarkEnd w:id="87"/>
    </w:p>
    <w:bookmarkStart w:id="164" w:name="refs"/>
    <w:bookmarkStart w:id="89"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8">
        <w:r>
          <w:rPr>
            <w:rStyle w:val="Hyperlink"/>
          </w:rPr>
          <w:t xml:space="preserve">https://doi.org/10.1038/nmeth.3869</w:t>
        </w:r>
      </w:hyperlink>
    </w:p>
    <w:bookmarkEnd w:id="89"/>
    <w:bookmarkStart w:id="91"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0">
        <w:r>
          <w:rPr>
            <w:rStyle w:val="Hyperlink"/>
          </w:rPr>
          <w:t xml:space="preserve">https://doi.org/10.1890/13-0133.1</w:t>
        </w:r>
      </w:hyperlink>
    </w:p>
    <w:bookmarkEnd w:id="91"/>
    <w:bookmarkStart w:id="93"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2">
        <w:r>
          <w:rPr>
            <w:rStyle w:val="Hyperlink"/>
          </w:rPr>
          <w:t xml:space="preserve">https://doi.org/10.1890/11-1952.1</w:t>
        </w:r>
      </w:hyperlink>
    </w:p>
    <w:bookmarkEnd w:id="93"/>
    <w:bookmarkStart w:id="95"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4">
        <w:r>
          <w:rPr>
            <w:rStyle w:val="Hyperlink"/>
          </w:rPr>
          <w:t xml:space="preserve">https://doi.org/10.1002/ecm.1588</w:t>
        </w:r>
      </w:hyperlink>
    </w:p>
    <w:bookmarkEnd w:id="95"/>
    <w:bookmarkStart w:id="97"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6">
        <w:r>
          <w:rPr>
            <w:rStyle w:val="Hyperlink"/>
          </w:rPr>
          <w:t xml:space="preserve">https://doi.org/10.7717/peerj.1634</w:t>
        </w:r>
      </w:hyperlink>
    </w:p>
    <w:bookmarkEnd w:id="97"/>
    <w:bookmarkStart w:id="99"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8">
        <w:r>
          <w:rPr>
            <w:rStyle w:val="Hyperlink"/>
          </w:rPr>
          <w:t xml:space="preserve">https://doi.org/10.1093/bioinformatics/btq461</w:t>
        </w:r>
      </w:hyperlink>
    </w:p>
    <w:bookmarkEnd w:id="99"/>
    <w:bookmarkStart w:id="100" w:name="ref-Edgar2016UCHIME2improvedchimera"/>
    <w:p>
      <w:pPr>
        <w:pStyle w:val="Bibliography"/>
      </w:pPr>
      <w:r>
        <w:t xml:space="preserve">Edgar, Robert C. (2016) UCHIME2: improved chimera prediction for amplicon sequencing., 074252.</w:t>
      </w:r>
    </w:p>
    <w:bookmarkEnd w:id="100"/>
    <w:bookmarkStart w:id="102"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1">
        <w:r>
          <w:rPr>
            <w:rStyle w:val="Hyperlink"/>
          </w:rPr>
          <w:t xml:space="preserve">https://doi.org/10.1093/bioinformatics/btv401</w:t>
        </w:r>
      </w:hyperlink>
    </w:p>
    <w:bookmarkEnd w:id="102"/>
    <w:bookmarkStart w:id="104"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3">
        <w:r>
          <w:rPr>
            <w:rStyle w:val="Hyperlink"/>
          </w:rPr>
          <w:t xml:space="preserve">https://doi.org/10.1093/bioinformatics/btr381</w:t>
        </w:r>
      </w:hyperlink>
    </w:p>
    <w:bookmarkEnd w:id="104"/>
    <w:bookmarkStart w:id="106"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5">
        <w:r>
          <w:rPr>
            <w:rStyle w:val="Hyperlink"/>
          </w:rPr>
          <w:t xml:space="preserve">https://doi.org/10.1093/nar/gkv107</w:t>
        </w:r>
      </w:hyperlink>
    </w:p>
    <w:bookmarkEnd w:id="106"/>
    <w:bookmarkStart w:id="108"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7">
        <w:r>
          <w:rPr>
            <w:rStyle w:val="Hyperlink"/>
          </w:rPr>
          <w:t xml:space="preserve">https://doi.org/10.1111/2041-210X.12613</w:t>
        </w:r>
      </w:hyperlink>
    </w:p>
    <w:bookmarkEnd w:id="108"/>
    <w:bookmarkStart w:id="110"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09">
        <w:r>
          <w:rPr>
            <w:rStyle w:val="Hyperlink"/>
          </w:rPr>
          <w:t xml:space="preserve">https://doi.org/10.1111/2041-210X.12514</w:t>
        </w:r>
      </w:hyperlink>
    </w:p>
    <w:bookmarkEnd w:id="110"/>
    <w:bookmarkStart w:id="112"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1">
        <w:r>
          <w:rPr>
            <w:rStyle w:val="Hyperlink"/>
          </w:rPr>
          <w:t xml:space="preserve">https://doi.org/10.1101/gr.5969107</w:t>
        </w:r>
      </w:hyperlink>
    </w:p>
    <w:bookmarkEnd w:id="112"/>
    <w:bookmarkStart w:id="114"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3">
        <w:r>
          <w:rPr>
            <w:rStyle w:val="Hyperlink"/>
          </w:rPr>
          <w:t xml:space="preserve">https://doi.org/10.1002/1438-390X.12158</w:t>
        </w:r>
      </w:hyperlink>
    </w:p>
    <w:bookmarkEnd w:id="114"/>
    <w:bookmarkStart w:id="116"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5">
        <w:r>
          <w:rPr>
            <w:rStyle w:val="Hyperlink"/>
          </w:rPr>
          <w:t xml:space="preserve">https://doi.org/10.1093/bioinformatics/btq166</w:t>
        </w:r>
      </w:hyperlink>
    </w:p>
    <w:bookmarkEnd w:id="116"/>
    <w:bookmarkStart w:id="118"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7">
        <w:r>
          <w:rPr>
            <w:rStyle w:val="Hyperlink"/>
          </w:rPr>
          <w:t xml:space="preserve">https://doi.org/10.3897/mbmg.3.33835</w:t>
        </w:r>
      </w:hyperlink>
    </w:p>
    <w:bookmarkEnd w:id="118"/>
    <w:bookmarkStart w:id="120"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19">
        <w:r>
          <w:rPr>
            <w:rStyle w:val="Hyperlink"/>
          </w:rPr>
          <w:t xml:space="preserve">https://doi.org/10.1371/journal.pcbi.1004226</w:t>
        </w:r>
      </w:hyperlink>
    </w:p>
    <w:bookmarkEnd w:id="120"/>
    <w:bookmarkStart w:id="122"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1">
        <w:r>
          <w:rPr>
            <w:rStyle w:val="Hyperlink"/>
          </w:rPr>
          <w:t xml:space="preserve">https://doi.org/10.1007/s12562-020-01461-x</w:t>
        </w:r>
      </w:hyperlink>
    </w:p>
    <w:bookmarkEnd w:id="122"/>
    <w:bookmarkStart w:id="124"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3">
        <w:r>
          <w:rPr>
            <w:rStyle w:val="Hyperlink"/>
          </w:rPr>
          <w:t xml:space="preserve">https://doi.org/10.1098/rsos.150088</w:t>
        </w:r>
      </w:hyperlink>
    </w:p>
    <w:bookmarkEnd w:id="124"/>
    <w:bookmarkStart w:id="126"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5">
        <w:r>
          <w:rPr>
            <w:rStyle w:val="Hyperlink"/>
          </w:rPr>
          <w:t xml:space="preserve">https://doi.org/10.1111/2041-210X.13303</w:t>
        </w:r>
      </w:hyperlink>
    </w:p>
    <w:bookmarkEnd w:id="126"/>
    <w:bookmarkStart w:id="127" w:name="Xb5489c4465f4c1c7dcd80a3ff0501eb4665b501"/>
    <w:p>
      <w:pPr>
        <w:pStyle w:val="Bibliography"/>
      </w:pPr>
      <w:r>
        <w:t xml:space="preserve">Osada, Yutaka, Ushio, Masayuki &amp; Michio, Kondoh (2023) A unified framework for nonparametric causality detection., 2023.04.20.537743.</w:t>
      </w:r>
    </w:p>
    <w:bookmarkEnd w:id="127"/>
    <w:bookmarkStart w:id="129"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8">
        <w:r>
          <w:rPr>
            <w:rStyle w:val="Hyperlink"/>
          </w:rPr>
          <w:t xml:space="preserve">https://doi.org/10.1093/bib/bbaa290</w:t>
        </w:r>
      </w:hyperlink>
    </w:p>
    <w:bookmarkEnd w:id="129"/>
    <w:bookmarkStart w:id="131" w:name="X715984a41d965ce24450aa0988de2d31c72bb38"/>
    <w:p>
      <w:pPr>
        <w:pStyle w:val="Bibliography"/>
      </w:pPr>
      <w:r>
        <w:t xml:space="preserve">R Core Team (2023) R: A Language and Environment for Statistical Computing.</w:t>
      </w:r>
      <w:r>
        <w:t xml:space="preserve"> </w:t>
      </w:r>
      <w:hyperlink r:id="rId130">
        <w:r>
          <w:rPr>
            <w:rStyle w:val="Hyperlink"/>
          </w:rPr>
          <w:t xml:space="preserve">https://www.R-project.org</w:t>
        </w:r>
      </w:hyperlink>
    </w:p>
    <w:bookmarkEnd w:id="131"/>
    <w:bookmarkStart w:id="133"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2">
        <w:r>
          <w:rPr>
            <w:rStyle w:val="Hyperlink"/>
          </w:rPr>
          <w:t xml:space="preserve">https://doi.org/10.7717/peerj.2584</w:t>
        </w:r>
      </w:hyperlink>
    </w:p>
    <w:bookmarkEnd w:id="133"/>
    <w:bookmarkStart w:id="135"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4">
        <w:r>
          <w:rPr>
            <w:rStyle w:val="Hyperlink"/>
          </w:rPr>
          <w:t xml:space="preserve">https://doi.org/10.3897/mbmg.6.76534</w:t>
        </w:r>
      </w:hyperlink>
    </w:p>
    <w:bookmarkEnd w:id="135"/>
    <w:bookmarkStart w:id="137"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6">
        <w:r>
          <w:rPr>
            <w:rStyle w:val="Hyperlink"/>
          </w:rPr>
          <w:t xml:space="preserve">https://doi.org/10.1093/molbev/msy074</w:t>
        </w:r>
      </w:hyperlink>
    </w:p>
    <w:bookmarkEnd w:id="137"/>
    <w:bookmarkStart w:id="139"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38">
        <w:r>
          <w:rPr>
            <w:rStyle w:val="Hyperlink"/>
          </w:rPr>
          <w:t xml:space="preserve">https://doi.org/10.1007/s10201-022-00710-5</w:t>
        </w:r>
      </w:hyperlink>
    </w:p>
    <w:bookmarkEnd w:id="139"/>
    <w:bookmarkStart w:id="141"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0">
        <w:r>
          <w:rPr>
            <w:rStyle w:val="Hyperlink"/>
          </w:rPr>
          <w:t xml:space="preserve">https://doi.org/10.1371/journal.pone.0076910</w:t>
        </w:r>
      </w:hyperlink>
    </w:p>
    <w:bookmarkEnd w:id="141"/>
    <w:bookmarkStart w:id="143"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2">
        <w:r>
          <w:rPr>
            <w:rStyle w:val="Hyperlink"/>
          </w:rPr>
          <w:t xml:space="preserve">https://doi.org/10.1111/2041-210X.13345</w:t>
        </w:r>
      </w:hyperlink>
    </w:p>
    <w:bookmarkEnd w:id="143"/>
    <w:bookmarkStart w:id="145"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4">
        <w:r>
          <w:rPr>
            <w:rStyle w:val="Hyperlink"/>
          </w:rPr>
          <w:t xml:space="preserve">https://doi.org/10.1111/1755-0998.12690</w:t>
        </w:r>
      </w:hyperlink>
    </w:p>
    <w:bookmarkEnd w:id="145"/>
    <w:bookmarkStart w:id="147"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6">
        <w:r>
          <w:rPr>
            <w:rStyle w:val="Hyperlink"/>
          </w:rPr>
          <w:t xml:space="preserve">https://doi.org/10.1002/edn3.337</w:t>
        </w:r>
      </w:hyperlink>
    </w:p>
    <w:bookmarkEnd w:id="147"/>
    <w:bookmarkStart w:id="149"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48">
        <w:r>
          <w:rPr>
            <w:rStyle w:val="Hyperlink"/>
          </w:rPr>
          <w:t xml:space="preserve">https://doi.org/10.3897/mbmg.2.23297</w:t>
        </w:r>
      </w:hyperlink>
    </w:p>
    <w:bookmarkEnd w:id="149"/>
    <w:bookmarkStart w:id="151"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0">
        <w:r>
          <w:rPr>
            <w:rStyle w:val="Hyperlink"/>
          </w:rPr>
          <w:t xml:space="preserve">https://doi.org/10.1038/s41598-018-22817-5</w:t>
        </w:r>
      </w:hyperlink>
    </w:p>
    <w:bookmarkEnd w:id="151"/>
    <w:bookmarkStart w:id="153"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2">
        <w:r>
          <w:rPr>
            <w:rStyle w:val="Hyperlink"/>
          </w:rPr>
          <w:t xml:space="preserve">https://doi.org/10.1016/j.tree.2015.09.007</w:t>
        </w:r>
      </w:hyperlink>
    </w:p>
    <w:bookmarkEnd w:id="153"/>
    <w:bookmarkStart w:id="155"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4">
        <w:r>
          <w:rPr>
            <w:rStyle w:val="Hyperlink"/>
          </w:rPr>
          <w:t xml:space="preserve">https://doi.org/10.1002/imt2.32</w:t>
        </w:r>
      </w:hyperlink>
    </w:p>
    <w:bookmarkEnd w:id="155"/>
    <w:bookmarkStart w:id="157"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6">
        <w:r>
          <w:rPr>
            <w:rStyle w:val="Hyperlink"/>
          </w:rPr>
          <w:t xml:space="preserve">https://doi.org/10.1126/science.aag0863</w:t>
        </w:r>
      </w:hyperlink>
    </w:p>
    <w:bookmarkEnd w:id="157"/>
    <w:bookmarkStart w:id="159"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58">
        <w:r>
          <w:rPr>
            <w:rStyle w:val="Hyperlink"/>
          </w:rPr>
          <w:t xml:space="preserve">https://doi.org/10.1093/molbev/msad035</w:t>
        </w:r>
      </w:hyperlink>
    </w:p>
    <w:bookmarkEnd w:id="159"/>
    <w:bookmarkStart w:id="161"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0">
        <w:r>
          <w:rPr>
            <w:rStyle w:val="Hyperlink"/>
          </w:rPr>
          <w:t xml:space="preserve">https://doi.org/10.18960/seitai.61.1_3</w:t>
        </w:r>
      </w:hyperlink>
    </w:p>
    <w:bookmarkEnd w:id="161"/>
    <w:bookmarkStart w:id="163"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2">
        <w:r>
          <w:rPr>
            <w:rStyle w:val="Hyperlink"/>
          </w:rPr>
          <w:t xml:space="preserve">https://www.fifthdimension.jp/wiki.cgi?page=%BC%AB%CD%B3%BD%B8%B2%F12016%A1%A7%A5%E1%A5%BF%A5%D0%A1%BC%A5%B3%A1%BC%A5%C7%A5%A3%A5%F3%A5%B0%A1%A6%B4%C4%B6%ADDNA%A5%D0%A1%BC%A5%B3%A1%BC%A5%C7%A5%A3%A5%F3%A5%B0%B2%F2%C0%CF%A4%CE%B5%BB%CB%A1</w:t>
        </w:r>
      </w:hyperlink>
    </w:p>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2024-02-11T05:54:43Z</dcterms:created>
  <dcterms:modified xsi:type="dcterms:W3CDTF">2024-02-11T05:54:43Z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2024-02-11</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