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2024-01-24</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MiFish pipeline</w:t>
      </w:r>
      <w:r>
        <w:t xml:space="preserve"> </w:t>
      </w:r>
      <w:r>
        <w:t xml:space="preserve">(Sato et al., 2018; Zhu et al., 2023)</w:t>
      </w:r>
      <w:r>
        <w:t xml:space="preserve">との違いは、大まかには以下の通りです。</w:t>
      </w:r>
    </w:p>
    <w:p>
      <w:pPr>
        <w:numPr>
          <w:ilvl w:val="0"/>
          <w:numId w:val="1001"/>
        </w:numPr>
        <w:pStyle w:val="Compact"/>
      </w:pPr>
      <w:r>
        <w:t xml:space="preserve">MiFishプライマー</w:t>
      </w:r>
      <w:r>
        <w:t xml:space="preserve"> </w:t>
      </w:r>
      <w:r>
        <w:t xml:space="preserve">(Miya et al., 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定量・非定量メタバーコーディング</w:t>
      </w:r>
      <w:r>
        <w:t xml:space="preserve"> </w:t>
      </w:r>
      <w:r>
        <w:t xml:space="preserve">(Ushio, Murakami, et al., 2018)</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w:t>
      </w:r>
    </w:p>
    <w:p>
      <w:pPr>
        <w:numPr>
          <w:ilvl w:val="0"/>
          <w:numId w:val="1004"/>
        </w:numPr>
        <w:pStyle w:val="Compact"/>
      </w:pPr>
      <w:r>
        <w:t xml:space="preserve">Ubuntu 20.04以降 (Windows上のWSL2環境を含む)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(Windows上のWSL2環境を含む)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Windowsをご使用の方は、Microsoft Storeから「Windows Subsystem for Linux」、「Ubuntu」および「Windows Terminal」をインストールすれば、Ubuntu環境内にClaidentをインストールすることができます。</w:t>
      </w:r>
      <w:r>
        <w:t xml:space="preserve"> </w:t>
      </w:r>
      <w:r>
        <w:t xml:space="preserve">ただし、Windows上にインストールしたUbuntuは、標準では最大250GB程度しかディスク容量を使用できません(執筆時点)。</w:t>
      </w:r>
      <w:r>
        <w:t xml:space="preserve"> </w:t>
      </w:r>
      <w:r>
        <w:t xml:space="preserve">大きなデータ解析にはディスク容量が不足する可能性が高いので、専用の解析マシンを用意することをお勧めします。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インストール先を変更した場合、環境変数</w:t>
      </w:r>
      <w:r>
        <w:rPr>
          <w:rStyle w:val="VerbatimChar"/>
        </w:rPr>
        <w:t xml:space="preserve">PATH</w:t>
      </w:r>
      <w:r>
        <w:t xml:space="preserve">に実行コマンドが存在する</w:t>
      </w:r>
      <w:r>
        <w:rPr>
          <w:rStyle w:val="VerbatimChar"/>
        </w:rPr>
        <w:t xml:space="preserve">インストール先/bin</w:t>
      </w:r>
      <w:r>
        <w:t xml:space="preserve">が登録されていないため、Claidentの解析コマンドが実行できません。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このように、インストール先を変更することで、複数のバージョンのClaidentを共存させることができます。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4" w:name="データ解析全体の流れと前提条件"/>
      <w:r>
        <w:t xml:space="preserve">データ解析全体の流れと前提条件</w:t>
      </w:r>
      <w:bookmarkEnd w:id="24"/>
    </w:p>
    <w:p>
      <w:pPr>
        <w:pStyle w:val="FirstParagraph"/>
      </w:pPr>
      <w:r>
        <w:t xml:space="preserve">Claidentによるデータ解析は、以下の流れで行います。</w:t>
      </w:r>
    </w:p>
    <w:p>
      <w:pPr>
        <w:numPr>
          <w:ilvl w:val="0"/>
          <w:numId w:val="1005"/>
        </w:numPr>
        <w:pStyle w:val="Compact"/>
      </w:pPr>
      <w:r>
        <w:t xml:space="preserve">デマルチプレクシング</w:t>
      </w:r>
    </w:p>
    <w:p>
      <w:pPr>
        <w:numPr>
          <w:ilvl w:val="0"/>
          <w:numId w:val="1005"/>
        </w:numPr>
        <w:pStyle w:val="Compact"/>
      </w:pPr>
      <w:r>
        <w:t xml:space="preserve">ペアエンド配列の連結</w:t>
      </w:r>
    </w:p>
    <w:p>
      <w:pPr>
        <w:numPr>
          <w:ilvl w:val="0"/>
          <w:numId w:val="1005"/>
        </w:numPr>
        <w:pStyle w:val="Compact"/>
      </w:pPr>
      <w:r>
        <w:t xml:space="preserve">低品質配列の除去</w:t>
      </w:r>
      <w:r>
        <w:t xml:space="preserve"> </w:t>
      </w:r>
      <w:r>
        <w:t xml:space="preserve">(Edgar and Flyvbjerg, 2015)</w:t>
      </w:r>
    </w:p>
    <w:p>
      <w:pPr>
        <w:numPr>
          <w:ilvl w:val="0"/>
          <w:numId w:val="1005"/>
        </w:numPr>
        <w:pStyle w:val="Compact"/>
      </w:pPr>
      <w:r>
        <w:t xml:space="preserve">デノイジング</w:t>
      </w:r>
      <w:r>
        <w:t xml:space="preserve"> </w:t>
      </w:r>
      <w:r>
        <w:t xml:space="preserve">(Callahan et al., 2016)</w:t>
      </w:r>
    </w:p>
    <w:p>
      <w:pPr>
        <w:numPr>
          <w:ilvl w:val="0"/>
          <w:numId w:val="1005"/>
        </w:numPr>
        <w:pStyle w:val="Compact"/>
      </w:pPr>
      <w:r>
        <w:t xml:space="preserve">参照配列データベースを用いないキメラ除去</w:t>
      </w:r>
      <w:r>
        <w:t xml:space="preserve"> </w:t>
      </w:r>
      <w:r>
        <w:t xml:space="preserve">(Edgar, 2016; Rognes et al., 2016)</w:t>
      </w:r>
    </w:p>
    <w:p>
      <w:pPr>
        <w:numPr>
          <w:ilvl w:val="0"/>
          <w:numId w:val="1005"/>
        </w:numPr>
        <w:pStyle w:val="Compact"/>
      </w:pPr>
      <w:r>
        <w:t xml:space="preserve">内部標準配列クラスタリング</w:t>
      </w:r>
      <w:r>
        <w:t xml:space="preserve"> </w:t>
      </w:r>
      <w:r>
        <w:t xml:space="preserve">(Edgar, 2010; Rognes et al., 2016)</w:t>
      </w:r>
    </w:p>
    <w:p>
      <w:pPr>
        <w:numPr>
          <w:ilvl w:val="0"/>
          <w:numId w:val="1005"/>
        </w:numPr>
        <w:pStyle w:val="Compact"/>
      </w:pPr>
      <w:r>
        <w:t xml:space="preserve">参照配列データベースを用いたキメラ除去</w:t>
      </w:r>
      <w:r>
        <w:t xml:space="preserve"> </w:t>
      </w:r>
      <w:r>
        <w:t xml:space="preserve">(Edgar et al., 2011; Rognes et al., 2016)</w:t>
      </w:r>
    </w:p>
    <w:p>
      <w:pPr>
        <w:numPr>
          <w:ilvl w:val="0"/>
          <w:numId w:val="1005"/>
        </w:numPr>
        <w:pStyle w:val="Compact"/>
      </w:pPr>
      <w:r>
        <w:t xml:space="preserve">インデックスホッピング除去</w:t>
      </w:r>
      <w:r>
        <w:t xml:space="preserve"> </w:t>
      </w:r>
      <w:r>
        <w:t xml:space="preserve">(Esling et al., 2015)</w:t>
      </w:r>
    </w:p>
    <w:p>
      <w:pPr>
        <w:numPr>
          <w:ilvl w:val="0"/>
          <w:numId w:val="1005"/>
        </w:numPr>
        <w:pStyle w:val="Compact"/>
      </w:pPr>
      <w:r>
        <w:t xml:space="preserve">ネガティブコントロールを利用したデコンタミネーション</w:t>
      </w:r>
    </w:p>
    <w:p>
      <w:pPr>
        <w:numPr>
          <w:ilvl w:val="0"/>
          <w:numId w:val="1005"/>
        </w:numPr>
        <w:pStyle w:val="Compact"/>
      </w:pPr>
      <w:r>
        <w:t xml:space="preserve">分子同定</w:t>
      </w:r>
      <w:r>
        <w:t xml:space="preserve"> </w:t>
      </w:r>
      <w:r>
        <w:t xml:space="preserve">(Tanabe and Toju, 2013)</w:t>
      </w:r>
    </w:p>
    <w:p>
      <w:pPr>
        <w:numPr>
          <w:ilvl w:val="0"/>
          <w:numId w:val="1005"/>
        </w:numPr>
        <w:pStyle w:val="Compact"/>
      </w:pPr>
      <w:r>
        <w:t xml:space="preserve">サンプル×OTU表の作成・加工</w:t>
      </w:r>
    </w:p>
    <w:p>
      <w:pPr>
        <w:numPr>
          <w:ilvl w:val="0"/>
          <w:numId w:val="1005"/>
        </w:numPr>
        <w:pStyle w:val="Compact"/>
      </w:pPr>
      <w:r>
        <w:t xml:space="preserve">カバレッジベースレアファクション</w:t>
      </w:r>
      <w:r>
        <w:t xml:space="preserve"> </w:t>
      </w:r>
      <w:r>
        <w:t xml:space="preserve">(Chao and Jost, 2012)</w:t>
      </w:r>
    </w:p>
    <w:p>
      <w:pPr>
        <w:numPr>
          <w:ilvl w:val="0"/>
          <w:numId w:val="1005"/>
        </w:numPr>
        <w:pStyle w:val="Compact"/>
      </w:pPr>
      <w:r>
        <w:t xml:space="preserve">内部標準DNAリード数を利用したDNA濃度の推定</w:t>
      </w:r>
      <w:r>
        <w:t xml:space="preserve"> </w:t>
      </w:r>
      <w:r>
        <w:t xml:space="preserve">(Ushio, Murakami, et al., 2018)</w:t>
      </w:r>
    </w:p>
    <w:p>
      <w:pPr>
        <w:pStyle w:val="FirstParagraph"/>
      </w:pPr>
      <w:r>
        <w:t xml:space="preserve">最終的に得られたサンプル×OTU表をRやその他の統計解析環境で処理することで、作図や要約、仮説検証を行います。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Claidentは大抵のメタバーコードデータの解析に使用可能ですが、ここでは以下のようなデータを仮定して解説を進めます(下記を満たしていないデータを全く解析できないわけではありません)。</w:t>
      </w:r>
    </w:p>
    <w:p>
      <w:pPr>
        <w:numPr>
          <w:ilvl w:val="0"/>
          <w:numId w:val="1006"/>
        </w:numPr>
        <w:pStyle w:val="Compact"/>
      </w:pPr>
      <w:r>
        <w:t xml:space="preserve">環境水を濾過して濾過フィルターから抽出した環境DNAサンプルとネガティブコントロールとしてのフィールドブランクが含まれる</w:t>
      </w:r>
    </w:p>
    <w:p>
      <w:pPr>
        <w:numPr>
          <w:ilvl w:val="0"/>
          <w:numId w:val="1006"/>
        </w:numPr>
        <w:pStyle w:val="Compact"/>
      </w:pPr>
      <w:r>
        <w:t xml:space="preserve">以下の方法でライブラリ調製</w:t>
      </w:r>
    </w:p>
    <w:p>
      <w:pPr>
        <w:numPr>
          <w:ilvl w:val="1"/>
          <w:numId w:val="1007"/>
        </w:numPr>
        <w:pStyle w:val="Compact"/>
      </w:pPr>
      <w:r>
        <w:t xml:space="preserve">濃度のわかっている複数の内部標準DNAを添加してMiFishプライマーを使用してtailed PCR (1st PCR)</w:t>
      </w:r>
    </w:p>
    <w:p>
      <w:pPr>
        <w:numPr>
          <w:ilvl w:val="1"/>
          <w:numId w:val="1007"/>
        </w:numPr>
        <w:pStyle w:val="Compact"/>
      </w:pPr>
      <w:r>
        <w:t xml:space="preserve">1st PCR産物を鋳型にしてインデックスプライマーを使用してtailed PCR (2nd PCR)</w:t>
      </w:r>
    </w:p>
    <w:p>
      <w:pPr>
        <w:numPr>
          <w:ilvl w:val="0"/>
          <w:numId w:val="1006"/>
        </w:numPr>
        <w:pStyle w:val="Compact"/>
      </w:pPr>
      <w:r>
        <w:t xml:space="preserve">各サンプルの2nd PCR産物を混合してIllumina社製シーケンサで</w:t>
      </w:r>
      <w:r>
        <w:rPr>
          <w:b/>
        </w:rPr>
        <w:t xml:space="preserve">1ランまたは1レーン専有で</w:t>
      </w:r>
      <w:r>
        <w:t xml:space="preserve">解読</w:t>
      </w:r>
    </w:p>
    <w:p>
      <w:pPr>
        <w:pStyle w:val="FirstParagraph"/>
      </w:pPr>
      <w:r>
        <w:t xml:space="preserve">したがって、サンプル・ブランクごとに以下の情報がわかっている必要があります。</w:t>
      </w:r>
    </w:p>
    <w:p>
      <w:pPr>
        <w:numPr>
          <w:ilvl w:val="0"/>
          <w:numId w:val="1008"/>
        </w:numPr>
        <w:pStyle w:val="Compact"/>
      </w:pPr>
      <w:r>
        <w:t xml:space="preserve">サンプル・ブランクのいずれなのか</w:t>
      </w:r>
    </w:p>
    <w:p>
      <w:pPr>
        <w:numPr>
          <w:ilvl w:val="0"/>
          <w:numId w:val="1008"/>
        </w:numPr>
        <w:pStyle w:val="Compact"/>
      </w:pPr>
      <w:r>
        <w:t xml:space="preserve">濾過水量</w:t>
      </w:r>
    </w:p>
    <w:p>
      <w:pPr>
        <w:numPr>
          <w:ilvl w:val="0"/>
          <w:numId w:val="1008"/>
        </w:numPr>
        <w:pStyle w:val="Compact"/>
      </w:pPr>
      <w:r>
        <w:t xml:space="preserve">抽出DNA溶液量(回収液量ではなく、最後の溶出時に添加した液量)</w:t>
      </w:r>
    </w:p>
    <w:p>
      <w:pPr>
        <w:numPr>
          <w:ilvl w:val="0"/>
          <w:numId w:val="1008"/>
        </w:numPr>
        <w:pStyle w:val="Compact"/>
      </w:pPr>
      <w:r>
        <w:t xml:space="preserve">内部標準DNA塩基配列</w:t>
      </w:r>
    </w:p>
    <w:p>
      <w:pPr>
        <w:numPr>
          <w:ilvl w:val="0"/>
          <w:numId w:val="1008"/>
        </w:numPr>
        <w:pStyle w:val="Compact"/>
      </w:pPr>
      <w:r>
        <w:t xml:space="preserve">内部標準DNA濃度</w:t>
      </w:r>
    </w:p>
    <w:p>
      <w:pPr>
        <w:numPr>
          <w:ilvl w:val="0"/>
          <w:numId w:val="1008"/>
        </w:numPr>
        <w:pStyle w:val="Compact"/>
      </w:pPr>
      <w:r>
        <w:t xml:space="preserve">1st PCR時のプライマー配列のうち、シーケンサの読み始めになる部分配列</w:t>
      </w:r>
    </w:p>
    <w:p>
      <w:pPr>
        <w:numPr>
          <w:ilvl w:val="0"/>
          <w:numId w:val="1008"/>
        </w:numPr>
        <w:pStyle w:val="Compact"/>
      </w:pPr>
      <w:r>
        <w:t xml:space="preserve">2nd PCR時のプライマー配列のうち、インデックスとして読まれる部分配列</w:t>
      </w:r>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 et al., 2020, 2015)</w:t>
      </w:r>
      <w:r>
        <w:t xml:space="preserve"> </w:t>
      </w:r>
      <w:r>
        <w:t xml:space="preserve">、 MiDeca</w:t>
      </w:r>
      <w:r>
        <w:t xml:space="preserve"> </w:t>
      </w:r>
      <w:r>
        <w:t xml:space="preserve">(Komai et al., 2019)</w:t>
      </w:r>
      <w:r>
        <w:t xml:space="preserve"> </w:t>
      </w:r>
      <w:r>
        <w:t xml:space="preserve">、MiMammal</w:t>
      </w:r>
      <w:r>
        <w:t xml:space="preserve"> </w:t>
      </w:r>
      <w:r>
        <w:t xml:space="preserve">(Ushio et al., 2017)</w:t>
      </w:r>
      <w:r>
        <w:t xml:space="preserve"> </w:t>
      </w:r>
      <w:r>
        <w:t xml:space="preserve">、MiBird</w:t>
      </w:r>
      <w:r>
        <w:t xml:space="preserve"> </w:t>
      </w:r>
      <w:r>
        <w:t xml:space="preserve">(Ushio, Murata, et al., 2018)</w:t>
      </w:r>
      <w:r>
        <w:t xml:space="preserve"> </w:t>
      </w:r>
      <w:r>
        <w:t xml:space="preserve">、Amph16S</w:t>
      </w:r>
      <w:r>
        <w:t xml:space="preserve"> </w:t>
      </w:r>
      <w:r>
        <w:t xml:space="preserve">(Sakata et al., 2022)</w:t>
      </w:r>
      <w:r>
        <w:t xml:space="preserve"> </w:t>
      </w:r>
      <w:r>
        <w:t xml:space="preserve">、MtInsects-16S</w:t>
      </w:r>
      <w:r>
        <w:t xml:space="preserve"> </w:t>
      </w:r>
      <w:r>
        <w:t xml:space="preserve">(Takenaka et al., 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NNNNNN</w:t>
      </w:r>
      <w:r>
        <w:t xml:space="preserve">を付加することがよくあります。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NNNNNN</w:t>
      </w:r>
      <w:r>
        <w:t xml:space="preserve">のほとんどが</w:t>
      </w:r>
      <w:r>
        <w:rPr>
          <w:rStyle w:val="VerbatimChar"/>
        </w:rPr>
        <w:t xml:space="preserve">TTTTTT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09"/>
        </w:numPr>
        <w:pStyle w:val="Compact"/>
      </w:pPr>
      <w:hyperlink r:id="rId25">
        <w:r>
          <w:rPr>
            <w:rStyle w:val="Hyperlink"/>
          </w:rPr>
          <w:t xml:space="preserve">https://github.com/astanabe/TruSeqStyleIndexPrimers</w:t>
        </w:r>
      </w:hyperlink>
    </w:p>
    <w:p>
      <w:pPr>
        <w:numPr>
          <w:ilvl w:val="0"/>
          <w:numId w:val="1009"/>
        </w:numPr>
        <w:pStyle w:val="Compact"/>
      </w:pPr>
      <w:hyperlink r:id="rId26">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 et al. (2022)</w:t>
      </w:r>
      <w:r>
        <w:t xml:space="preserve"> </w:t>
      </w:r>
      <w:r>
        <w:t xml:space="preserve">のAppendix S1に掲載されています。</w:t>
      </w:r>
    </w:p>
    <w:p>
      <w:pPr>
        <w:pStyle w:val="Heading3"/>
      </w:pPr>
      <w:bookmarkStart w:id="27" w:name="claidentにおけるサンプルidについて"/>
      <w:r>
        <w:t xml:space="preserve">Claidentにおける「サンプルID」について</w:t>
      </w:r>
      <w:bookmarkEnd w:id="27"/>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異なるシーケンスランで複数回シーケンスしたり、同一のサンプルの異なる複数のプライマーの増幅産物を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反復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などと付加することで、反復であることがわかるようにしておくのが良いでしょう。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28" w:name="otuとasvについて"/>
      <w:r>
        <w:t xml:space="preserve">OTUとASVについて</w:t>
      </w:r>
      <w:bookmarkEnd w:id="28"/>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この後の記述やClaidentの中では、OTUとASVに区別はありません。</w:t>
      </w:r>
    </w:p>
    <w:p>
      <w:pPr>
        <w:pStyle w:val="Heading3"/>
      </w:pPr>
      <w:bookmarkStart w:id="29" w:name="必要なファイル群とディレクトリ構造"/>
      <w:r>
        <w:t xml:space="preserve">必要なファイル群とディレクトリ構造</w:t>
      </w:r>
      <w:bookmarkEnd w:id="29"/>
    </w:p>
    <w:p>
      <w:pPr>
        <w:pStyle w:val="FirstParagraph"/>
      </w:pPr>
      <w:r>
        <w:t xml:space="preserve">ここでは、解析の前に用意する必要のあるファイル群を説明します。</w:t>
      </w:r>
    </w:p>
    <w:p>
      <w:pPr>
        <w:pStyle w:val="Heading4"/>
      </w:pPr>
      <w:bookmarkStart w:id="30" w:name="ブランクリストblanklist.txt"/>
      <w:r>
        <w:t xml:space="preserve">ブランクリスト(blanklist.txt)</w:t>
      </w:r>
      <w:bookmarkEnd w:id="30"/>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1" w:name="濾過水量表watervoltable.tsv"/>
      <w:r>
        <w:t xml:space="preserve">濾過水量表(watervoltable.tsv)</w:t>
      </w:r>
      <w:bookmarkEnd w:id="31"/>
    </w:p>
    <w:p>
      <w:pPr>
        <w:pStyle w:val="FirstParagraph"/>
      </w:pPr>
      <w:r>
        <w:t xml:space="preserve">1行に一つのサンプルIDとタブで区切って濾過水量の数値を記述したタブ区切りテキストファイルです。</w:t>
      </w:r>
      <w:r>
        <w:t xml:space="preserve"> </w:t>
      </w:r>
      <w:r>
        <w:t xml:space="preserve">濾過フィルターが複数あって区別して記述したい場合、タブで区切って複数記述します(濃度推定時は合算して処理されます)。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2" w:name="抽出dna溶液量表solutionvoltable.tsv"/>
      <w:r>
        <w:t xml:space="preserve">抽出DNA溶液量表(solutionvoltable.tsv)</w:t>
      </w:r>
      <w:bookmarkEnd w:id="32"/>
    </w:p>
    <w:p>
      <w:pPr>
        <w:pStyle w:val="FirstParagraph"/>
      </w:pPr>
      <w:r>
        <w:t xml:space="preserve">1行に一つのサンプル・ブランクIDとタブで区切って抽出したDNA溶液量の数値を記述したタブ区切りテキストファイルです。</w:t>
      </w:r>
      <w:r>
        <w:t xml:space="preserve"> </w:t>
      </w:r>
      <w:r>
        <w:t xml:space="preserve">濾過フィルターが複数あり、抽出後のDNA溶液も複数あって区別して記述したい場合、タブで区切って複数記述します(濃度推定時は合算して処理されます)。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3" w:name="内部標準dna塩基配列standard.fasta"/>
      <w:r>
        <w:t xml:space="preserve">内部標準DNA塩基配列(standard.fasta)</w:t>
      </w:r>
      <w:bookmarkEnd w:id="33"/>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塩基配列は、合成サービスに対して注文時に使用したものと同一、つまりプライマーのアニールする部位を含んでいても構いませんし、含んでいなくても構いません。</w:t>
      </w:r>
    </w:p>
    <w:p>
      <w:pPr>
        <w:pStyle w:val="Heading4"/>
      </w:pPr>
      <w:bookmarkStart w:id="34" w:name="内部標準dna濃度表stdconctable.tsv"/>
      <w:r>
        <w:t xml:space="preserve">内部標準DNA濃度表(stdconctable.tsv)</w:t>
      </w:r>
      <w:bookmarkEnd w:id="34"/>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したがって、サンプルDNA溶液の2倍の内部標準DNA溶液を添加した場合は数値を2倍に、サンプルDNA溶液を10倍希釈して希釈液と等量の内部標準DNA溶液を添加した場合は数値を10倍にします。</w:t>
      </w:r>
    </w:p>
    <w:p>
      <w:pPr>
        <w:pStyle w:val="Heading4"/>
      </w:pPr>
      <w:bookmarkStart w:id="35" w:name="X6f92aa88758fb857af311a69c3667a1203ce354"/>
      <w:r>
        <w:t xml:space="preserve">シーケンサの読み始めになる部分配列(forwardprimer.fasta・reverseprimer.fasta)</w:t>
      </w:r>
      <w:bookmarkEnd w:id="35"/>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6" w:name="X4f4f21bef0b7ceaf74a559b150bea30b3b97810"/>
      <w:r>
        <w:t xml:space="preserve">インデックスとして読まれる部分配列(index1.fasta・index2.fasta)</w:t>
      </w:r>
      <w:bookmarkEnd w:id="36"/>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Illumina社シーケンサの</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Heading4"/>
      </w:pPr>
      <w:bookmarkStart w:id="37" w:name="undemultiplexed-fastq"/>
      <w:r>
        <w:t xml:space="preserve">undemultiplexed FASTQ</w:t>
      </w:r>
      <w:bookmarkEnd w:id="37"/>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でのデマルチプレックスを行うには、LinuxマシンにIllumina社が提供するbcl2fastqというプログラムをインストールし、シーケンサのランデータからインデックス配列を含むデマルチプレックスしていないFASTQ (undemultiplexed FASTQ)を生成する必要があります。</w:t>
      </w:r>
      <w:r>
        <w:t xml:space="preserve"> </w:t>
      </w:r>
      <w:r>
        <w:t xml:space="preserve">bcl2fastqは以下のURLから取得できます。</w:t>
      </w:r>
    </w:p>
    <w:p>
      <w:pPr>
        <w:numPr>
          <w:ilvl w:val="0"/>
          <w:numId w:val="1010"/>
        </w:numPr>
        <w:pStyle w:val="Compact"/>
      </w:pPr>
      <w:hyperlink r:id="rId38">
        <w:r>
          <w:rPr>
            <w:rStyle w:val="Hyperlink"/>
          </w:rPr>
          <w:t xml:space="preserve">https://jp.support.illumina.com/sequencing/sequencing_software/bcl2fastq-conversion-software.html</w:t>
        </w:r>
      </w:hyperlink>
    </w:p>
    <w:p>
      <w:pPr>
        <w:pStyle w:val="FirstParagraph"/>
      </w:pPr>
      <w:r>
        <w:t xml:space="preserve">執筆時点の最新版はv2.20です。</w:t>
      </w:r>
      <w:r>
        <w:t xml:space="preserve"> </w:t>
      </w:r>
      <w:r>
        <w:t xml:space="preserve">Debian・Ubuntu・Linux Mintの場合、Linux rpmと書かれている配布ファイルをダウンロードして作業ディレクトリに置き、ターミナルで以下のコマンドを実行することでインストールできます。</w:t>
      </w:r>
    </w:p>
    <w:p>
      <w:pPr>
        <w:pStyle w:val="SourceCode"/>
      </w:pPr>
      <w:r>
        <w:rPr>
          <w:rStyle w:val="NormalTok"/>
        </w:rPr>
        <w:t xml:space="preserve">sudo apt install rpm2cpio cpio</w:t>
      </w:r>
      <w:r>
        <w:br/>
      </w:r>
      <w:r>
        <w:rPr>
          <w:rStyle w:val="NormalTok"/>
        </w:rPr>
        <w:t xml:space="preserve">cd workingdirectory</w:t>
      </w:r>
      <w:r>
        <w:br/>
      </w:r>
      <w:r>
        <w:rPr>
          <w:rStyle w:val="NormalTok"/>
        </w:rPr>
        <w:t xml:space="preserve">unzip bcl2fastq2-v2-20-0-linux-x86-64.zip</w:t>
      </w:r>
      <w:r>
        <w:br/>
      </w:r>
      <w:r>
        <w:rPr>
          <w:rStyle w:val="NormalTok"/>
        </w:rPr>
        <w:t xml:space="preserve">mkdir temporary</w:t>
      </w:r>
      <w:r>
        <w:br/>
      </w:r>
      <w:r>
        <w:rPr>
          <w:rStyle w:val="NormalTok"/>
        </w:rPr>
        <w:t xml:space="preserve">cd temporary</w:t>
      </w:r>
      <w:r>
        <w:br/>
      </w:r>
      <w:r>
        <w:rPr>
          <w:rStyle w:val="NormalTok"/>
        </w:rPr>
        <w:t xml:space="preserve">rpm2cpio ../bcl2fastq2-v2.20.0.422-Linux-x86_64.rpm | cpio -id</w:t>
      </w:r>
      <w:r>
        <w:br/>
      </w:r>
      <w:r>
        <w:rPr>
          <w:rStyle w:val="NormalTok"/>
        </w:rPr>
        <w:t xml:space="preserve">sudo mkdir -p /usr/local/bin</w:t>
      </w:r>
      <w:r>
        <w:br/>
      </w:r>
      <w:r>
        <w:rPr>
          <w:rStyle w:val="NormalTok"/>
        </w:rPr>
        <w:t xml:space="preserve">sudo cp usr/local/bin/bcl2fastq /usr/local/bin/</w:t>
      </w:r>
      <w:r>
        <w:br/>
      </w:r>
      <w:r>
        <w:rPr>
          <w:rStyle w:val="NormalTok"/>
        </w:rPr>
        <w:t xml:space="preserve">sudo cp -R usr/local/share/css /usr/local/share/</w:t>
      </w:r>
      <w:r>
        <w:br/>
      </w:r>
      <w:r>
        <w:rPr>
          <w:rStyle w:val="NormalTok"/>
        </w:rPr>
        <w:t xml:space="preserve">sudo cp -R usr/local/share/xsl /usr/local/share/</w:t>
      </w:r>
      <w:r>
        <w:br/>
      </w:r>
      <w:r>
        <w:rPr>
          <w:rStyle w:val="NormalTok"/>
        </w:rPr>
        <w:t xml:space="preserve">cd ..</w:t>
      </w:r>
      <w:r>
        <w:br/>
      </w:r>
      <w:r>
        <w:rPr>
          <w:rStyle w:val="NormalTok"/>
        </w:rPr>
        <w:t xml:space="preserve">rm -rf temporary bcl2fastq2-v2.20.0.422-Linux-x86_64.rpm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macOS上で実行するには、仮想マシンプログラムをインストールして仮想マシン上にLinuxをインストールし、そのLinux上にbcl2fastqをインストールする必要があります。</w:t>
      </w:r>
    </w:p>
    <w:p>
      <w:pPr>
        <w:pStyle w:val="BodyText"/>
      </w:pPr>
      <w:r>
        <w:t xml:space="preserve">bcl2fastqでundemultiplexed FASTQを生成するには、</w:t>
      </w:r>
      <w:r>
        <w:rPr>
          <w:rStyle w:val="VerbatimChar"/>
        </w:rPr>
        <w:t xml:space="preserve">SampleSheet.csv</w:t>
      </w:r>
      <w:r>
        <w:t xml:space="preserve">をコピーして</w:t>
      </w:r>
      <w:r>
        <w:rPr>
          <w:rStyle w:val="VerbatimChar"/>
        </w:rPr>
        <w:t xml:space="preserve">Dummy.csv</w:t>
      </w:r>
      <w:r>
        <w:t xml:space="preserve">を作成し、テキストエディタで開いて</w:t>
      </w:r>
      <w:r>
        <w:rPr>
          <w:rStyle w:val="VerbatimChar"/>
        </w:rPr>
        <w:t xml:space="preserve">[Data]</w:t>
      </w:r>
      <w:r>
        <w:t xml:space="preserve">セクションを編集します。</w:t>
      </w:r>
      <w:r>
        <w:t xml:space="preserve"> </w:t>
      </w:r>
      <w:r>
        <w:rPr>
          <w:rStyle w:val="VerbatimChar"/>
        </w:rPr>
        <w:t xml:space="preserve">[Data]</w:t>
      </w:r>
      <w:r>
        <w:t xml:space="preserve">セクションには1行目に各列のラベルが記されており、2行目以降にサンプル名やインデックス配列が記されていますが、2行目以降は削除します。</w:t>
      </w:r>
      <w:r>
        <w:t xml:space="preserve"> </w:t>
      </w:r>
      <w:r>
        <w:t xml:space="preserve">FASTQ生成の際にこのファイルをサンプルシートとして指定することで、bcl2fastqに内蔵されているデマルチプレックス機能を無効化し、undemultiplexed FASTQを作成することができます。</w:t>
      </w:r>
      <w:r>
        <w:t xml:space="preserve"> </w:t>
      </w:r>
      <w:r>
        <w:t xml:space="preserve">8塩基長のデュアルインデックスでフォワード側151サイクル、リバース側151サイクル解読した場合、以下のコマンドでundemultiplexed FASTQを</w:t>
      </w:r>
      <w:r>
        <w:rPr>
          <w:rStyle w:val="VerbatimChar"/>
        </w:rPr>
        <w:t xml:space="preserve">01_undemultiplexed</w:t>
      </w:r>
      <w:r>
        <w:t xml:space="preserve">ディレクトリに出力することができます。</w:t>
      </w:r>
    </w:p>
    <w:p>
      <w:pPr>
        <w:pStyle w:val="SourceCode"/>
      </w:pPr>
      <w:r>
        <w:rPr>
          <w:rStyle w:val="NormalTok"/>
        </w:rPr>
        <w:t xml:space="preserve">bcl2fastq \</w:t>
      </w:r>
      <w:r>
        <w:br/>
      </w:r>
      <w:r>
        <w:rPr>
          <w:rStyle w:val="NormalTok"/>
        </w:rPr>
        <w:t xml:space="preserve">--processing-threads NumberOfCPUcores \</w:t>
      </w:r>
      <w:r>
        <w:br/>
      </w:r>
      <w:r>
        <w:rPr>
          <w:rStyle w:val="NormalTok"/>
        </w:rPr>
        <w:t xml:space="preserve">--create-fastq-for-index-reads \</w:t>
      </w:r>
      <w:r>
        <w:br/>
      </w:r>
      <w:r>
        <w:rPr>
          <w:rStyle w:val="NormalTok"/>
        </w:rPr>
        <w:t xml:space="preserve">--use-bases-mask Y150n,I8,I8,Y150n \</w:t>
      </w:r>
      <w:r>
        <w:br/>
      </w:r>
      <w:r>
        <w:rPr>
          <w:rStyle w:val="NormalTok"/>
        </w:rPr>
        <w:t xml:space="preserve">--runfolder-dir RunDataDirectory \</w:t>
      </w:r>
      <w:r>
        <w:br/>
      </w:r>
      <w:r>
        <w:rPr>
          <w:rStyle w:val="NormalTok"/>
        </w:rPr>
        <w:t xml:space="preserve">--sample-sheet Dummy.csv \</w:t>
      </w:r>
      <w:r>
        <w:br/>
      </w:r>
      <w:r>
        <w:rPr>
          <w:rStyle w:val="NormalTok"/>
        </w:rPr>
        <w:t xml:space="preserve">--output-dir 01_undemultiplexed</w:t>
      </w:r>
    </w:p>
    <w:p>
      <w:pPr>
        <w:pStyle w:val="FirstParagraph"/>
      </w:pPr>
      <w:r>
        <w:t xml:space="preserve">ここで、RunDataDirectoryは、シーケンサ本体、またはシーケンサに付属の解析マシンに保存されている</w:t>
      </w:r>
      <w:r>
        <w:rPr>
          <w:rStyle w:val="VerbatimChar"/>
        </w:rPr>
        <w:t xml:space="preserve">BaseCalls</w:t>
      </w:r>
      <w:r>
        <w:t xml:space="preserve">という名前のディレクトリを含むディレクトリです。</w:t>
      </w:r>
      <w:r>
        <w:t xml:space="preserve"> </w:t>
      </w:r>
      <w:r>
        <w:t xml:space="preserve">予めbcl2fastqをインストールしたマシンにコピーしておく必要があります。</w:t>
      </w:r>
      <w:r>
        <w:t xml:space="preserve"> </w:t>
      </w:r>
      <w:r>
        <w:t xml:space="preserve">NumberOfCPUcoresは処理中に使用するCPUコア数の整数値で置き換えて下さい。</w:t>
      </w:r>
    </w:p>
    <w:p>
      <w:pPr>
        <w:pStyle w:val="BodyText"/>
      </w:pPr>
      <w:r>
        <w:t xml:space="preserve">上記コマンドを実行すると、以下の4ファイルが生成されます。</w:t>
      </w:r>
    </w:p>
    <w:p>
      <w:pPr>
        <w:pStyle w:val="DefinitionTerm"/>
      </w:pPr>
      <w:r>
        <w:t xml:space="preserve">～_I1_001.fastq.gz</w:t>
      </w:r>
    </w:p>
    <w:p>
      <w:pPr>
        <w:pStyle w:val="Definition"/>
      </w:pPr>
      <w:r>
        <w:t xml:space="preserve">index1のundemultiplexed FASTQ (長さ8塩基)</w:t>
      </w:r>
    </w:p>
    <w:p>
      <w:pPr>
        <w:pStyle w:val="DefinitionTerm"/>
      </w:pPr>
      <w:r>
        <w:t xml:space="preserve">～_I2_001.fastq.gz</w:t>
      </w:r>
    </w:p>
    <w:p>
      <w:pPr>
        <w:pStyle w:val="Definition"/>
      </w:pPr>
      <w:r>
        <w:t xml:space="preserve">index2のundemultiplexed FASTQ (長さ8塩基)</w:t>
      </w:r>
    </w:p>
    <w:p>
      <w:pPr>
        <w:pStyle w:val="DefinitionTerm"/>
      </w:pPr>
      <w:r>
        <w:t xml:space="preserve">～_R1_001.fastq.gz</w:t>
      </w:r>
    </w:p>
    <w:p>
      <w:pPr>
        <w:pStyle w:val="Definition"/>
      </w:pPr>
      <w:r>
        <w:t xml:space="preserve">インサートのフォワード側リードのundemultiplexed FASTQ (長さ150塩基)</w:t>
      </w:r>
    </w:p>
    <w:p>
      <w:pPr>
        <w:pStyle w:val="DefinitionTerm"/>
      </w:pPr>
      <w:r>
        <w:t xml:space="preserve">～_R2_001.fastq.gz</w:t>
      </w:r>
    </w:p>
    <w:p>
      <w:pPr>
        <w:pStyle w:val="Definition"/>
      </w:pPr>
      <w:r>
        <w:t xml:space="preserve">インサートのリバース側リードのundemultiplexed FASTQ (長さ150塩基)</w:t>
      </w:r>
    </w:p>
    <w:p>
      <w:pPr>
        <w:pStyle w:val="FirstParagraph"/>
      </w:pPr>
      <w:r>
        <w:t xml:space="preserve">なお、NextSeq 1000・2000やNovaSeq Xなどの新しい機種では、BCL Convertというまた別のプログラムを使用するように変更されています。</w:t>
      </w:r>
    </w:p>
    <w:p>
      <w:pPr>
        <w:pStyle w:val="Heading4"/>
      </w:pPr>
      <w:bookmarkStart w:id="39" w:name="ディレクトリ構造"/>
      <w:r>
        <w:t xml:space="preserve">ディレクトリ構造</w:t>
      </w:r>
      <w:bookmarkEnd w:id="39"/>
    </w:p>
    <w:p>
      <w:pPr>
        <w:pStyle w:val="FirstParagraph"/>
      </w:pPr>
      <w:r>
        <w:t xml:space="preserve">解析開始前の作業ディレクトリ内のファイルとディレクトリは以下の通りです。</w:t>
      </w:r>
    </w:p>
    <w:p>
      <w:pPr>
        <w:numPr>
          <w:ilvl w:val="0"/>
          <w:numId w:val="1011"/>
        </w:numPr>
        <w:pStyle w:val="Compact"/>
      </w:pPr>
      <w:r>
        <w:t xml:space="preserve">作業ディレクトリ</w:t>
      </w:r>
    </w:p>
    <w:p>
      <w:pPr>
        <w:numPr>
          <w:ilvl w:val="1"/>
          <w:numId w:val="1012"/>
        </w:numPr>
        <w:pStyle w:val="Compact"/>
      </w:pPr>
      <w:r>
        <w:t xml:space="preserve">blanklist.txt</w:t>
      </w:r>
    </w:p>
    <w:p>
      <w:pPr>
        <w:numPr>
          <w:ilvl w:val="1"/>
          <w:numId w:val="1012"/>
        </w:numPr>
        <w:pStyle w:val="Compact"/>
      </w:pPr>
      <w:r>
        <w:t xml:space="preserve">watervoltable.tsv</w:t>
      </w:r>
    </w:p>
    <w:p>
      <w:pPr>
        <w:numPr>
          <w:ilvl w:val="1"/>
          <w:numId w:val="1012"/>
        </w:numPr>
        <w:pStyle w:val="Compact"/>
      </w:pPr>
      <w:r>
        <w:t xml:space="preserve">solutionvoltable.tsv</w:t>
      </w:r>
    </w:p>
    <w:p>
      <w:pPr>
        <w:numPr>
          <w:ilvl w:val="1"/>
          <w:numId w:val="1012"/>
        </w:numPr>
        <w:pStyle w:val="Compact"/>
      </w:pPr>
      <w:r>
        <w:t xml:space="preserve">standard.fasta</w:t>
      </w:r>
    </w:p>
    <w:p>
      <w:pPr>
        <w:numPr>
          <w:ilvl w:val="1"/>
          <w:numId w:val="1012"/>
        </w:numPr>
        <w:pStyle w:val="Compact"/>
      </w:pPr>
      <w:r>
        <w:t xml:space="preserve">stdconctable.tsv</w:t>
      </w:r>
    </w:p>
    <w:p>
      <w:pPr>
        <w:numPr>
          <w:ilvl w:val="1"/>
          <w:numId w:val="1012"/>
        </w:numPr>
        <w:pStyle w:val="Compact"/>
      </w:pPr>
      <w:r>
        <w:t xml:space="preserve">forwardprimer.fasta</w:t>
      </w:r>
    </w:p>
    <w:p>
      <w:pPr>
        <w:numPr>
          <w:ilvl w:val="1"/>
          <w:numId w:val="1012"/>
        </w:numPr>
        <w:pStyle w:val="Compact"/>
      </w:pPr>
      <w:r>
        <w:t xml:space="preserve">reverseprimer.fasta</w:t>
      </w:r>
    </w:p>
    <w:p>
      <w:pPr>
        <w:numPr>
          <w:ilvl w:val="1"/>
          <w:numId w:val="1012"/>
        </w:numPr>
        <w:pStyle w:val="Compact"/>
      </w:pPr>
      <w:r>
        <w:t xml:space="preserve">index1.fasta</w:t>
      </w:r>
    </w:p>
    <w:p>
      <w:pPr>
        <w:numPr>
          <w:ilvl w:val="1"/>
          <w:numId w:val="1012"/>
        </w:numPr>
        <w:pStyle w:val="Compact"/>
      </w:pPr>
      <w:r>
        <w:t xml:space="preserve">index2.fasta</w:t>
      </w:r>
    </w:p>
    <w:p>
      <w:pPr>
        <w:numPr>
          <w:ilvl w:val="1"/>
          <w:numId w:val="1012"/>
        </w:numPr>
        <w:pStyle w:val="Compact"/>
      </w:pPr>
      <w:r>
        <w:t xml:space="preserve">01_undemultiplexed (ディレクトリ)</w:t>
      </w:r>
    </w:p>
    <w:p>
      <w:pPr>
        <w:numPr>
          <w:ilvl w:val="2"/>
          <w:numId w:val="1013"/>
        </w:numPr>
        <w:pStyle w:val="Compact"/>
      </w:pPr>
      <w:r>
        <w:t xml:space="preserve">～_I1_001.fastq.gz</w:t>
      </w:r>
    </w:p>
    <w:p>
      <w:pPr>
        <w:numPr>
          <w:ilvl w:val="2"/>
          <w:numId w:val="1013"/>
        </w:numPr>
        <w:pStyle w:val="Compact"/>
      </w:pPr>
      <w:r>
        <w:t xml:space="preserve">～_I2_001.fastq.gz</w:t>
      </w:r>
    </w:p>
    <w:p>
      <w:pPr>
        <w:numPr>
          <w:ilvl w:val="2"/>
          <w:numId w:val="1013"/>
        </w:numPr>
        <w:pStyle w:val="Compact"/>
      </w:pPr>
      <w:r>
        <w:t xml:space="preserve">～_R1_001.fastq.gz</w:t>
      </w:r>
    </w:p>
    <w:p>
      <w:pPr>
        <w:numPr>
          <w:ilvl w:val="2"/>
          <w:numId w:val="1013"/>
        </w:numPr>
        <w:pStyle w:val="Compact"/>
      </w:pPr>
      <w:r>
        <w:t xml:space="preserve">～_R2_001.fastq.gz</w:t>
      </w:r>
    </w:p>
    <w:p>
      <w:pPr>
        <w:pStyle w:val="Heading2"/>
      </w:pPr>
      <w:bookmarkStart w:id="40" w:name="塩基配列データ処理"/>
      <w:r>
        <w:t xml:space="preserve">塩基配列データ処理</w:t>
      </w:r>
      <w:bookmarkEnd w:id="40"/>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コマンドのオプションに含まれているNumberOfCPUcoresは処理中に使用するCPUコア数の整数値で置き換えて下さい。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作業ディレクトリは高速なSSDに設置することを強くお勧めします。</w:t>
      </w:r>
    </w:p>
    <w:p>
      <w:pPr>
        <w:pStyle w:val="Heading3"/>
      </w:pPr>
      <w:bookmarkStart w:id="41" w:name="clsplitseqによるデマルチプレクシング"/>
      <w:r>
        <w:t xml:space="preserve">clsplitseqによるデマルチプレクシング</w:t>
      </w:r>
      <w:bookmarkEnd w:id="41"/>
    </w:p>
    <w:p>
      <w:pPr>
        <w:pStyle w:val="FirstParagraph"/>
      </w:pPr>
      <w:r>
        <w:t xml:space="preserve">デマルチプレクシングを行うには、以下のコマンドを実行します。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01_undemultiplexed/Undemultiplexed_R1_001.fastq.gz \</w:t>
      </w:r>
      <w:r>
        <w:br/>
      </w:r>
      <w:r>
        <w:rPr>
          <w:rStyle w:val="NormalTok"/>
        </w:rPr>
        <w:t xml:space="preserve">01_undemultiplexed/Undemultiplexed_I1_001.fastq.gz \</w:t>
      </w:r>
      <w:r>
        <w:br/>
      </w:r>
      <w:r>
        <w:rPr>
          <w:rStyle w:val="NormalTok"/>
        </w:rPr>
        <w:t xml:space="preserve">01_undemultiplexed/Undemultiplexed_I2_001.fastq.gz \</w:t>
      </w:r>
      <w:r>
        <w:br/>
      </w:r>
      <w:r>
        <w:rPr>
          <w:rStyle w:val="NormalTok"/>
        </w:rPr>
        <w:t xml:space="preserve">01_undemultiplexed/Undemultiplexed_R2_001.fastq.gz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プライマー配列の一致度を算出する際に先頭の</w:t>
      </w:r>
      <w:r>
        <w:rPr>
          <w:rStyle w:val="VerbatimChar"/>
        </w:rPr>
        <w:t xml:space="preserve">NNNNNN</w:t>
      </w:r>
      <w:r>
        <w:t xml:space="preserve">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w:t>
      </w:r>
    </w:p>
    <w:p>
      <w:pPr>
        <w:pStyle w:val="FirstParagraph"/>
      </w:pPr>
      <w:r>
        <w:t xml:space="preserve">コマンドラインオプション後に入力ファイル群、出力フォルダ名を与えます。</w:t>
      </w:r>
      <w:r>
        <w:t xml:space="preserve"> </w:t>
      </w:r>
      <w:r>
        <w:t xml:space="preserve">なお、入力ファイルは以下の順で指定します。</w:t>
      </w:r>
    </w:p>
    <w:p>
      <w:pPr>
        <w:numPr>
          <w:ilvl w:val="0"/>
          <w:numId w:val="1014"/>
        </w:numPr>
        <w:pStyle w:val="Compact"/>
      </w:pPr>
      <w:r>
        <w:t xml:space="preserve">インサートのフォワード側リードのundemultiplexed FASTQ</w:t>
      </w:r>
    </w:p>
    <w:p>
      <w:pPr>
        <w:numPr>
          <w:ilvl w:val="0"/>
          <w:numId w:val="1014"/>
        </w:numPr>
        <w:pStyle w:val="Compact"/>
      </w:pPr>
      <w:r>
        <w:t xml:space="preserve">index1のundemultiplexed FASTQ</w:t>
      </w:r>
    </w:p>
    <w:p>
      <w:pPr>
        <w:numPr>
          <w:ilvl w:val="0"/>
          <w:numId w:val="1014"/>
        </w:numPr>
        <w:pStyle w:val="Compact"/>
      </w:pPr>
      <w:r>
        <w:t xml:space="preserve">index2のundemultiplexed FASTQ</w:t>
      </w:r>
    </w:p>
    <w:p>
      <w:pPr>
        <w:numPr>
          <w:ilvl w:val="0"/>
          <w:numId w:val="1014"/>
        </w:numPr>
        <w:pStyle w:val="Compact"/>
      </w:pPr>
      <w:r>
        <w:t xml:space="preserve">インサートのリバース側リードのundemultiplexed FASTQ</w:t>
      </w:r>
    </w:p>
    <w:p>
      <w:pPr>
        <w:pStyle w:val="FirstParagraph"/>
      </w:pPr>
      <w:r>
        <w:t xml:space="preserve">これは、Illumina社シーケンサが解読する順になっています。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データサイズが大きいと、この処理は非常に長い時間がかかります。</w:t>
      </w:r>
    </w:p>
    <w:p>
      <w:pPr>
        <w:pStyle w:val="Heading3"/>
      </w:pPr>
      <w:bookmarkStart w:id="42" w:name="clconcatpairvによるペアエンド配列の連結"/>
      <w:r>
        <w:t xml:space="preserve">clconcatpairvによるペアエンド配列の連結</w:t>
      </w:r>
      <w:bookmarkEnd w:id="42"/>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Paired-EndなのかをOVLまたはNONで指定</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3" w:name="clfilterseqvによる低品質配列の除去"/>
      <w:r>
        <w:t xml:space="preserve">clfilterseqvによる低品質配列の除去</w:t>
      </w:r>
      <w:bookmarkEnd w:id="43"/>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and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r>
        <w:t xml:space="preserve"> </w:t>
      </w: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4" w:name="cldenoiseseqdによるデノイジング"/>
      <w:r>
        <w:t xml:space="preserve">cldenoiseseqdによるデノイジング</w:t>
      </w:r>
      <w:bookmarkEnd w:id="44"/>
    </w:p>
    <w:p>
      <w:pPr>
        <w:pStyle w:val="FirstParagraph"/>
      </w:pPr>
      <w:r>
        <w:t xml:space="preserve">以下のコマンドでDADA2</w:t>
      </w:r>
      <w:r>
        <w:t xml:space="preserve"> </w:t>
      </w:r>
      <w:r>
        <w:t xml:space="preserve">(Callahan et al., 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w:t>
      </w:r>
      <w:r>
        <w:t xml:space="preserve"> </w:t>
      </w:r>
      <w:r>
        <w:t xml:space="preserve">Pseudo-pooling法に関してはDADA2の公式Webサイトをご参照下さい。</w:t>
      </w:r>
    </w:p>
    <w:p>
      <w:pPr>
        <w:pStyle w:val="Heading3"/>
      </w:pPr>
      <w:bookmarkStart w:id="45" w:name="clremovechimevによる参照配列データベースを用いないキメラ除去"/>
      <w:r>
        <w:t xml:space="preserve">clremovechimevによる参照配列データベースを用いないキメラ除去</w:t>
      </w:r>
      <w:bookmarkEnd w:id="45"/>
    </w:p>
    <w:p>
      <w:pPr>
        <w:pStyle w:val="FirstParagraph"/>
      </w:pPr>
      <w:r>
        <w:t xml:space="preserve">以下のコマンドでVSEARCH</w:t>
      </w:r>
      <w:r>
        <w:t xml:space="preserve"> </w:t>
      </w:r>
      <w:r>
        <w:t xml:space="preserve">(Rognes et al., 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--numthreads=NumberOfCPUcores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6" w:name="clclusterstdvによる内部標準配列クラスタリング"/>
      <w:r>
        <w:t xml:space="preserve">clclusterstdvによる内部標準配列クラスタリング</w:t>
      </w:r>
      <w:bookmarkEnd w:id="46"/>
    </w:p>
    <w:p>
      <w:pPr>
        <w:pStyle w:val="FirstParagraph"/>
      </w:pPr>
      <w:r>
        <w:t xml:space="preserve">以下のコマンドでVSEARCH</w:t>
      </w:r>
      <w:r>
        <w:t xml:space="preserve"> </w:t>
      </w:r>
      <w:r>
        <w:t xml:space="preserve">(Rognes et al., 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 et al. (2022)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判断が難しい場合は、値を0.90～0.97まで0.01間隔で変化させ、内部標準DNAと判定される配列数が急激に変化するところを探し、変化点の小さい方に設定します。</w:t>
      </w:r>
      <w:r>
        <w:t xml:space="preserve"> </w:t>
      </w:r>
      <w:r>
        <w:t xml:space="preserve">内部標準DNAと判定される配列数が急激に変化するところが見つからない場合、内部標準DNAの合成エラー率が非常に高く定量は不可能と考えられるため、内部標準DNAの合成を業者に依頼するところから全てやり直す必要があります。</w:t>
      </w:r>
    </w:p>
    <w:p>
      <w:pPr>
        <w:pStyle w:val="Heading3"/>
      </w:pPr>
      <w:bookmarkStart w:id="47" w:name="clremovechimevによる参照配列データベースを用いたキメラ除去"/>
      <w:r>
        <w:t xml:space="preserve">clremovechimevによる参照配列データベースを用いたキメラ除去</w:t>
      </w:r>
      <w:bookmarkEnd w:id="47"/>
    </w:p>
    <w:p>
      <w:pPr>
        <w:pStyle w:val="FirstParagraph"/>
      </w:pPr>
      <w:r>
        <w:t xml:space="preserve">以下のコマンドでVSEARCH</w:t>
      </w:r>
      <w:r>
        <w:t xml:space="preserve"> </w:t>
      </w:r>
      <w:r>
        <w:t xml:space="preserve">(Rognes et al., 2016)</w:t>
      </w:r>
      <w:r>
        <w:t xml:space="preserve"> </w:t>
      </w:r>
      <w:r>
        <w:t xml:space="preserve">に実装されているUCHIMEアルゴリズム</w:t>
      </w:r>
      <w:r>
        <w:t xml:space="preserve"> </w:t>
      </w:r>
      <w:r>
        <w:t xml:space="preserve">(Edgar et al., 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rPr>
          <w:rStyle w:val="VerbatimChar"/>
        </w:rPr>
        <w:t xml:space="preserve">standard.fasta</w:t>
      </w:r>
      <w:r>
        <w:t xml:space="preserve"> </w:t>
      </w:r>
      <w:r>
        <w:t xml:space="preserve">(合成業者に依頼した際の配列、すなわち合成エラーを一切含まない配列)ではなく</w:t>
      </w:r>
      <w:r>
        <w:rPr>
          <w:rStyle w:val="VerbatimChar"/>
        </w:rPr>
        <w:t xml:space="preserve">07_stdclustered/stdvariations.fasta</w:t>
      </w:r>
      <w:r>
        <w:t xml:space="preserve"> </w:t>
      </w:r>
      <w:r>
        <w:t xml:space="preserve">(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Heading3"/>
      </w:pPr>
      <w:bookmarkStart w:id="48" w:name="clremovecontamによるインデックスホッピング除去"/>
      <w:r>
        <w:t xml:space="preserve">clremovecontamによるインデックスホッピング除去</w:t>
      </w:r>
      <w:bookmarkEnd w:id="48"/>
    </w:p>
    <w:p>
      <w:pPr>
        <w:pStyle w:val="FirstParagraph"/>
      </w:pPr>
      <w:r>
        <w:t xml:space="preserve">以下のコマンドで、</w:t>
      </w:r>
      <w:r>
        <w:t xml:space="preserve"> </w:t>
      </w:r>
      <w:r>
        <w:t xml:space="preserve">Esling et al. (2015)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Heading3"/>
      </w:pPr>
      <w:bookmarkStart w:id="49" w:name="Xa289b86ea08d3f3d275e124ff6c56b49de31ee7"/>
      <w:r>
        <w:t xml:space="preserve">clremovecontamとネガティブコントロールを利用したデコンタミネーション</w:t>
      </w:r>
      <w:bookmarkEnd w:id="49"/>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0" w:name="分子同定"/>
      <w:r>
        <w:t xml:space="preserve">分子同定</w:t>
      </w:r>
      <w:bookmarkEnd w:id="50"/>
    </w:p>
    <w:p>
      <w:pPr>
        <w:pStyle w:val="FirstParagraph"/>
      </w:pPr>
      <w:r>
        <w:t xml:space="preserve">ここでは、QCauto法と95%-3NN法</w:t>
      </w:r>
      <w:r>
        <w:t xml:space="preserve"> </w:t>
      </w:r>
      <w:r>
        <w:t xml:space="preserve">(Tanabe and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1" w:name="分子同定用参照配列データベース"/>
      <w:r>
        <w:t xml:space="preserve">分子同定用参照配列データベース</w:t>
      </w:r>
      <w:bookmarkEnd w:id="51"/>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2" w:name="clmakecachedbによるキャッシュデータベースの生成"/>
      <w:r>
        <w:t xml:space="preserve">clmakecachedbによるキャッシュデータベースの生成</w:t>
      </w:r>
      <w:bookmarkEnd w:id="52"/>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3" w:name="qcauto法による分子同定"/>
      <w:r>
        <w:t xml:space="preserve">QCauto法による分子同定</w:t>
      </w:r>
      <w:bookmarkEnd w:id="53"/>
    </w:p>
    <w:p>
      <w:pPr>
        <w:pStyle w:val="Heading4"/>
      </w:pPr>
      <w:bookmarkStart w:id="54" w:name="clidentseqによる近隣配列群の取得"/>
      <w:r>
        <w:t xml:space="preserve">clidentseqによる近隣配列群の取得</w:t>
      </w:r>
      <w:bookmarkEnd w:id="54"/>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5" w:name="classigntaxによる分類群の割り当て"/>
      <w:r>
        <w:t xml:space="preserve">classigntaxによる分類群の割り当て</w:t>
      </w:r>
      <w:bookmarkEnd w:id="55"/>
    </w:p>
    <w:p>
      <w:pPr>
        <w:pStyle w:val="FirstParagraph"/>
      </w:pPr>
      <w:r>
        <w:t xml:space="preserve">以下のコマンドで、取得した近隣配列の同定情報からLCAアルゴリズム</w:t>
      </w:r>
      <w:r>
        <w:t xml:space="preserve"> </w:t>
      </w:r>
      <w:r>
        <w:t xml:space="preserve">(Huson et al., 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11_taxonomy/neighborhoods_qc_species_wsp.txt \</w:t>
      </w:r>
      <w:r>
        <w:br/>
      </w:r>
      <w:r>
        <w:rPr>
          <w:rStyle w:val="NormalTok"/>
        </w:rPr>
        <w:t xml:space="preserve">11_taxonomy/taxonomy_qc_species_wsp.tsv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6" w:name="nn法による分子同定"/>
      <w:r>
        <w:t xml:space="preserve">95%-3NN法による分子同定</w:t>
      </w:r>
      <w:bookmarkEnd w:id="56"/>
    </w:p>
    <w:p>
      <w:pPr>
        <w:pStyle w:val="Heading4"/>
      </w:pPr>
      <w:bookmarkStart w:id="57" w:name="clidentseqによる近隣配列群の取得-1"/>
      <w:r>
        <w:t xml:space="preserve">clidentseqによる近隣配列群の取得</w:t>
      </w:r>
      <w:bookmarkEnd w:id="57"/>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11_taxonomy/neighborhoods_3nn_species_wsp.txt</w:t>
      </w:r>
    </w:p>
    <w:p>
      <w:pPr>
        <w:pStyle w:val="Heading4"/>
      </w:pPr>
      <w:bookmarkStart w:id="58" w:name="classigntaxによる分類群の割当"/>
      <w:r>
        <w:t xml:space="preserve">classigntaxによる分類群の割当</w:t>
      </w:r>
      <w:bookmarkEnd w:id="58"/>
    </w:p>
    <w:p>
      <w:pPr>
        <w:pStyle w:val="FirstParagraph"/>
      </w:pPr>
      <w:r>
        <w:t xml:space="preserve">以下のコマンドで、取得した近隣配列の同定情報からLCAアルゴリズム</w:t>
      </w:r>
      <w:r>
        <w:t xml:space="preserve"> </w:t>
      </w:r>
      <w:r>
        <w:t xml:space="preserve">(Huson et al., 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--minnsupporter=1 \</w:t>
      </w:r>
      <w:r>
        <w:br/>
      </w:r>
      <w:r>
        <w:rPr>
          <w:rStyle w:val="NormalTok"/>
        </w:rPr>
        <w:t xml:space="preserve">11_taxonomy/neighborhoods_3nn_species_wsp.txt \</w:t>
      </w:r>
      <w:r>
        <w:br/>
      </w:r>
      <w:r>
        <w:rPr>
          <w:rStyle w:val="NormalTok"/>
        </w:rPr>
        <w:t xml:space="preserve">11_taxonomy/taxonomy_3nn_species_wsp.tsv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 et al., 2007)</w:t>
      </w:r>
      <w:r>
        <w:t xml:space="preserve"> </w:t>
      </w:r>
      <w:r>
        <w:t xml:space="preserve">を用いて各OTUに分類群を割り当てていますが、95%以上一致する参照配列が1～2本であっても結果を採用するように指定しています(当然、誤同定は生じやすくなります)。</w:t>
      </w:r>
    </w:p>
    <w:p>
      <w:pPr>
        <w:pStyle w:val="Heading3"/>
      </w:pPr>
      <w:bookmarkStart w:id="59" w:name="clmakeidentdbによる分子同定結果の再利用"/>
      <w:r>
        <w:t xml:space="preserve">clmakeidentdbによる分子同定結果の再利用</w:t>
      </w:r>
      <w:bookmarkEnd w:id="59"/>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11_taxonomy/neighborhoods_qc_species_wsp.txt \</w:t>
      </w:r>
      <w:r>
        <w:br/>
      </w:r>
      <w:r>
        <w:rPr>
          <w:rStyle w:val="NormalTok"/>
        </w:rPr>
        <w:t xml:space="preserve">11_taxonomy/qc_species_wsp.identdb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11_taxonomy/neighborhoods_3nn_species_wsp.txt \</w:t>
      </w:r>
      <w:r>
        <w:br/>
      </w:r>
      <w:r>
        <w:rPr>
          <w:rStyle w:val="NormalTok"/>
        </w:rPr>
        <w:t xml:space="preserve">11_taxonomy/3nn_species_wsp.identdb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p>
    <w:p>
      <w:pPr>
        <w:pStyle w:val="Heading3"/>
      </w:pPr>
      <w:bookmarkStart w:id="60" w:name="clmergeassignによる複数の分子同定結果のマージ"/>
      <w:r>
        <w:t xml:space="preserve">clmergeassignによる複数の分子同定結果のマージ</w:t>
      </w:r>
      <w:bookmarkEnd w:id="60"/>
    </w:p>
    <w:p>
      <w:pPr>
        <w:pStyle w:val="FirstParagraph"/>
      </w:pPr>
      <w:r>
        <w:t xml:space="preserve">ここまでの解析によって、少なくともQCauto法による分子同定結果と95%-3NN法による分子同定結果が得られているはずです。</w:t>
      </w:r>
      <w:r>
        <w:t xml:space="preserve"> </w:t>
      </w:r>
      <w:r>
        <w:t xml:space="preserve">複数のデータベースでそれぞれ分子同定を行い、より多くの分子同定結果が得られている場合もあるでしょう。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する)。</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11_taxonomy/taxonomy_qc_species_wsp.tsv \</w:t>
      </w:r>
      <w:r>
        <w:br/>
      </w:r>
      <w:r>
        <w:rPr>
          <w:rStyle w:val="NormalTok"/>
        </w:rPr>
        <w:t xml:space="preserve">11_taxonomy/taxonomy_3nn_species_wsp.tsv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Heading3"/>
      </w:pPr>
      <w:bookmarkStart w:id="61" w:name="clfillassignによる分子同定結果の穴埋め"/>
      <w:r>
        <w:t xml:space="preserve">clfillassignによる分子同定結果の穴埋め</w:t>
      </w:r>
      <w:bookmarkEnd w:id="61"/>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2" w:name="サンプルotu表の作成"/>
      <w:r>
        <w:t xml:space="preserve">サンプル×OTU表の作成</w:t>
      </w:r>
      <w:bookmarkEnd w:id="62"/>
    </w:p>
    <w:p>
      <w:pPr>
        <w:pStyle w:val="FirstParagraph"/>
      </w:pPr>
      <w:r>
        <w:t xml:space="preserve">ここで言うサンプル×OTU表とは、各サンプルにおける各OTUのリード数の表のことを指します。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その前に、以下のコマンドで作業ディレクトリにサンプル×OTU表の出力ディレクトリを作成しておきます。</w:t>
      </w:r>
    </w:p>
    <w:p>
      <w:pPr>
        <w:pStyle w:val="SourceCode"/>
      </w:pPr>
      <w:r>
        <w:rPr>
          <w:rStyle w:val="NormalTok"/>
        </w:rPr>
        <w:t xml:space="preserve">mkdir 12_community</w:t>
      </w:r>
    </w:p>
    <w:p>
      <w:pPr>
        <w:pStyle w:val="FirstParagraph"/>
      </w:pPr>
      <w:r>
        <w:t xml:space="preserve">また、加工の出発点となるサンプル×OTU表は実は既に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3" w:name="clfiltersumによるサンプルotu表の加工"/>
      <w:r>
        <w:t xml:space="preserve">clfiltersumによるサンプル×OTU表の加工</w:t>
      </w:r>
      <w:bookmarkEnd w:id="63"/>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4" w:name="clrarefysumによるサンプルotu表のカバレッジベースレアファクション"/>
      <w:r>
        <w:t xml:space="preserve">clrarefysumによるサンプル×OTU表のカバレッジベースレアファクション</w:t>
      </w:r>
      <w:bookmarkEnd w:id="64"/>
    </w:p>
    <w:p>
      <w:pPr>
        <w:pStyle w:val="FirstParagraph"/>
      </w:pPr>
      <w:r>
        <w:t xml:space="preserve">サンプル×OTU表があれば群集生態学的分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and Jost, 2012)</w:t>
      </w:r>
      <w:r>
        <w:t xml:space="preserve"> </w:t>
      </w:r>
      <w:r>
        <w:t xml:space="preserve">。</w:t>
      </w:r>
      <w:r>
        <w:t xml:space="preserve"> </w:t>
      </w:r>
      <w:r>
        <w:t xml:space="preserve">なお、レアファクションが「レアファクションしたサンプル×OTU表を得る」ことを指す場合と「レアファクションカーブを得る」ことを指す場合がありますが、本章では前者を指すものとお考え下さい。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and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and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and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and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p>
    <w:p>
      <w:pPr>
        <w:pStyle w:val="BodyText"/>
      </w:pPr>
      <w:r>
        <w:t xml:space="preserve">以下のコマンドは、リード数1000未満のサンプルを除去し、残ったサンプルでそれぞれカバレッジを計算し、全サンプルでカバレッジを最小値に揃うようにレアファクションを行います。</w:t>
      </w:r>
      <w:r>
        <w:t xml:space="preserve"> </w:t>
      </w:r>
      <w:r>
        <w:t xml:space="preserve">ただし、カバレッジの最小値が0.99未満だった場合は0.99に揃え、カバレッジが0.99未満のサンプルは除去します。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--minnread=1000 \</w:t>
      </w:r>
      <w:r>
        <w:br/>
      </w:r>
      <w:r>
        <w:rPr>
          <w:rStyle w:val="NormalTok"/>
        </w:rPr>
        <w:t xml:space="preserve">--nreps=10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w:t>
      </w:r>
    </w:p>
    <w:p>
      <w:pPr>
        <w:pStyle w:val="DefinitionTerm"/>
      </w:pPr>
      <w:r>
        <w:rPr>
          <w:rStyle w:val="VerbatimChar"/>
        </w:rPr>
        <w:t xml:space="preserve">--minnread</w:t>
      </w:r>
    </w:p>
    <w:p>
      <w:pPr>
        <w:pStyle w:val="Definition"/>
      </w:pPr>
      <w:r>
        <w:t xml:space="preserve">レアファクション前のリード数下限(下回るサンプルは捨てる)</w:t>
      </w:r>
    </w:p>
    <w:p>
      <w:pPr>
        <w:pStyle w:val="DefinitionTerm"/>
      </w:pPr>
      <w:r>
        <w:rPr>
          <w:rStyle w:val="VerbatimChar"/>
        </w:rPr>
        <w:t xml:space="preserve">--nreps</w:t>
      </w:r>
    </w:p>
    <w:p>
      <w:pPr>
        <w:pStyle w:val="Definition"/>
      </w:pPr>
      <w:r>
        <w:t xml:space="preserve">レアファクションの反復数</w:t>
      </w:r>
    </w:p>
    <w:p>
      <w:pPr>
        <w:pStyle w:val="FirstParagraph"/>
      </w:pPr>
      <w:r>
        <w:t xml:space="preserve">コマンドラインオプションに引き続いて、入力ファイル、出力ファイルを指定します。</w:t>
      </w:r>
    </w:p>
    <w:p>
      <w:pPr>
        <w:pStyle w:val="BodyText"/>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12_community/sample_otu_matrix_all_rarefied$n.tsv \</w:t>
      </w:r>
      <w:r>
        <w:br/>
      </w:r>
      <w:r>
        <w:rPr>
          <w:rStyle w:val="NormalTok"/>
        </w:rPr>
        <w:t xml:space="preserve">12_community/sample_otu_matrix_standard_rarefied$n.tsv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12_community/sample_otu_matrix_all_rarefied$n.tsv \</w:t>
      </w:r>
      <w:r>
        <w:br/>
      </w:r>
      <w:r>
        <w:rPr>
          <w:rStyle w:val="NormalTok"/>
        </w:rPr>
        <w:t xml:space="preserve">12_community/sample_otu_matrix_fishes_rarefied$n.tsv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12_community/sample_otu_matrix_all_rarefied$n.tsv \</w:t>
      </w:r>
      <w:r>
        <w:br/>
      </w:r>
      <w:r>
        <w:rPr>
          <w:rStyle w:val="NormalTok"/>
        </w:rPr>
        <w:t xml:space="preserve">12_community/sample_otu_matrix_nonfishes_rarefied$n.tsv</w:t>
      </w:r>
      <w:r>
        <w:br/>
      </w:r>
      <w:r>
        <w:rPr>
          <w:rStyle w:val="NormalTok"/>
        </w:rPr>
        <w:t xml:space="preserve">done</w:t>
      </w:r>
    </w:p>
    <w:p>
      <w:pPr>
        <w:pStyle w:val="FirstParagraph"/>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メタバーコーディングではこのようにサンプリング、つまり「一部を取り出す」ステップが多数存在するため、カバレッジの均一化が問題になるのはシーケンスリード数だけではありません。</w:t>
      </w:r>
      <w:r>
        <w:t xml:space="preserve"> </w:t>
      </w:r>
      <w:r>
        <w:t xml:space="preserve">しかし、それらは全て飽和している(カバレッジ1.0)という仮定のもとでこの先の解析は行われます。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5" w:name="clestimateconcと内部標準dnaリード数を用いたdna濃度の推定"/>
      <w:r>
        <w:t xml:space="preserve">clestimateconcと内部標準DNAリード数を用いたDNA濃度の推定</w:t>
      </w:r>
      <w:bookmarkEnd w:id="65"/>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12_community/sample_otu_matrix_fishes_estimated.tsv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12_community/sample_otu_matrix_fishes_rarefied$n.tsv \</w:t>
      </w:r>
      <w:r>
        <w:br/>
      </w:r>
      <w:r>
        <w:rPr>
          <w:rStyle w:val="NormalTok"/>
        </w:rPr>
        <w:t xml:space="preserve">12_community/sample_otu_matrix_fishes_rarefied$n_estimated.tsv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2"/>
      </w:pPr>
      <w:bookmarkStart w:id="66" w:name="サンプルotu表を用いた群集生態学的解析に向けて"/>
      <w:r>
        <w:t xml:space="preserve">サンプル×OTU表を用いた群集生態学的解析に向けて</w:t>
      </w:r>
      <w:bookmarkEnd w:id="66"/>
    </w:p>
    <w:p>
      <w:pPr>
        <w:pStyle w:val="FirstParagraph"/>
      </w:pPr>
      <w:r>
        <w:t xml:space="preserve">ここまでの内容で群集生態学的解析に必要なサンプル×OTU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これらは目的に応じて適宜使い分ける必要があります。</w:t>
      </w:r>
    </w:p>
    <w:p>
      <w:pPr>
        <w:pStyle w:val="BodyText"/>
      </w:pPr>
      <w:r>
        <w:t xml:space="preserve">まず、レアファクションカーブやヒル数(有効種数)</w:t>
      </w:r>
      <w:r>
        <w:t xml:space="preserve"> </w:t>
      </w:r>
      <w:r>
        <w:t xml:space="preserve">(Chao et al., 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5"/>
        </w:numPr>
        <w:pStyle w:val="Compact"/>
      </w:pPr>
      <w:r>
        <w:t xml:space="preserve">vegan</w:t>
      </w:r>
      <w:r>
        <w:t xml:space="preserve"> </w:t>
      </w:r>
      <w:hyperlink r:id="rId67">
        <w:r>
          <w:rPr>
            <w:rStyle w:val="Hyperlink"/>
          </w:rPr>
          <w:t xml:space="preserve">https://github.com/vegandevs/vegan</w:t>
        </w:r>
      </w:hyperlink>
    </w:p>
    <w:p>
      <w:pPr>
        <w:numPr>
          <w:ilvl w:val="0"/>
          <w:numId w:val="1015"/>
        </w:numPr>
        <w:pStyle w:val="Compact"/>
      </w:pPr>
      <w:r>
        <w:t xml:space="preserve">phyloseq</w:t>
      </w:r>
      <w:r>
        <w:t xml:space="preserve"> </w:t>
      </w:r>
      <w:hyperlink r:id="rId68">
        <w:r>
          <w:rPr>
            <w:rStyle w:val="Hyperlink"/>
          </w:rPr>
          <w:t xml:space="preserve">https://joey711.github.io/phyloseq/</w:t>
        </w:r>
      </w:hyperlink>
      <w:r>
        <w:t xml:space="preserve"> </w:t>
      </w:r>
      <w:r>
        <w:t xml:space="preserve">(McMurdie and Holmes, 2013)</w:t>
      </w:r>
    </w:p>
    <w:p>
      <w:pPr>
        <w:numPr>
          <w:ilvl w:val="0"/>
          <w:numId w:val="1015"/>
        </w:numPr>
        <w:pStyle w:val="Compact"/>
      </w:pPr>
      <w:r>
        <w:t xml:space="preserve">metagMisc</w:t>
      </w:r>
      <w:r>
        <w:t xml:space="preserve"> </w:t>
      </w:r>
      <w:hyperlink r:id="rId69">
        <w:r>
          <w:rPr>
            <w:rStyle w:val="Hyperlink"/>
          </w:rPr>
          <w:t xml:space="preserve">https://github.com/vmikk/metagMisc</w:t>
        </w:r>
      </w:hyperlink>
    </w:p>
    <w:p>
      <w:pPr>
        <w:numPr>
          <w:ilvl w:val="0"/>
          <w:numId w:val="1015"/>
        </w:numPr>
        <w:pStyle w:val="Compact"/>
      </w:pPr>
      <w:r>
        <w:t xml:space="preserve">iNEXT</w:t>
      </w:r>
      <w:r>
        <w:t xml:space="preserve"> </w:t>
      </w:r>
      <w:hyperlink r:id="rId70">
        <w:r>
          <w:rPr>
            <w:rStyle w:val="Hyperlink"/>
          </w:rPr>
          <w:t xml:space="preserve">https://github.com/JohnsonHsieh/iNEXT</w:t>
        </w:r>
      </w:hyperlink>
      <w:r>
        <w:t xml:space="preserve"> </w:t>
      </w:r>
      <w:r>
        <w:t xml:space="preserve">(Hsieh et al., 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16"/>
        </w:numPr>
        <w:pStyle w:val="Compact"/>
      </w:pPr>
      <w:r>
        <w:t xml:space="preserve">vegan</w:t>
      </w:r>
      <w:r>
        <w:t xml:space="preserve"> </w:t>
      </w:r>
      <w:hyperlink r:id="rId67">
        <w:r>
          <w:rPr>
            <w:rStyle w:val="Hyperlink"/>
          </w:rPr>
          <w:t xml:space="preserve">https://github.com/vegandevs/vegan</w:t>
        </w:r>
      </w:hyperlink>
    </w:p>
    <w:p>
      <w:pPr>
        <w:numPr>
          <w:ilvl w:val="0"/>
          <w:numId w:val="1016"/>
        </w:numPr>
        <w:pStyle w:val="Compact"/>
      </w:pPr>
      <w:r>
        <w:t xml:space="preserve">picante</w:t>
      </w:r>
      <w:r>
        <w:t xml:space="preserve"> </w:t>
      </w:r>
      <w:hyperlink r:id="rId71">
        <w:r>
          <w:rPr>
            <w:rStyle w:val="Hyperlink"/>
          </w:rPr>
          <w:t xml:space="preserve">https://cran.r-project.org/web/packages/picante/</w:t>
        </w:r>
      </w:hyperlink>
      <w:r>
        <w:t xml:space="preserve"> </w:t>
      </w:r>
      <w:r>
        <w:t xml:space="preserve">(Kembel et al., 2010)</w:t>
      </w:r>
    </w:p>
    <w:p>
      <w:pPr>
        <w:numPr>
          <w:ilvl w:val="0"/>
          <w:numId w:val="1016"/>
        </w:numPr>
        <w:pStyle w:val="Compact"/>
      </w:pPr>
      <w:r>
        <w:t xml:space="preserve">MicEco</w:t>
      </w:r>
      <w:r>
        <w:t xml:space="preserve"> </w:t>
      </w:r>
      <w:hyperlink r:id="rId72">
        <w:r>
          <w:rPr>
            <w:rStyle w:val="Hyperlink"/>
          </w:rPr>
          <w:t xml:space="preserve">https://github.com/Russel88/MicEco</w:t>
        </w:r>
      </w:hyperlink>
    </w:p>
    <w:p>
      <w:pPr>
        <w:numPr>
          <w:ilvl w:val="0"/>
          <w:numId w:val="1016"/>
        </w:numPr>
        <w:pStyle w:val="Compact"/>
      </w:pPr>
      <w:r>
        <w:t xml:space="preserve">bipartite</w:t>
      </w:r>
      <w:r>
        <w:t xml:space="preserve"> </w:t>
      </w:r>
      <w:hyperlink r:id="rId73">
        <w:r>
          <w:rPr>
            <w:rStyle w:val="Hyperlink"/>
          </w:rPr>
          <w:t xml:space="preserve">https://github.com/biometry/bipartite</w:t>
        </w:r>
      </w:hyperlink>
    </w:p>
    <w:p>
      <w:pPr>
        <w:numPr>
          <w:ilvl w:val="0"/>
          <w:numId w:val="1016"/>
        </w:numPr>
        <w:pStyle w:val="Compact"/>
      </w:pPr>
      <w:r>
        <w:t xml:space="preserve">pvclust</w:t>
      </w:r>
      <w:r>
        <w:t xml:space="preserve"> </w:t>
      </w:r>
      <w:hyperlink r:id="rId74">
        <w:r>
          <w:rPr>
            <w:rStyle w:val="Hyperlink"/>
          </w:rPr>
          <w:t xml:space="preserve">https://github.com/shimo-lab/pvclust</w:t>
        </w:r>
      </w:hyperlink>
    </w:p>
    <w:p>
      <w:pPr>
        <w:numPr>
          <w:ilvl w:val="0"/>
          <w:numId w:val="1016"/>
        </w:numPr>
        <w:pStyle w:val="Compact"/>
      </w:pPr>
      <w:r>
        <w:t xml:space="preserve">mpmcorrelogram</w:t>
      </w:r>
      <w:r>
        <w:t xml:space="preserve"> </w:t>
      </w:r>
      <w:hyperlink r:id="rId75">
        <w:r>
          <w:rPr>
            <w:rStyle w:val="Hyperlink"/>
          </w:rPr>
          <w:t xml:space="preserve">https://cran.r-project.org/web/packages/mpmcorrelogram/</w:t>
        </w:r>
      </w:hyperlink>
    </w:p>
    <w:p>
      <w:pPr>
        <w:pStyle w:val="FirstParagraph"/>
      </w:pPr>
      <w:r>
        <w:t xml:space="preserve">DNA濃度データはサンプル間での定量性が必要な時系列因果推論に使用することができます。</w:t>
      </w:r>
      <w:r>
        <w:t xml:space="preserve"> </w:t>
      </w:r>
      <w:r>
        <w:t xml:space="preserve">その代わり、整数値を要求する手法を適用することができません。</w:t>
      </w:r>
      <w:r>
        <w:t xml:space="preserve"> </w:t>
      </w:r>
      <w:r>
        <w:t xml:space="preserve">以下のRパッケージで時系列因果推論を行うことができます。</w:t>
      </w:r>
    </w:p>
    <w:p>
      <w:pPr>
        <w:numPr>
          <w:ilvl w:val="0"/>
          <w:numId w:val="1017"/>
        </w:numPr>
        <w:pStyle w:val="Compact"/>
      </w:pPr>
      <w:r>
        <w:t xml:space="preserve">rEDM</w:t>
      </w:r>
      <w:r>
        <w:t xml:space="preserve"> </w:t>
      </w:r>
      <w:hyperlink r:id="rId76">
        <w:r>
          <w:rPr>
            <w:rStyle w:val="Hyperlink"/>
          </w:rPr>
          <w:t xml:space="preserve">https://ha0ye.github.io/rEDM/</w:t>
        </w:r>
      </w:hyperlink>
      <w:r>
        <w:t xml:space="preserve"> </w:t>
      </w:r>
      <w:r>
        <w:t xml:space="preserve">(Ye and Sugihara, 2016)</w:t>
      </w:r>
    </w:p>
    <w:p>
      <w:pPr>
        <w:numPr>
          <w:ilvl w:val="0"/>
          <w:numId w:val="1017"/>
        </w:numPr>
        <w:pStyle w:val="Compact"/>
      </w:pPr>
      <w:r>
        <w:t xml:space="preserve">rUIC</w:t>
      </w:r>
      <w:r>
        <w:t xml:space="preserve"> </w:t>
      </w:r>
      <w:hyperlink r:id="rId77">
        <w:r>
          <w:rPr>
            <w:rStyle w:val="Hyperlink"/>
          </w:rPr>
          <w:t xml:space="preserve">https://github.com/yutakaos/rUIC</w:t>
        </w:r>
      </w:hyperlink>
      <w:r>
        <w:t xml:space="preserve"> </w:t>
      </w:r>
      <w:r>
        <w:t xml:space="preserve">(Osada et al., 2023)</w:t>
      </w:r>
    </w:p>
    <w:p>
      <w:pPr>
        <w:pStyle w:val="Heading1"/>
      </w:pPr>
      <w:bookmarkStart w:id="78" w:name="引用文献"/>
      <w:r>
        <w:t xml:space="preserve">引用文献</w:t>
      </w:r>
      <w:bookmarkEnd w:id="78"/>
    </w:p>
    <w:bookmarkStart w:id="135" w:name="refs"/>
    <w:bookmarkStart w:id="80" w:name="X6de2a223c072cfc9bc041e5aa44c5820b8de666"/>
    <w:p>
      <w:pPr>
        <w:pStyle w:val="Bibliography"/>
      </w:pPr>
      <w:r>
        <w:t xml:space="preserve">Callahan, B.J., McMurdie, P.J., Rosen, M.J., Han, A.W., Johnson, A.J.A., Holmes, S.P., 2016. DADA2: High-resolution sample inference from Illumina amplicon data. Nature Methods 13, 581–583.</w:t>
      </w:r>
      <w:r>
        <w:t xml:space="preserve"> </w:t>
      </w:r>
      <w:hyperlink r:id="rId79">
        <w:r>
          <w:rPr>
            <w:rStyle w:val="Hyperlink"/>
          </w:rPr>
          <w:t xml:space="preserve">https://doi.org/10.1038/nmeth.3869</w:t>
        </w:r>
      </w:hyperlink>
    </w:p>
    <w:bookmarkEnd w:id="80"/>
    <w:bookmarkStart w:id="82" w:name="ref-Chao2014RarefactionextrapolationHill"/>
    <w:p>
      <w:pPr>
        <w:pStyle w:val="Bibliography"/>
      </w:pPr>
      <w:r>
        <w:t xml:space="preserve">Chao, A., Gotelli, N.J., Hsieh, T.C., Sander, E.L., Ma, K.H., Colwell, R.K., Ellison, A.M., 2014. Rarefaction and extrapolation with Hill numbers: A framework for sampling and estimation in species diversity studies. Ecological Monographs 84, 45–67.</w:t>
      </w:r>
      <w:r>
        <w:t xml:space="preserve"> </w:t>
      </w:r>
      <w:hyperlink r:id="rId81">
        <w:r>
          <w:rPr>
            <w:rStyle w:val="Hyperlink"/>
          </w:rPr>
          <w:t xml:space="preserve">https://doi.org/10.1890/13-0133.1</w:t>
        </w:r>
      </w:hyperlink>
    </w:p>
    <w:bookmarkEnd w:id="82"/>
    <w:bookmarkStart w:id="84" w:name="X3be505009a62da157b8323bcfd4b2c20524613f"/>
    <w:p>
      <w:pPr>
        <w:pStyle w:val="Bibliography"/>
      </w:pPr>
      <w:r>
        <w:t xml:space="preserve">Chao, A., Jost, L., 2012. Coverage-based rarefaction and extrapolation: Standardizing samples by completeness rather than size. Ecology 93, 2533–2547.</w:t>
      </w:r>
      <w:r>
        <w:t xml:space="preserve"> </w:t>
      </w:r>
      <w:hyperlink r:id="rId83">
        <w:r>
          <w:rPr>
            <w:rStyle w:val="Hyperlink"/>
          </w:rPr>
          <w:t xml:space="preserve">https://doi.org/10.1890/11-1952.1</w:t>
        </w:r>
      </w:hyperlink>
    </w:p>
    <w:bookmarkEnd w:id="84"/>
    <w:bookmarkStart w:id="86" w:name="ref-Chiu2016Estimatingcomparingmicrobial"/>
    <w:p>
      <w:pPr>
        <w:pStyle w:val="Bibliography"/>
      </w:pPr>
      <w:r>
        <w:t xml:space="preserve">Chiu, C.-H., Chao, A., 2016. Estimating and comparing microbial diversity in the presence of sequencing errors. PeerJ 4, e1634.</w:t>
      </w:r>
      <w:r>
        <w:t xml:space="preserve"> </w:t>
      </w:r>
      <w:hyperlink r:id="rId85">
        <w:r>
          <w:rPr>
            <w:rStyle w:val="Hyperlink"/>
          </w:rPr>
          <w:t xml:space="preserve">https://doi.org/10.7717/peerj.1634</w:t>
        </w:r>
      </w:hyperlink>
    </w:p>
    <w:bookmarkEnd w:id="86"/>
    <w:bookmarkStart w:id="88" w:name="ref-Edgar2016UCHIME2improvedchimera"/>
    <w:p>
      <w:pPr>
        <w:pStyle w:val="Bibliography"/>
      </w:pPr>
      <w:r>
        <w:t xml:space="preserve">Edgar, R.C., 2016. UCHIME2: Improved chimera prediction for amplicon sequencing.</w:t>
      </w:r>
      <w:r>
        <w:t xml:space="preserve"> </w:t>
      </w:r>
      <w:hyperlink r:id="rId87">
        <w:r>
          <w:rPr>
            <w:rStyle w:val="Hyperlink"/>
          </w:rPr>
          <w:t xml:space="preserve">https://doi.org/10.1101/074252</w:t>
        </w:r>
      </w:hyperlink>
    </w:p>
    <w:bookmarkEnd w:id="88"/>
    <w:bookmarkStart w:id="90" w:name="ref-Edgar2010Searchclusteringorders"/>
    <w:p>
      <w:pPr>
        <w:pStyle w:val="Bibliography"/>
      </w:pPr>
      <w:r>
        <w:t xml:space="preserve">Edgar, R.C., 2010. Search and clustering orders of magnitude faster than BLAST. Bioinformatics 26, 2460–2461.</w:t>
      </w:r>
      <w:r>
        <w:t xml:space="preserve"> </w:t>
      </w:r>
      <w:hyperlink r:id="rId89">
        <w:r>
          <w:rPr>
            <w:rStyle w:val="Hyperlink"/>
          </w:rPr>
          <w:t xml:space="preserve">https://doi.org/10.1093/bioinformatics/btq461</w:t>
        </w:r>
      </w:hyperlink>
    </w:p>
    <w:bookmarkEnd w:id="90"/>
    <w:bookmarkStart w:id="92" w:name="ref-Edgar2015Errorfilteringpair"/>
    <w:p>
      <w:pPr>
        <w:pStyle w:val="Bibliography"/>
      </w:pPr>
      <w:r>
        <w:t xml:space="preserve">Edgar, R.C., Flyvbjerg, H., 2015. Error filtering, pair assembly and error correction for next-generation sequencing reads. Bioinformatics 31, 3476–3482.</w:t>
      </w:r>
      <w:r>
        <w:t xml:space="preserve"> </w:t>
      </w:r>
      <w:hyperlink r:id="rId91">
        <w:r>
          <w:rPr>
            <w:rStyle w:val="Hyperlink"/>
          </w:rPr>
          <w:t xml:space="preserve">https://doi.org/10.1093/bioinformatics/btv401</w:t>
        </w:r>
      </w:hyperlink>
    </w:p>
    <w:bookmarkEnd w:id="92"/>
    <w:bookmarkStart w:id="94" w:name="ref-Edgar2011UCHIMEimprovessensitivity"/>
    <w:p>
      <w:pPr>
        <w:pStyle w:val="Bibliography"/>
      </w:pPr>
      <w:r>
        <w:t xml:space="preserve">Edgar, R.C., Haas, B.J., Clemente, J.C., Quince, C., Knight, R., 2011. UCHIME improves sensitivity and speed of chimera detection. Bioinformatics 27, 2194–2200.</w:t>
      </w:r>
      <w:r>
        <w:t xml:space="preserve"> </w:t>
      </w:r>
      <w:hyperlink r:id="rId93">
        <w:r>
          <w:rPr>
            <w:rStyle w:val="Hyperlink"/>
          </w:rPr>
          <w:t xml:space="preserve">https://doi.org/10.1093/bioinformatics/btr381</w:t>
        </w:r>
      </w:hyperlink>
    </w:p>
    <w:bookmarkEnd w:id="94"/>
    <w:bookmarkStart w:id="96" w:name="X7b30066f7ad789bde3b87197594d92104dbe379"/>
    <w:p>
      <w:pPr>
        <w:pStyle w:val="Bibliography"/>
      </w:pPr>
      <w:r>
        <w:t xml:space="preserve">Esling, P., Lejzerowicz, F., Pawlowski, J., 2015. Accurate multiplexing and filtering for high-throughput amplicon-sequencing. Nucleic Acids Research 43, 2513–2524.</w:t>
      </w:r>
      <w:r>
        <w:t xml:space="preserve"> </w:t>
      </w:r>
      <w:hyperlink r:id="rId95">
        <w:r>
          <w:rPr>
            <w:rStyle w:val="Hyperlink"/>
          </w:rPr>
          <w:t xml:space="preserve">https://doi.org/10.1093/nar/gkv107</w:t>
        </w:r>
      </w:hyperlink>
    </w:p>
    <w:bookmarkEnd w:id="96"/>
    <w:bookmarkStart w:id="98" w:name="ref-Hsieh2016iNEXTpackagerarefaction"/>
    <w:p>
      <w:pPr>
        <w:pStyle w:val="Bibliography"/>
      </w:pPr>
      <w:r>
        <w:t xml:space="preserve">Hsieh, T.C., Ma, K.H., Chao, A., 2016. iNEXT: An R package for rarefaction and extrapolation of species diversity (Hill numbers). Methods in Ecology and Evolution 7, 1451–1456.</w:t>
      </w:r>
      <w:r>
        <w:t xml:space="preserve"> </w:t>
      </w:r>
      <w:hyperlink r:id="rId97">
        <w:r>
          <w:rPr>
            <w:rStyle w:val="Hyperlink"/>
          </w:rPr>
          <w:t xml:space="preserve">https://doi.org/10.1111/2041-210X.12613</w:t>
        </w:r>
      </w:hyperlink>
    </w:p>
    <w:bookmarkEnd w:id="98"/>
    <w:bookmarkStart w:id="100" w:name="ref-Huson2007MEGANanalysismetagenomic"/>
    <w:p>
      <w:pPr>
        <w:pStyle w:val="Bibliography"/>
      </w:pPr>
      <w:r>
        <w:t xml:space="preserve">Huson, D.H., Auch, A.F., Qi, J., Schuster, S.C., 2007. MEGAN analysis of metagenomic data. Genome Research 17, 377–386.</w:t>
      </w:r>
      <w:r>
        <w:t xml:space="preserve"> </w:t>
      </w:r>
      <w:hyperlink r:id="rId99">
        <w:r>
          <w:rPr>
            <w:rStyle w:val="Hyperlink"/>
          </w:rPr>
          <w:t xml:space="preserve">https://doi.org/10.1101/gr.5969107</w:t>
        </w:r>
      </w:hyperlink>
    </w:p>
    <w:bookmarkEnd w:id="100"/>
    <w:bookmarkStart w:id="102" w:name="ref-Kembel2010Picantetoolsintegrating"/>
    <w:p>
      <w:pPr>
        <w:pStyle w:val="Bibliography"/>
      </w:pPr>
      <w:r>
        <w:t xml:space="preserve">Kembel, S.W., Cowan, P.D., Helmus, M.R., Cornwell, W.K., Morlon, H., Ackerly, D.D., Blomberg, S.P., Webb, C.O., 2010. Picante: R tools for integrating phylogenies and ecology. Bioinformatics 26, 1463–1464.</w:t>
      </w:r>
      <w:r>
        <w:t xml:space="preserve"> </w:t>
      </w:r>
      <w:hyperlink r:id="rId101">
        <w:r>
          <w:rPr>
            <w:rStyle w:val="Hyperlink"/>
          </w:rPr>
          <w:t xml:space="preserve">https://doi.org/10.1093/bioinformatics/btq166</w:t>
        </w:r>
      </w:hyperlink>
    </w:p>
    <w:bookmarkEnd w:id="102"/>
    <w:bookmarkStart w:id="104" w:name="ref-Komai2019Developmentnewset"/>
    <w:p>
      <w:pPr>
        <w:pStyle w:val="Bibliography"/>
      </w:pPr>
      <w:r>
        <w:t xml:space="preserve">Komai, T., Gotoh, R.O., Sado, T., Miya, M., 2019. Development of a new set of PCR primers for eDNA metabarcoding decapod crustaceans. Metabarcoding and Metagenomics 3, e33835.</w:t>
      </w:r>
      <w:r>
        <w:t xml:space="preserve"> </w:t>
      </w:r>
      <w:hyperlink r:id="rId103">
        <w:r>
          <w:rPr>
            <w:rStyle w:val="Hyperlink"/>
          </w:rPr>
          <w:t xml:space="preserve">https://doi.org/10.3897/mbmg.3.33835</w:t>
        </w:r>
      </w:hyperlink>
    </w:p>
    <w:bookmarkEnd w:id="104"/>
    <w:bookmarkStart w:id="106" w:name="X9d20d8f4662a192a495223fa0abd0e991b541a2"/>
    <w:p>
      <w:pPr>
        <w:pStyle w:val="Bibliography"/>
      </w:pPr>
      <w:r>
        <w:t xml:space="preserve">McMurdie, P.J., Holmes, S., 2013. Phyloseq: An R Package for Reproducible Interactive Analysis and Graphics of Microbiome Census Data. PLoS ONE 8, e61217.</w:t>
      </w:r>
      <w:r>
        <w:t xml:space="preserve"> </w:t>
      </w:r>
      <w:hyperlink r:id="rId105">
        <w:r>
          <w:rPr>
            <w:rStyle w:val="Hyperlink"/>
          </w:rPr>
          <w:t xml:space="preserve">https://doi.org/10.1371/journal.pone.0061217</w:t>
        </w:r>
      </w:hyperlink>
    </w:p>
    <w:bookmarkEnd w:id="106"/>
    <w:bookmarkStart w:id="108" w:name="X49cf763435f0da31f7181be37a696ec8530c862"/>
    <w:p>
      <w:pPr>
        <w:pStyle w:val="Bibliography"/>
      </w:pPr>
      <w:r>
        <w:t xml:space="preserve">Miya, M., Gotoh, R.O., Sado, T., 2020. MiFish metabarcoding: A high-throughput approach for simultaneous detection of multiple fish species from environmental DNA and other samples. Fisheries Science 86, 939–970.</w:t>
      </w:r>
      <w:r>
        <w:t xml:space="preserve"> </w:t>
      </w:r>
      <w:hyperlink r:id="rId107">
        <w:r>
          <w:rPr>
            <w:rStyle w:val="Hyperlink"/>
          </w:rPr>
          <w:t xml:space="preserve">https://doi.org/10.1007/s12562-020-01461-x</w:t>
        </w:r>
      </w:hyperlink>
    </w:p>
    <w:bookmarkEnd w:id="108"/>
    <w:bookmarkStart w:id="110" w:name="ref-Miya2015MiFishsetuniversal"/>
    <w:p>
      <w:pPr>
        <w:pStyle w:val="Bibliography"/>
      </w:pPr>
      <w:r>
        <w:t xml:space="preserve">Miya, M., Sato, Y., Fukunaga, T., Sado, T., Poulsen, J.Y., Sato, K., Minamoto, T., Yamamoto, S., Yamanaka, H., Araki, H., Kondoh, M., Iwasaki, W., 2015. MiFish, a set of universal PCR primers for metabarcoding environmental DNA from fishes: Detection of more than 230 subtropical marine species. Royal Society Open Science 2, 150088.</w:t>
      </w:r>
      <w:r>
        <w:t xml:space="preserve"> </w:t>
      </w:r>
      <w:hyperlink r:id="rId109">
        <w:r>
          <w:rPr>
            <w:rStyle w:val="Hyperlink"/>
          </w:rPr>
          <w:t xml:space="preserve">https://doi.org/10.1098/rsos.150088</w:t>
        </w:r>
      </w:hyperlink>
    </w:p>
    <w:bookmarkEnd w:id="110"/>
    <w:bookmarkStart w:id="112" w:name="Xb5489c4465f4c1c7dcd80a3ff0501eb4665b501"/>
    <w:p>
      <w:pPr>
        <w:pStyle w:val="Bibliography"/>
      </w:pPr>
      <w:r>
        <w:t xml:space="preserve">Osada, Y., Ushio, M., Michio, K., 2023. A unified framework for nonparametric causality detection.</w:t>
      </w:r>
      <w:r>
        <w:t xml:space="preserve"> </w:t>
      </w:r>
      <w:hyperlink r:id="rId111">
        <w:r>
          <w:rPr>
            <w:rStyle w:val="Hyperlink"/>
          </w:rPr>
          <w:t xml:space="preserve">https://doi.org/10.1101/2023.04.20.537743</w:t>
        </w:r>
      </w:hyperlink>
    </w:p>
    <w:bookmarkEnd w:id="112"/>
    <w:bookmarkStart w:id="114" w:name="ref-Rognes2016VSEARCHversatileopen"/>
    <w:p>
      <w:pPr>
        <w:pStyle w:val="Bibliography"/>
      </w:pPr>
      <w:r>
        <w:t xml:space="preserve">Rognes, T., Flouri, T., Nichols, B., Quince, C., Mahé, F., 2016. VSEARCH: A versatile open source tool for metagenomics. PeerJ 4, e2584.</w:t>
      </w:r>
      <w:r>
        <w:t xml:space="preserve"> </w:t>
      </w:r>
      <w:hyperlink r:id="rId113">
        <w:r>
          <w:rPr>
            <w:rStyle w:val="Hyperlink"/>
          </w:rPr>
          <w:t xml:space="preserve">https://doi.org/10.7717/peerj.2584</w:t>
        </w:r>
      </w:hyperlink>
    </w:p>
    <w:bookmarkEnd w:id="114"/>
    <w:bookmarkStart w:id="116" w:name="ref-Sakata2022DevelopmentevaluationPCR"/>
    <w:p>
      <w:pPr>
        <w:pStyle w:val="Bibliography"/>
      </w:pPr>
      <w:r>
        <w:t xml:space="preserve">Sakata, M.K., Kawata, M.U., Kurabayashi, A., Kurita, T., Nakamura, M., Shirako, T., Kakehashi, R., Nishikawa, K., Hossman, M.Y., Nishijima, T., Kabamoto, J., Miya, M., Minamoto, T., 2022. Development and evaluation of PCR primers for environmental DNA (eDNA) metabarcoding of Amphibia. Metabarcoding and Metagenomics 6, e76534.</w:t>
      </w:r>
      <w:r>
        <w:t xml:space="preserve"> </w:t>
      </w:r>
      <w:hyperlink r:id="rId115">
        <w:r>
          <w:rPr>
            <w:rStyle w:val="Hyperlink"/>
          </w:rPr>
          <w:t xml:space="preserve">https://doi.org/10.3897/mbmg.6.76534</w:t>
        </w:r>
      </w:hyperlink>
    </w:p>
    <w:bookmarkEnd w:id="116"/>
    <w:bookmarkStart w:id="118" w:name="ref-Sato2018MitoFishMiFishPipeline"/>
    <w:p>
      <w:pPr>
        <w:pStyle w:val="Bibliography"/>
      </w:pPr>
      <w:r>
        <w:t xml:space="preserve">Sato, Y., Miya, M., Fukunaga, T., Sado, T., Iwasaki, W., 2018. MitoFish and MiFish Pipeline: A Mitochondrial Genome Database of Fish with an Analysis Pipeline for Environmental DNA Metabarcoding. Molecular Biology and Evolution 35, 1553–1555.</w:t>
      </w:r>
      <w:r>
        <w:t xml:space="preserve"> </w:t>
      </w:r>
      <w:hyperlink r:id="rId117">
        <w:r>
          <w:rPr>
            <w:rStyle w:val="Hyperlink"/>
          </w:rPr>
          <w:t xml:space="preserve">https://doi.org/10.1093/molbev/msy074</w:t>
        </w:r>
      </w:hyperlink>
    </w:p>
    <w:bookmarkEnd w:id="118"/>
    <w:bookmarkStart w:id="120" w:name="ref-Takenaka2023DevelopmentnovelPCR"/>
    <w:p>
      <w:pPr>
        <w:pStyle w:val="Bibliography"/>
      </w:pPr>
      <w:r>
        <w:t xml:space="preserve">Takenaka, M., Yano, K., Suzuki, T., Tojo, K., 2023. Development of novel PCR primer sets for DNA barcoding of aquatic insects, and the discovery of some cryptic species. Limnology 24, 121–136.</w:t>
      </w:r>
      <w:r>
        <w:t xml:space="preserve"> </w:t>
      </w:r>
      <w:hyperlink r:id="rId119">
        <w:r>
          <w:rPr>
            <w:rStyle w:val="Hyperlink"/>
          </w:rPr>
          <w:t xml:space="preserve">https://doi.org/10.1007/s10201-022-00710-5</w:t>
        </w:r>
      </w:hyperlink>
    </w:p>
    <w:bookmarkEnd w:id="120"/>
    <w:bookmarkStart w:id="122" w:name="ref-Tanabe2013TwoNewComputational"/>
    <w:p>
      <w:pPr>
        <w:pStyle w:val="Bibliography"/>
      </w:pPr>
      <w:r>
        <w:t xml:space="preserve">Tanabe, A.S., Toju, H., 2013. Two New Computational Methods for Universal DNA Barcoding: A Benchmark Using Barcode Sequences of Bacteria, Archaea, Animals, Fungi, and Land Plants. PLOS ONE 8, e76910.</w:t>
      </w:r>
      <w:r>
        <w:t xml:space="preserve"> </w:t>
      </w:r>
      <w:hyperlink r:id="rId121">
        <w:r>
          <w:rPr>
            <w:rStyle w:val="Hyperlink"/>
          </w:rPr>
          <w:t xml:space="preserve">https://doi.org/10.1371/journal.pone.0076910</w:t>
        </w:r>
      </w:hyperlink>
    </w:p>
    <w:bookmarkEnd w:id="122"/>
    <w:bookmarkStart w:id="124" w:name="ref-Ushio2017EnvironmentalDNAenables"/>
    <w:p>
      <w:pPr>
        <w:pStyle w:val="Bibliography"/>
      </w:pPr>
      <w:r>
        <w:t xml:space="preserve">Ushio, M., Fukuda, H., Inoue, T., Makoto, K., Kishida, O., Sato, K., Murata, K., Nikaido, M., Sado, T., Sato, Y., Takeshita, M., Iwasaki, W., Yamanaka, H., Kondoh, M., Miya, M., 2017. Environmental DNA enables detection of terrestrial mammals from forest pond water. Molecular Ecology Resources 17, e63–e75.</w:t>
      </w:r>
      <w:r>
        <w:t xml:space="preserve"> </w:t>
      </w:r>
      <w:hyperlink r:id="rId123">
        <w:r>
          <w:rPr>
            <w:rStyle w:val="Hyperlink"/>
          </w:rPr>
          <w:t xml:space="preserve">https://doi.org/10.1111/1755-0998.12690</w:t>
        </w:r>
      </w:hyperlink>
    </w:p>
    <w:bookmarkEnd w:id="124"/>
    <w:bookmarkStart w:id="126" w:name="Xa784d30867563540627e1d7a6dcc22df1df8fb8"/>
    <w:p>
      <w:pPr>
        <w:pStyle w:val="Bibliography"/>
      </w:pPr>
      <w:r>
        <w:t xml:space="preserve">Ushio, M., Furukawa, S., Murakami, H., Masuda, R., Nagano, A.J., 2022. An efficient early-pooling protocol for environmental DNA metabarcoding. Environmental DNA 4, 1212–1228.</w:t>
      </w:r>
      <w:r>
        <w:t xml:space="preserve"> </w:t>
      </w:r>
      <w:hyperlink r:id="rId125">
        <w:r>
          <w:rPr>
            <w:rStyle w:val="Hyperlink"/>
          </w:rPr>
          <w:t xml:space="preserve">https://doi.org/10.1002/edn3.337</w:t>
        </w:r>
      </w:hyperlink>
    </w:p>
    <w:bookmarkEnd w:id="126"/>
    <w:bookmarkStart w:id="128" w:name="Xb70268fb8d30bc36d7218049aa0a0593819a413"/>
    <w:p>
      <w:pPr>
        <w:pStyle w:val="Bibliography"/>
      </w:pPr>
      <w:r>
        <w:t xml:space="preserve">Ushio, M., Murakami, H., Masuda, R., Sado, T., Miya, M., Sakurai, S., Yamanaka, H., Minamoto, T., Kondoh, M., 2018. Quantitative monitoring of multispecies fish environmental DNA using high-throughput sequencing. Metabarcoding and Metagenomics 2, e23297.</w:t>
      </w:r>
      <w:r>
        <w:t xml:space="preserve"> </w:t>
      </w:r>
      <w:hyperlink r:id="rId127">
        <w:r>
          <w:rPr>
            <w:rStyle w:val="Hyperlink"/>
          </w:rPr>
          <w:t xml:space="preserve">https://doi.org/10.3897/mbmg.2.23297</w:t>
        </w:r>
      </w:hyperlink>
    </w:p>
    <w:bookmarkEnd w:id="128"/>
    <w:bookmarkStart w:id="130" w:name="X825629c0fd5f4225af5d59edf6d209b5c564ef2"/>
    <w:p>
      <w:pPr>
        <w:pStyle w:val="Bibliography"/>
      </w:pPr>
      <w:r>
        <w:t xml:space="preserve">Ushio, M., Murata, K., Sado, T., Nishiumi, I., Takeshita, M., Iwasaki, W., Miya, M., 2018. Demonstration of the potential of environmental DNA as a tool for the detection of avian species. Scientific Reports 8, 4493.</w:t>
      </w:r>
      <w:r>
        <w:t xml:space="preserve"> </w:t>
      </w:r>
      <w:hyperlink r:id="rId129">
        <w:r>
          <w:rPr>
            <w:rStyle w:val="Hyperlink"/>
          </w:rPr>
          <w:t xml:space="preserve">https://doi.org/10.1038/s41598-018-22817-5</w:t>
        </w:r>
      </w:hyperlink>
    </w:p>
    <w:bookmarkEnd w:id="130"/>
    <w:bookmarkStart w:id="132" w:name="X1f074db7003527090399b02c766a63d468281d4"/>
    <w:p>
      <w:pPr>
        <w:pStyle w:val="Bibliography"/>
      </w:pPr>
      <w:r>
        <w:t xml:space="preserve">Ye, H., Sugihara, G., 2016. Information leverage in interconnected ecosystems: Overcoming the curse of dimensionality. Science 353, 922–925.</w:t>
      </w:r>
      <w:r>
        <w:t xml:space="preserve"> </w:t>
      </w:r>
      <w:hyperlink r:id="rId131">
        <w:r>
          <w:rPr>
            <w:rStyle w:val="Hyperlink"/>
          </w:rPr>
          <w:t xml:space="preserve">https://doi.org/10.1126/science.aag0863</w:t>
        </w:r>
      </w:hyperlink>
    </w:p>
    <w:bookmarkEnd w:id="132"/>
    <w:bookmarkStart w:id="134" w:name="ref-Zhu2023MitoFishMitoAnnotatorMiFish"/>
    <w:p>
      <w:pPr>
        <w:pStyle w:val="Bibliography"/>
      </w:pPr>
      <w:r>
        <w:t xml:space="preserve">Zhu, T., Sato, Y., Sado, T., Miya, M., Iwasaki, W., 2023. MitoFish, MitoAnnotator, and MiFish Pipeline: Updates in 10 Years. Molecular Biology and Evolution 40, msad035.</w:t>
      </w:r>
      <w:r>
        <w:t xml:space="preserve"> </w:t>
      </w:r>
      <w:hyperlink r:id="rId133">
        <w:r>
          <w:rPr>
            <w:rStyle w:val="Hyperlink"/>
          </w:rPr>
          <w:t xml:space="preserve">https://doi.org/10.1093/molbev/msad035</w:t>
        </w:r>
      </w:hyperlink>
    </w:p>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s://cran.r-project.org/web/packages/mpmcorrelogram/" TargetMode="External" /><Relationship Type="http://schemas.openxmlformats.org/officeDocument/2006/relationships/hyperlink" Id="rId71" Target="https://cran.r-project.org/web/packages/picante/" TargetMode="External" /><Relationship Type="http://schemas.openxmlformats.org/officeDocument/2006/relationships/hyperlink" Id="rId125" Target="https://doi.org/10.1002/edn3.337" TargetMode="External" /><Relationship Type="http://schemas.openxmlformats.org/officeDocument/2006/relationships/hyperlink" Id="rId119" Target="https://doi.org/10.1007/s10201-022-00710-5" TargetMode="External" /><Relationship Type="http://schemas.openxmlformats.org/officeDocument/2006/relationships/hyperlink" Id="rId107" Target="https://doi.org/10.1007/s12562-020-01461-x" TargetMode="External" /><Relationship Type="http://schemas.openxmlformats.org/officeDocument/2006/relationships/hyperlink" Id="rId79" Target="https://doi.org/10.1038/nmeth.3869" TargetMode="External" /><Relationship Type="http://schemas.openxmlformats.org/officeDocument/2006/relationships/hyperlink" Id="rId129" Target="https://doi.org/10.1038/s41598-018-22817-5" TargetMode="External" /><Relationship Type="http://schemas.openxmlformats.org/officeDocument/2006/relationships/hyperlink" Id="rId101" Target="https://doi.org/10.1093/bioinformatics/btq166" TargetMode="External" /><Relationship Type="http://schemas.openxmlformats.org/officeDocument/2006/relationships/hyperlink" Id="rId89" Target="https://doi.org/10.1093/bioinformatics/btq461" TargetMode="External" /><Relationship Type="http://schemas.openxmlformats.org/officeDocument/2006/relationships/hyperlink" Id="rId93" Target="https://doi.org/10.1093/bioinformatics/btr381" TargetMode="External" /><Relationship Type="http://schemas.openxmlformats.org/officeDocument/2006/relationships/hyperlink" Id="rId91" Target="https://doi.org/10.1093/bioinformatics/btv401" TargetMode="External" /><Relationship Type="http://schemas.openxmlformats.org/officeDocument/2006/relationships/hyperlink" Id="rId133" Target="https://doi.org/10.1093/molbev/msad035" TargetMode="External" /><Relationship Type="http://schemas.openxmlformats.org/officeDocument/2006/relationships/hyperlink" Id="rId117" Target="https://doi.org/10.1093/molbev/msy074" TargetMode="External" /><Relationship Type="http://schemas.openxmlformats.org/officeDocument/2006/relationships/hyperlink" Id="rId95" Target="https://doi.org/10.1093/nar/gkv107" TargetMode="External" /><Relationship Type="http://schemas.openxmlformats.org/officeDocument/2006/relationships/hyperlink" Id="rId109" Target="https://doi.org/10.1098/rsos.150088" TargetMode="External" /><Relationship Type="http://schemas.openxmlformats.org/officeDocument/2006/relationships/hyperlink" Id="rId87" Target="https://doi.org/10.1101/074252" TargetMode="External" /><Relationship Type="http://schemas.openxmlformats.org/officeDocument/2006/relationships/hyperlink" Id="rId111" Target="https://doi.org/10.1101/2023.04.20.537743" TargetMode="External" /><Relationship Type="http://schemas.openxmlformats.org/officeDocument/2006/relationships/hyperlink" Id="rId99" Target="https://doi.org/10.1101/gr.5969107" TargetMode="External" /><Relationship Type="http://schemas.openxmlformats.org/officeDocument/2006/relationships/hyperlink" Id="rId123" Target="https://doi.org/10.1111/1755-0998.12690" TargetMode="External" /><Relationship Type="http://schemas.openxmlformats.org/officeDocument/2006/relationships/hyperlink" Id="rId97" Target="https://doi.org/10.1111/2041-210X.12613" TargetMode="External" /><Relationship Type="http://schemas.openxmlformats.org/officeDocument/2006/relationships/hyperlink" Id="rId131" Target="https://doi.org/10.1126/science.aag0863" TargetMode="External" /><Relationship Type="http://schemas.openxmlformats.org/officeDocument/2006/relationships/hyperlink" Id="rId105" Target="https://doi.org/10.1371/journal.pone.0061217" TargetMode="External" /><Relationship Type="http://schemas.openxmlformats.org/officeDocument/2006/relationships/hyperlink" Id="rId121" Target="https://doi.org/10.1371/journal.pone.0076910" TargetMode="External" /><Relationship Type="http://schemas.openxmlformats.org/officeDocument/2006/relationships/hyperlink" Id="rId83" Target="https://doi.org/10.1890/11-1952.1" TargetMode="External" /><Relationship Type="http://schemas.openxmlformats.org/officeDocument/2006/relationships/hyperlink" Id="rId81" Target="https://doi.org/10.1890/13-0133.1" TargetMode="External" /><Relationship Type="http://schemas.openxmlformats.org/officeDocument/2006/relationships/hyperlink" Id="rId127" Target="https://doi.org/10.3897/mbmg.2.23297" TargetMode="External" /><Relationship Type="http://schemas.openxmlformats.org/officeDocument/2006/relationships/hyperlink" Id="rId103" Target="https://doi.org/10.3897/mbmg.3.33835" TargetMode="External" /><Relationship Type="http://schemas.openxmlformats.org/officeDocument/2006/relationships/hyperlink" Id="rId115" Target="https://doi.org/10.3897/mbmg.6.76534" TargetMode="External" /><Relationship Type="http://schemas.openxmlformats.org/officeDocument/2006/relationships/hyperlink" Id="rId85" Target="https://doi.org/10.7717/peerj.1634" TargetMode="External" /><Relationship Type="http://schemas.openxmlformats.org/officeDocument/2006/relationships/hyperlink" Id="rId113" Target="https://doi.org/10.7717/peerj.2584" TargetMode="External" /><Relationship Type="http://schemas.openxmlformats.org/officeDocument/2006/relationships/hyperlink" Id="rId70" Target="https://github.com/JohnsonHsieh/iNEXT" TargetMode="External" /><Relationship Type="http://schemas.openxmlformats.org/officeDocument/2006/relationships/hyperlink" Id="rId72" Target="https://github.com/Russel88/MicEco" TargetMode="External" /><Relationship Type="http://schemas.openxmlformats.org/officeDocument/2006/relationships/hyperlink" Id="rId26" Target="https://github.com/astanabe/NexteraStyleIndexPrimers" TargetMode="External" /><Relationship Type="http://schemas.openxmlformats.org/officeDocument/2006/relationships/hyperlink" Id="rId25"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3" Target="https://github.com/biometry/bipartite" TargetMode="External" /><Relationship Type="http://schemas.openxmlformats.org/officeDocument/2006/relationships/hyperlink" Id="rId74" Target="https://github.com/shimo-lab/pvclust" TargetMode="External" /><Relationship Type="http://schemas.openxmlformats.org/officeDocument/2006/relationships/hyperlink" Id="rId67" Target="https://github.com/vegandevs/vegan" TargetMode="External" /><Relationship Type="http://schemas.openxmlformats.org/officeDocument/2006/relationships/hyperlink" Id="rId69" Target="https://github.com/vmikk/metagMisc" TargetMode="External" /><Relationship Type="http://schemas.openxmlformats.org/officeDocument/2006/relationships/hyperlink" Id="rId77" Target="https://github.com/yutakaos/rUIC" TargetMode="External" /><Relationship Type="http://schemas.openxmlformats.org/officeDocument/2006/relationships/hyperlink" Id="rId76" Target="https://ha0ye.github.io/rEDM/" TargetMode="External" /><Relationship Type="http://schemas.openxmlformats.org/officeDocument/2006/relationships/hyperlink" Id="rId68" Target="https://joey711.github.io/phyloseq/" TargetMode="External" /><Relationship Type="http://schemas.openxmlformats.org/officeDocument/2006/relationships/hyperlink" Id="rId38" Target="https://jp.support.illumina.com/sequencing/sequencing_software/bcl2fastq-conversion-software.html" TargetMode="External" /><Relationship Type="http://schemas.openxmlformats.org/officeDocument/2006/relationships/hyperlink" Id="rId22" Target="https://www.claident.org/" TargetMode="External" /></Relationships>
</file>

<file path=word/_rels/footnotes.xml.rels><?xml version="1.0" encoding="UTF-8"?>
<Relationships xmlns="http://schemas.openxmlformats.org/package/2006/relationships"><Relationship Type="http://schemas.openxmlformats.org/officeDocument/2006/relationships/hyperlink" Id="rId75" Target="https://cran.r-project.org/web/packages/mpmcorrelogram/" TargetMode="External" /><Relationship Type="http://schemas.openxmlformats.org/officeDocument/2006/relationships/hyperlink" Id="rId71" Target="https://cran.r-project.org/web/packages/picante/" TargetMode="External" /><Relationship Type="http://schemas.openxmlformats.org/officeDocument/2006/relationships/hyperlink" Id="rId125" Target="https://doi.org/10.1002/edn3.337" TargetMode="External" /><Relationship Type="http://schemas.openxmlformats.org/officeDocument/2006/relationships/hyperlink" Id="rId119" Target="https://doi.org/10.1007/s10201-022-00710-5" TargetMode="External" /><Relationship Type="http://schemas.openxmlformats.org/officeDocument/2006/relationships/hyperlink" Id="rId107" Target="https://doi.org/10.1007/s12562-020-01461-x" TargetMode="External" /><Relationship Type="http://schemas.openxmlformats.org/officeDocument/2006/relationships/hyperlink" Id="rId79" Target="https://doi.org/10.1038/nmeth.3869" TargetMode="External" /><Relationship Type="http://schemas.openxmlformats.org/officeDocument/2006/relationships/hyperlink" Id="rId129" Target="https://doi.org/10.1038/s41598-018-22817-5" TargetMode="External" /><Relationship Type="http://schemas.openxmlformats.org/officeDocument/2006/relationships/hyperlink" Id="rId101" Target="https://doi.org/10.1093/bioinformatics/btq166" TargetMode="External" /><Relationship Type="http://schemas.openxmlformats.org/officeDocument/2006/relationships/hyperlink" Id="rId89" Target="https://doi.org/10.1093/bioinformatics/btq461" TargetMode="External" /><Relationship Type="http://schemas.openxmlformats.org/officeDocument/2006/relationships/hyperlink" Id="rId93" Target="https://doi.org/10.1093/bioinformatics/btr381" TargetMode="External" /><Relationship Type="http://schemas.openxmlformats.org/officeDocument/2006/relationships/hyperlink" Id="rId91" Target="https://doi.org/10.1093/bioinformatics/btv401" TargetMode="External" /><Relationship Type="http://schemas.openxmlformats.org/officeDocument/2006/relationships/hyperlink" Id="rId133" Target="https://doi.org/10.1093/molbev/msad035" TargetMode="External" /><Relationship Type="http://schemas.openxmlformats.org/officeDocument/2006/relationships/hyperlink" Id="rId117" Target="https://doi.org/10.1093/molbev/msy074" TargetMode="External" /><Relationship Type="http://schemas.openxmlformats.org/officeDocument/2006/relationships/hyperlink" Id="rId95" Target="https://doi.org/10.1093/nar/gkv107" TargetMode="External" /><Relationship Type="http://schemas.openxmlformats.org/officeDocument/2006/relationships/hyperlink" Id="rId109" Target="https://doi.org/10.1098/rsos.150088" TargetMode="External" /><Relationship Type="http://schemas.openxmlformats.org/officeDocument/2006/relationships/hyperlink" Id="rId87" Target="https://doi.org/10.1101/074252" TargetMode="External" /><Relationship Type="http://schemas.openxmlformats.org/officeDocument/2006/relationships/hyperlink" Id="rId111" Target="https://doi.org/10.1101/2023.04.20.537743" TargetMode="External" /><Relationship Type="http://schemas.openxmlformats.org/officeDocument/2006/relationships/hyperlink" Id="rId99" Target="https://doi.org/10.1101/gr.5969107" TargetMode="External" /><Relationship Type="http://schemas.openxmlformats.org/officeDocument/2006/relationships/hyperlink" Id="rId123" Target="https://doi.org/10.1111/1755-0998.12690" TargetMode="External" /><Relationship Type="http://schemas.openxmlformats.org/officeDocument/2006/relationships/hyperlink" Id="rId97" Target="https://doi.org/10.1111/2041-210X.12613" TargetMode="External" /><Relationship Type="http://schemas.openxmlformats.org/officeDocument/2006/relationships/hyperlink" Id="rId131" Target="https://doi.org/10.1126/science.aag0863" TargetMode="External" /><Relationship Type="http://schemas.openxmlformats.org/officeDocument/2006/relationships/hyperlink" Id="rId105" Target="https://doi.org/10.1371/journal.pone.0061217" TargetMode="External" /><Relationship Type="http://schemas.openxmlformats.org/officeDocument/2006/relationships/hyperlink" Id="rId121" Target="https://doi.org/10.1371/journal.pone.0076910" TargetMode="External" /><Relationship Type="http://schemas.openxmlformats.org/officeDocument/2006/relationships/hyperlink" Id="rId83" Target="https://doi.org/10.1890/11-1952.1" TargetMode="External" /><Relationship Type="http://schemas.openxmlformats.org/officeDocument/2006/relationships/hyperlink" Id="rId81" Target="https://doi.org/10.1890/13-0133.1" TargetMode="External" /><Relationship Type="http://schemas.openxmlformats.org/officeDocument/2006/relationships/hyperlink" Id="rId127" Target="https://doi.org/10.3897/mbmg.2.23297" TargetMode="External" /><Relationship Type="http://schemas.openxmlformats.org/officeDocument/2006/relationships/hyperlink" Id="rId103" Target="https://doi.org/10.3897/mbmg.3.33835" TargetMode="External" /><Relationship Type="http://schemas.openxmlformats.org/officeDocument/2006/relationships/hyperlink" Id="rId115" Target="https://doi.org/10.3897/mbmg.6.76534" TargetMode="External" /><Relationship Type="http://schemas.openxmlformats.org/officeDocument/2006/relationships/hyperlink" Id="rId85" Target="https://doi.org/10.7717/peerj.1634" TargetMode="External" /><Relationship Type="http://schemas.openxmlformats.org/officeDocument/2006/relationships/hyperlink" Id="rId113" Target="https://doi.org/10.7717/peerj.2584" TargetMode="External" /><Relationship Type="http://schemas.openxmlformats.org/officeDocument/2006/relationships/hyperlink" Id="rId70" Target="https://github.com/JohnsonHsieh/iNEXT" TargetMode="External" /><Relationship Type="http://schemas.openxmlformats.org/officeDocument/2006/relationships/hyperlink" Id="rId72" Target="https://github.com/Russel88/MicEco" TargetMode="External" /><Relationship Type="http://schemas.openxmlformats.org/officeDocument/2006/relationships/hyperlink" Id="rId26" Target="https://github.com/astanabe/NexteraStyleIndexPrimers" TargetMode="External" /><Relationship Type="http://schemas.openxmlformats.org/officeDocument/2006/relationships/hyperlink" Id="rId25"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3" Target="https://github.com/biometry/bipartite" TargetMode="External" /><Relationship Type="http://schemas.openxmlformats.org/officeDocument/2006/relationships/hyperlink" Id="rId74" Target="https://github.com/shimo-lab/pvclust" TargetMode="External" /><Relationship Type="http://schemas.openxmlformats.org/officeDocument/2006/relationships/hyperlink" Id="rId67" Target="https://github.com/vegandevs/vegan" TargetMode="External" /><Relationship Type="http://schemas.openxmlformats.org/officeDocument/2006/relationships/hyperlink" Id="rId69" Target="https://github.com/vmikk/metagMisc" TargetMode="External" /><Relationship Type="http://schemas.openxmlformats.org/officeDocument/2006/relationships/hyperlink" Id="rId77" Target="https://github.com/yutakaos/rUIC" TargetMode="External" /><Relationship Type="http://schemas.openxmlformats.org/officeDocument/2006/relationships/hyperlink" Id="rId76" Target="https://ha0ye.github.io/rEDM/" TargetMode="External" /><Relationship Type="http://schemas.openxmlformats.org/officeDocument/2006/relationships/hyperlink" Id="rId68" Target="https://joey711.github.io/phyloseq/" TargetMode="External" /><Relationship Type="http://schemas.openxmlformats.org/officeDocument/2006/relationships/hyperlink" Id="rId38" Target="https://jp.support.illumina.com/sequencing/sequencing_software/bcl2fastq-conversion-software.html" TargetMode="External" /><Relationship Type="http://schemas.openxmlformats.org/officeDocument/2006/relationships/hyperlink" Id="rId22" Target="https://www.claiden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2024-01-23T20:33:45Z</dcterms:created>
  <dcterms:modified xsi:type="dcterms:W3CDTF">2024-01-23T20:33:45Z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metabarcodinganalysiswithClaident.bib</vt:lpwstr>
  </property>
  <property fmtid="{D5CDD505-2E9C-101B-9397-08002B2CF9AE}" pid="3" name="classoption">
    <vt:lpwstr>pandoc</vt:lpwstr>
  </property>
  <property fmtid="{D5CDD505-2E9C-101B-9397-08002B2CF9AE}" pid="4" name="csl">
    <vt:lpwstr>elsevier-harvard.csl</vt:lpwstr>
  </property>
  <property fmtid="{D5CDD505-2E9C-101B-9397-08002B2CF9AE}" pid="5" name="date">
    <vt:lpwstr>2024-01-24</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