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2024-01-22</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MiFish pipeline</w:t>
      </w:r>
      <w:r>
        <w:t xml:space="preserve"> </w:t>
      </w:r>
      <w:r>
        <w:t xml:space="preserve">(Sato et al. 2018, Zhu et al. 2023)</w:t>
      </w:r>
      <w:r>
        <w:t xml:space="preserve">との違いは、大まかには以下の通りです。</w:t>
      </w:r>
    </w:p>
    <w:p>
      <w:pPr>
        <w:numPr>
          <w:ilvl w:val="0"/>
          <w:numId w:val="1001"/>
        </w:numPr>
        <w:pStyle w:val="Compact"/>
      </w:pPr>
      <w:r>
        <w:t xml:space="preserve">MiFishプライマー</w:t>
      </w:r>
      <w:r>
        <w:t xml:space="preserve"> </w:t>
      </w:r>
      <w:r>
        <w:t xml:space="preserve">(Miya et al. 2015, 2020)</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定量・非定量メタバーコーディング</w:t>
      </w:r>
      <w:r>
        <w:t xml:space="preserve"> </w:t>
      </w:r>
      <w:r>
        <w:t xml:space="preserve">(Ushio et al. 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Webサービスではなく、自前のコンピュータで解析を行う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Claidentの詳細については下記URLをご参照下さい。</w:t>
      </w:r>
    </w:p>
    <w:p>
      <w:pPr>
        <w:pStyle w:val="SourceCode"/>
      </w:pPr>
      <w:r>
        <w:rPr>
          <w:rStyle w:val="VerbatimChar"/>
        </w:rPr>
        <w:t xml:space="preserve">https://www.claident.org/</w:t>
      </w:r>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1" w:name="claidentの動作環境およびインストール方法"/>
      <w:r>
        <w:t xml:space="preserve">Claidentの動作環境およびインストール方法</w:t>
      </w:r>
      <w:bookmarkEnd w:id="21"/>
    </w:p>
    <w:p>
      <w:pPr>
        <w:pStyle w:val="FirstParagraph"/>
      </w:pPr>
      <w:r>
        <w:t xml:space="preserve">Claidentは、以下の環境で動作するように作成されています。</w:t>
      </w:r>
    </w:p>
    <w:p>
      <w:pPr>
        <w:numPr>
          <w:ilvl w:val="0"/>
          <w:numId w:val="1002"/>
        </w:numPr>
        <w:pStyle w:val="Compact"/>
      </w:pPr>
      <w:r>
        <w:t xml:space="preserve">Debian 11以降</w:t>
      </w:r>
    </w:p>
    <w:p>
      <w:pPr>
        <w:numPr>
          <w:ilvl w:val="0"/>
          <w:numId w:val="1002"/>
        </w:numPr>
        <w:pStyle w:val="Compact"/>
      </w:pPr>
      <w:r>
        <w:t xml:space="preserve">Ubuntu 20.04以降 (Windows上のWSL2環境を含む)</w:t>
      </w:r>
    </w:p>
    <w:p>
      <w:pPr>
        <w:numPr>
          <w:ilvl w:val="0"/>
          <w:numId w:val="1002"/>
        </w:numPr>
        <w:pStyle w:val="Compact"/>
      </w:pPr>
      <w:r>
        <w:t xml:space="preserve">Linux Mint 20以降</w:t>
      </w:r>
    </w:p>
    <w:p>
      <w:pPr>
        <w:numPr>
          <w:ilvl w:val="0"/>
          <w:numId w:val="1002"/>
        </w:numPr>
        <w:pStyle w:val="Compact"/>
      </w:pPr>
      <w:r>
        <w:t xml:space="preserve">RedHat Enterprise Linux 8以降</w:t>
      </w:r>
    </w:p>
    <w:p>
      <w:pPr>
        <w:numPr>
          <w:ilvl w:val="0"/>
          <w:numId w:val="1002"/>
        </w:numPr>
        <w:pStyle w:val="Compact"/>
      </w:pPr>
      <w:r>
        <w:t xml:space="preserve">AlmaLinux 8以降 (Windows上のWSL2環境を含む)</w:t>
      </w:r>
    </w:p>
    <w:p>
      <w:pPr>
        <w:numPr>
          <w:ilvl w:val="0"/>
          <w:numId w:val="1002"/>
        </w:numPr>
        <w:pStyle w:val="Compact"/>
      </w:pPr>
      <w:r>
        <w:t xml:space="preserve">Rocky Linux 8以降</w:t>
      </w:r>
    </w:p>
    <w:p>
      <w:pPr>
        <w:numPr>
          <w:ilvl w:val="0"/>
          <w:numId w:val="1002"/>
        </w:numPr>
        <w:pStyle w:val="Compact"/>
      </w:pPr>
      <w:r>
        <w:t xml:space="preserve">HomebrewをインストールしたmacOS</w:t>
      </w:r>
    </w:p>
    <w:p>
      <w:pPr>
        <w:numPr>
          <w:ilvl w:val="0"/>
          <w:numId w:val="1002"/>
        </w:numPr>
        <w:pStyle w:val="Compact"/>
      </w:pPr>
      <w:r>
        <w:t xml:space="preserve">MacPortsをインストールしたmacOS</w:t>
      </w:r>
    </w:p>
    <w:p>
      <w:pPr>
        <w:pStyle w:val="FirstParagraph"/>
      </w:pPr>
      <w:r>
        <w:t xml:space="preserve">Windowsをご使用の方は、Microsoft Storeから「Windows Subsystem for Linux」、「Ubuntu」および「Windows Terminal」をインストールすれば、Ubuntu環境内にClaidentをインストールすることができます。</w:t>
      </w:r>
      <w:r>
        <w:t xml:space="preserve"> </w:t>
      </w:r>
      <w:r>
        <w:t xml:space="preserve">ただし、Windows上にインストールしたUbuntuは、標準では最大250GB程度しかディスク容量を使用できません(執筆時点)。</w:t>
      </w:r>
      <w:r>
        <w:t xml:space="preserve"> </w:t>
      </w:r>
      <w:r>
        <w:t xml:space="preserve">大きなデータ解析にはディスク容量が不足する可能性が高いので、専用の解析マシンを用意することをお勧めします。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p>
    <w:p>
      <w:pPr>
        <w:pStyle w:val="BodyText"/>
      </w:pPr>
      <w:r>
        <w:t xml:space="preserve">Debian・Ubuntu・Linux Mint・Windows上にインストールしたUbuntuの場合、ターミナル上で以下のコマンドを実行することでClaidentをインストールすることができます。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インストール先を変更した場合、環境変数</w:t>
      </w:r>
      <w:r>
        <w:rPr>
          <w:rStyle w:val="VerbatimChar"/>
        </w:rPr>
        <w:t xml:space="preserve">PATH</w:t>
      </w:r>
      <w:r>
        <w:t xml:space="preserve">に実行コマンドがある</w:t>
      </w:r>
      <w:r>
        <w:rPr>
          <w:rStyle w:val="VerbatimChar"/>
        </w:rPr>
        <w:t xml:space="preserve">インストール先/bin</w:t>
      </w:r>
      <w:r>
        <w:t xml:space="preserve">が登録されていないため、Claidentの解析コマンドが実行できません。</w:t>
      </w:r>
      <w:r>
        <w:t xml:space="preserve"> </w:t>
      </w:r>
      <w:r>
        <w:t xml:space="preserve">そこで、Claidentでの解析を行う前に以下のコマンドを実行して環境変数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このように、インストール先を変更することで、複数のバージョンのClaidentを共存させることができます。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2" w:name="データ解析全体の流れと前提条件"/>
      <w:r>
        <w:t xml:space="preserve">データ解析全体の流れと前提条件</w:t>
      </w:r>
      <w:bookmarkEnd w:id="22"/>
    </w:p>
    <w:p>
      <w:pPr>
        <w:pStyle w:val="FirstParagraph"/>
      </w:pPr>
      <w:r>
        <w:t xml:space="preserve">Claidentによるデータ解析は、以下の流れで行います。</w:t>
      </w:r>
    </w:p>
    <w:p>
      <w:pPr>
        <w:numPr>
          <w:ilvl w:val="0"/>
          <w:numId w:val="1003"/>
        </w:numPr>
        <w:pStyle w:val="Compact"/>
      </w:pPr>
      <w:r>
        <w:t xml:space="preserve">デマルチプレクシング</w:t>
      </w:r>
    </w:p>
    <w:p>
      <w:pPr>
        <w:numPr>
          <w:ilvl w:val="0"/>
          <w:numId w:val="1003"/>
        </w:numPr>
        <w:pStyle w:val="Compact"/>
      </w:pPr>
      <w:r>
        <w:t xml:space="preserve">ペアエンド配列の連結</w:t>
      </w:r>
    </w:p>
    <w:p>
      <w:pPr>
        <w:numPr>
          <w:ilvl w:val="0"/>
          <w:numId w:val="1003"/>
        </w:numPr>
        <w:pStyle w:val="Compact"/>
      </w:pPr>
      <w:r>
        <w:t xml:space="preserve">低品質配列の除去</w:t>
      </w:r>
      <w:r>
        <w:t xml:space="preserve"> </w:t>
      </w:r>
      <w:r>
        <w:t xml:space="preserve">(Edgar and Flyvbjerg 2015)</w:t>
      </w:r>
    </w:p>
    <w:p>
      <w:pPr>
        <w:numPr>
          <w:ilvl w:val="0"/>
          <w:numId w:val="1003"/>
        </w:numPr>
        <w:pStyle w:val="Compact"/>
      </w:pPr>
      <w:r>
        <w:t xml:space="preserve">デノイジング</w:t>
      </w:r>
      <w:r>
        <w:t xml:space="preserve"> </w:t>
      </w:r>
      <w:r>
        <w:t xml:space="preserve">(Callahan et al. 2016)</w:t>
      </w:r>
    </w:p>
    <w:p>
      <w:pPr>
        <w:numPr>
          <w:ilvl w:val="0"/>
          <w:numId w:val="1003"/>
        </w:numPr>
        <w:pStyle w:val="Compact"/>
      </w:pPr>
      <w:r>
        <w:t xml:space="preserve">参照配列データベースを用いないキメラ除去</w:t>
      </w:r>
      <w:r>
        <w:t xml:space="preserve"> </w:t>
      </w:r>
      <w:r>
        <w:t xml:space="preserve">(Edgar 2016, Rognes et al. 2016)</w:t>
      </w:r>
    </w:p>
    <w:p>
      <w:pPr>
        <w:numPr>
          <w:ilvl w:val="0"/>
          <w:numId w:val="1003"/>
        </w:numPr>
        <w:pStyle w:val="Compact"/>
      </w:pPr>
      <w:r>
        <w:t xml:space="preserve">内部標準配列クラスタリング</w:t>
      </w:r>
      <w:r>
        <w:t xml:space="preserve"> </w:t>
      </w:r>
      <w:r>
        <w:t xml:space="preserve">(Edgar 2010, Rognes et al. 2016)</w:t>
      </w:r>
    </w:p>
    <w:p>
      <w:pPr>
        <w:numPr>
          <w:ilvl w:val="0"/>
          <w:numId w:val="1003"/>
        </w:numPr>
        <w:pStyle w:val="Compact"/>
      </w:pPr>
      <w:r>
        <w:t xml:space="preserve">参照配列データベースを用いたキメラ除去</w:t>
      </w:r>
      <w:r>
        <w:t xml:space="preserve"> </w:t>
      </w:r>
      <w:r>
        <w:t xml:space="preserve">(Edgar et al. 2011, Rognes et al. 2016)</w:t>
      </w:r>
    </w:p>
    <w:p>
      <w:pPr>
        <w:numPr>
          <w:ilvl w:val="0"/>
          <w:numId w:val="1003"/>
        </w:numPr>
        <w:pStyle w:val="Compact"/>
      </w:pPr>
      <w:r>
        <w:t xml:space="preserve">インデックスホッピング除去</w:t>
      </w:r>
      <w:r>
        <w:t xml:space="preserve"> </w:t>
      </w:r>
      <w:r>
        <w:t xml:space="preserve">(Esling et al. 2015)</w:t>
      </w:r>
    </w:p>
    <w:p>
      <w:pPr>
        <w:numPr>
          <w:ilvl w:val="0"/>
          <w:numId w:val="1003"/>
        </w:numPr>
        <w:pStyle w:val="Compact"/>
      </w:pPr>
      <w:r>
        <w:t xml:space="preserve">ネガティブコントロールを利用したデコンタミネーション</w:t>
      </w:r>
    </w:p>
    <w:p>
      <w:pPr>
        <w:numPr>
          <w:ilvl w:val="0"/>
          <w:numId w:val="1003"/>
        </w:numPr>
        <w:pStyle w:val="Compact"/>
      </w:pPr>
      <w:r>
        <w:t xml:space="preserve">分子同定</w:t>
      </w:r>
      <w:r>
        <w:t xml:space="preserve"> </w:t>
      </w:r>
      <w:r>
        <w:t xml:space="preserve">(Tanabe and Toju 2013)</w:t>
      </w:r>
    </w:p>
    <w:p>
      <w:pPr>
        <w:numPr>
          <w:ilvl w:val="0"/>
          <w:numId w:val="1003"/>
        </w:numPr>
        <w:pStyle w:val="Compact"/>
      </w:pPr>
      <w:r>
        <w:t xml:space="preserve">サンプル×OTU表の作成・加工</w:t>
      </w:r>
    </w:p>
    <w:p>
      <w:pPr>
        <w:numPr>
          <w:ilvl w:val="0"/>
          <w:numId w:val="1003"/>
        </w:numPr>
        <w:pStyle w:val="Compact"/>
      </w:pPr>
      <w:r>
        <w:t xml:space="preserve">カバレッジベースレアファクション</w:t>
      </w:r>
      <w:r>
        <w:t xml:space="preserve"> </w:t>
      </w:r>
      <w:r>
        <w:t xml:space="preserve">(Chao and Jost 2012)</w:t>
      </w:r>
    </w:p>
    <w:p>
      <w:pPr>
        <w:numPr>
          <w:ilvl w:val="0"/>
          <w:numId w:val="1003"/>
        </w:numPr>
        <w:pStyle w:val="Compact"/>
      </w:pPr>
      <w:r>
        <w:t xml:space="preserve">内部標準DNAリード数を利用したDNA濃度の推定</w:t>
      </w:r>
      <w:r>
        <w:t xml:space="preserve"> </w:t>
      </w:r>
      <w:r>
        <w:t xml:space="preserve">(Ushio et al. 2018a)</w:t>
      </w:r>
    </w:p>
    <w:p>
      <w:pPr>
        <w:pStyle w:val="FirstParagraph"/>
      </w:pPr>
      <w:r>
        <w:t xml:space="preserve">最終的に得られたサンプル×OTU表をRやその他の統計解析環境で処理することで、作図や要約、仮説検証を行います。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Claidentは大抵のメタバーコードデータの解析に使用可能ですが、ここでは以下のようなデータを仮定して解説を進めます(下記を満たしていないデータを全く解析できないわけではありません)。</w:t>
      </w:r>
    </w:p>
    <w:p>
      <w:pPr>
        <w:numPr>
          <w:ilvl w:val="0"/>
          <w:numId w:val="1004"/>
        </w:numPr>
        <w:pStyle w:val="Compact"/>
      </w:pPr>
      <w:r>
        <w:t xml:space="preserve">環境水を濾過して濾過フィルターから抽出した環境DNAサンプルとネガティブコントロールとしてのフィールドブランクが含まれる</w:t>
      </w:r>
    </w:p>
    <w:p>
      <w:pPr>
        <w:numPr>
          <w:ilvl w:val="0"/>
          <w:numId w:val="1004"/>
        </w:numPr>
        <w:pStyle w:val="Compact"/>
      </w:pPr>
      <w:r>
        <w:t xml:space="preserve">以下の方法でライブラリ調製</w:t>
      </w:r>
    </w:p>
    <w:p>
      <w:pPr>
        <w:numPr>
          <w:ilvl w:val="1"/>
          <w:numId w:val="1005"/>
        </w:numPr>
        <w:pStyle w:val="Compact"/>
      </w:pPr>
      <w:r>
        <w:t xml:space="preserve">濃度のわかっている複数の内部標準DNAを添加してMiFishプライマーを使用してtailed PCR (1st PCR)</w:t>
      </w:r>
    </w:p>
    <w:p>
      <w:pPr>
        <w:numPr>
          <w:ilvl w:val="1"/>
          <w:numId w:val="1005"/>
        </w:numPr>
        <w:pStyle w:val="Compact"/>
      </w:pPr>
      <w:r>
        <w:t xml:space="preserve">1st PCR産物を鋳型にしてインデックスプライマーを使用してtailed PCR (2nd PCR)</w:t>
      </w:r>
    </w:p>
    <w:p>
      <w:pPr>
        <w:numPr>
          <w:ilvl w:val="0"/>
          <w:numId w:val="1004"/>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06"/>
        </w:numPr>
        <w:pStyle w:val="Compact"/>
      </w:pPr>
      <w:r>
        <w:t xml:space="preserve">サンプル・ブランクのいずれなのか</w:t>
      </w:r>
    </w:p>
    <w:p>
      <w:pPr>
        <w:numPr>
          <w:ilvl w:val="0"/>
          <w:numId w:val="1006"/>
        </w:numPr>
        <w:pStyle w:val="Compact"/>
      </w:pPr>
      <w:r>
        <w:t xml:space="preserve">濾過水量</w:t>
      </w:r>
    </w:p>
    <w:p>
      <w:pPr>
        <w:numPr>
          <w:ilvl w:val="0"/>
          <w:numId w:val="1006"/>
        </w:numPr>
        <w:pStyle w:val="Compact"/>
      </w:pPr>
      <w:r>
        <w:t xml:space="preserve">抽出DNA溶液量(回収液量ではなく、最後の溶出時に添加した液量)</w:t>
      </w:r>
    </w:p>
    <w:p>
      <w:pPr>
        <w:numPr>
          <w:ilvl w:val="0"/>
          <w:numId w:val="1006"/>
        </w:numPr>
        <w:pStyle w:val="Compact"/>
      </w:pPr>
      <w:r>
        <w:t xml:space="preserve">内部標準DNA塩基配列</w:t>
      </w:r>
    </w:p>
    <w:p>
      <w:pPr>
        <w:numPr>
          <w:ilvl w:val="0"/>
          <w:numId w:val="1006"/>
        </w:numPr>
        <w:pStyle w:val="Compact"/>
      </w:pPr>
      <w:r>
        <w:t xml:space="preserve">内部標準DNA濃度</w:t>
      </w:r>
    </w:p>
    <w:p>
      <w:pPr>
        <w:numPr>
          <w:ilvl w:val="0"/>
          <w:numId w:val="1006"/>
        </w:numPr>
        <w:pStyle w:val="Compact"/>
      </w:pPr>
      <w:r>
        <w:t xml:space="preserve">1st PCR時のプライマー配列のうち、シーケンサの読み始めになる部分配列</w:t>
      </w:r>
    </w:p>
    <w:p>
      <w:pPr>
        <w:numPr>
          <w:ilvl w:val="0"/>
          <w:numId w:val="1006"/>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 et al. 2015, 2020)</w:t>
      </w:r>
      <w:r>
        <w:t xml:space="preserve"> </w:t>
      </w:r>
      <w:r>
        <w:t xml:space="preserve">、 MiDeca</w:t>
      </w:r>
      <w:r>
        <w:t xml:space="preserve"> </w:t>
      </w:r>
      <w:r>
        <w:t xml:space="preserve">(Komai et al. 2019)</w:t>
      </w:r>
      <w:r>
        <w:t xml:space="preserve"> </w:t>
      </w:r>
      <w:r>
        <w:t xml:space="preserve">、MiMammal</w:t>
      </w:r>
      <w:r>
        <w:t xml:space="preserve"> </w:t>
      </w:r>
      <w:r>
        <w:t xml:space="preserve">(Ushio et al. 2017)</w:t>
      </w:r>
      <w:r>
        <w:t xml:space="preserve"> </w:t>
      </w:r>
      <w:r>
        <w:t xml:space="preserve">、MiBird</w:t>
      </w:r>
      <w:r>
        <w:t xml:space="preserve"> </w:t>
      </w:r>
      <w:r>
        <w:t xml:space="preserve">(Ushio et al. 2018b)</w:t>
      </w:r>
      <w:r>
        <w:t xml:space="preserve"> </w:t>
      </w:r>
      <w:r>
        <w:t xml:space="preserve">、Amph16S</w:t>
      </w:r>
      <w:r>
        <w:t xml:space="preserve"> </w:t>
      </w:r>
      <w:r>
        <w:t xml:space="preserve">(Sakata et al. 2022)</w:t>
      </w:r>
      <w:r>
        <w:t xml:space="preserve"> </w:t>
      </w:r>
      <w:r>
        <w:t xml:space="preserve">、MtInsects-16S</w:t>
      </w:r>
      <w:r>
        <w:t xml:space="preserve"> </w:t>
      </w:r>
      <w:r>
        <w:t xml:space="preserve">(Takenaka et al. 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NNNNNN</w:t>
      </w:r>
      <w:r>
        <w:t xml:space="preserve">を付加することがよくあります。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NNNNNN</w:t>
      </w:r>
      <w:r>
        <w:t xml:space="preserve">のほとんどが</w:t>
      </w:r>
      <w:r>
        <w:rPr>
          <w:rStyle w:val="VerbatimChar"/>
        </w:rPr>
        <w:t xml:space="preserve">TTTTTT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pStyle w:val="SourceCode"/>
      </w:pPr>
      <w:r>
        <w:rPr>
          <w:rStyle w:val="VerbatimChar"/>
        </w:rPr>
        <w:t xml:space="preserve">https://github.com/astanabe/TruSeqStyleIndexPrimers</w:t>
      </w:r>
      <w:r>
        <w:br/>
      </w:r>
      <w:r>
        <w:rPr>
          <w:rStyle w:val="VerbatimChar"/>
        </w:rPr>
        <w:t xml:space="preserve">https://github.com/astanabe/NexteraStyleIndexPrimers</w:t>
      </w:r>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 et al. (2022)</w:t>
      </w:r>
      <w:r>
        <w:t xml:space="preserve"> </w:t>
      </w:r>
      <w:r>
        <w:t xml:space="preserve">のAppendix S1に掲載されています。</w:t>
      </w:r>
    </w:p>
    <w:p>
      <w:pPr>
        <w:pStyle w:val="Heading3"/>
      </w:pPr>
      <w:bookmarkStart w:id="23" w:name="claidentにおけるサンプルidについて"/>
      <w:r>
        <w:t xml:space="preserve">Claidentにおける「サンプルID」について</w:t>
      </w:r>
      <w:bookmarkEnd w:id="23"/>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異なるシーケンスランで複数回シーケンスしたり、同一のサンプルの異なる複数のプライマーの増幅産物を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24" w:name="otuとasvについて"/>
      <w:r>
        <w:t xml:space="preserve">OTUとASVについて</w:t>
      </w:r>
      <w:bookmarkEnd w:id="24"/>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この後の記述やClaidentの中では、OTUとASVに区別はありません。</w:t>
      </w:r>
    </w:p>
    <w:p>
      <w:pPr>
        <w:pStyle w:val="Heading3"/>
      </w:pPr>
      <w:bookmarkStart w:id="25" w:name="必要なファイル群とディレクトリ構造"/>
      <w:r>
        <w:t xml:space="preserve">必要なファイル群とディレクトリ構造</w:t>
      </w:r>
      <w:bookmarkEnd w:id="25"/>
    </w:p>
    <w:p>
      <w:pPr>
        <w:pStyle w:val="FirstParagraph"/>
      </w:pPr>
      <w:r>
        <w:t xml:space="preserve">ここでは、解析の前に用意する必要のあるファイル群を説明します。</w:t>
      </w:r>
    </w:p>
    <w:p>
      <w:pPr>
        <w:pStyle w:val="Heading4"/>
      </w:pPr>
      <w:bookmarkStart w:id="26" w:name="ブランクリストblanklist.txt"/>
      <w:r>
        <w:t xml:space="preserve">ブランクリスト(blanklist.txt)</w:t>
      </w:r>
      <w:bookmarkEnd w:id="26"/>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27" w:name="濾過水量表watervoltable.tsv"/>
      <w:r>
        <w:t xml:space="preserve">濾過水量表(watervoltable.tsv)</w:t>
      </w:r>
      <w:bookmarkEnd w:id="27"/>
    </w:p>
    <w:p>
      <w:pPr>
        <w:pStyle w:val="FirstParagraph"/>
      </w:pPr>
      <w:r>
        <w:t xml:space="preserve">1行に一つのサンプルIDとタブで区切って濾過水量の数値を記述したタブ区切りテキストファイルです。</w:t>
      </w:r>
      <w:r>
        <w:t xml:space="preserve"> </w:t>
      </w:r>
      <w:r>
        <w:t xml:space="preserve">濾過フィルターが複数あって区別して記述したい場合、タブで区切って複数記述します(濃度推定時は合算して処理されます)。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28" w:name="抽出dna溶液量表solutionvoltable.tsv"/>
      <w:r>
        <w:t xml:space="preserve">抽出DNA溶液量表(solutionvoltable.tsv)</w:t>
      </w:r>
      <w:bookmarkEnd w:id="28"/>
    </w:p>
    <w:p>
      <w:pPr>
        <w:pStyle w:val="FirstParagraph"/>
      </w:pPr>
      <w:r>
        <w:t xml:space="preserve">1行に一つのサンプル・ブランクIDとタブで区切って抽出したDNA溶液量の数値を記述したタブ区切りテキストファイルです。</w:t>
      </w:r>
      <w:r>
        <w:t xml:space="preserve"> </w:t>
      </w:r>
      <w:r>
        <w:t xml:space="preserve">濾過フィルターが複数あり、抽出後のDNA溶液も複数あって区別して記述したい場合、タブで区切って複数記述します(濃度推定時は合算して処理されます)。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29" w:name="内部標準dna塩基配列standard.fasta"/>
      <w:r>
        <w:t xml:space="preserve">内部標準DNA塩基配列(standard.fasta)</w:t>
      </w:r>
      <w:bookmarkEnd w:id="29"/>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塩基配列は、合成サービスに対して注文時に使用したものと同一、つまりプライマーのアニールする部位を含んでいても構いませんし、含んでいなくても構いません。</w:t>
      </w:r>
    </w:p>
    <w:p>
      <w:pPr>
        <w:pStyle w:val="Heading4"/>
      </w:pPr>
      <w:bookmarkStart w:id="30" w:name="内部標準dna濃度表stdconctable.tsv"/>
      <w:r>
        <w:t xml:space="preserve">内部標準DNA濃度表(stdconctable.tsv)</w:t>
      </w:r>
      <w:bookmarkEnd w:id="30"/>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p>
    <w:p>
      <w:pPr>
        <w:pStyle w:val="Heading4"/>
      </w:pPr>
      <w:bookmarkStart w:id="31" w:name="X6f92aa88758fb857af311a69c3667a1203ce354"/>
      <w:r>
        <w:t xml:space="preserve">シーケンサの読み始めになる部分配列(forwardprimer.fasta・reverseprimer.fasta)</w:t>
      </w:r>
      <w:bookmarkEnd w:id="31"/>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2" w:name="X4f4f21bef0b7ceaf74a559b150bea30b3b97810"/>
      <w:r>
        <w:t xml:space="preserve">インデックスとして読まれる部分配列(index1.fasta・index2.fasta)</w:t>
      </w:r>
      <w:bookmarkEnd w:id="32"/>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Illumina社シーケンサの</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3" w:name="undemultiplexed-fastq"/>
      <w:r>
        <w:t xml:space="preserve">undemultiplexed FASTQ</w:t>
      </w:r>
      <w:bookmarkEnd w:id="33"/>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でのデマルチプレックスを行うには、LinuxマシンにIllumina社が提供するbcl2fastqというプログラムをインストールし、シーケンサのランデータからインデックス配列を含むデマルチプレックスしていないFASTQ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bcl2fastqは以下のURLから取得できます。</w:t>
      </w:r>
    </w:p>
    <w:p>
      <w:pPr>
        <w:pStyle w:val="SourceCode"/>
      </w:pPr>
      <w:r>
        <w:rPr>
          <w:rStyle w:val="VerbatimChar"/>
        </w:rPr>
        <w:t xml:space="preserve">https://jp.support.illumina.com/sequencing/sequencing_software/bcl2fastq-conversion-software.html</w:t>
      </w:r>
    </w:p>
    <w:p>
      <w:pPr>
        <w:pStyle w:val="FirstParagraph"/>
      </w:pPr>
      <w:r>
        <w:t xml:space="preserve">執筆時点の最新版はv2.20です。</w:t>
      </w:r>
      <w:r>
        <w:t xml:space="preserve"> </w:t>
      </w:r>
      <w:r>
        <w:t xml:space="preserve">Debian・Ubuntu・Linux Mintの場合、Linux rpmと書かれている配布ファイルをダウンロードして作業ディレクトリに置き、ターミナルで以下のコマンドを実行することでインストールできます。</w:t>
      </w:r>
    </w:p>
    <w:p>
      <w:pPr>
        <w:pStyle w:val="SourceCode"/>
      </w:pPr>
      <w:r>
        <w:rPr>
          <w:rStyle w:val="NormalTok"/>
        </w:rPr>
        <w:t xml:space="preserve">sudo apt install rpm2cpio cpio</w:t>
      </w:r>
      <w:r>
        <w:br/>
      </w:r>
      <w:r>
        <w:rPr>
          <w:rStyle w:val="NormalTok"/>
        </w:rPr>
        <w:t xml:space="preserve">cd workingdirectory</w:t>
      </w:r>
      <w:r>
        <w:br/>
      </w:r>
      <w:r>
        <w:rPr>
          <w:rStyle w:val="NormalTok"/>
        </w:rPr>
        <w:t xml:space="preserve">unzip bcl2fastq2-v2-20-0-linux-x86-64.zip</w:t>
      </w:r>
      <w:r>
        <w:br/>
      </w:r>
      <w:r>
        <w:rPr>
          <w:rStyle w:val="NormalTok"/>
        </w:rPr>
        <w:t xml:space="preserve">mkdir temporary</w:t>
      </w:r>
      <w:r>
        <w:br/>
      </w:r>
      <w:r>
        <w:rPr>
          <w:rStyle w:val="NormalTok"/>
        </w:rPr>
        <w:t xml:space="preserve">cd temporary</w:t>
      </w:r>
      <w:r>
        <w:br/>
      </w:r>
      <w:r>
        <w:rPr>
          <w:rStyle w:val="NormalTok"/>
        </w:rPr>
        <w:t xml:space="preserve">rpm2cpio ../bcl2fastq2-v2.20.0.422-Linux-x86_64.rpm | cpio -id</w:t>
      </w:r>
      <w:r>
        <w:br/>
      </w:r>
      <w:r>
        <w:rPr>
          <w:rStyle w:val="NormalTok"/>
        </w:rPr>
        <w:t xml:space="preserve">sudo mkdir -p /usr/local/bin</w:t>
      </w:r>
      <w:r>
        <w:br/>
      </w:r>
      <w:r>
        <w:rPr>
          <w:rStyle w:val="NormalTok"/>
        </w:rPr>
        <w:t xml:space="preserve">sudo cp usr/local/bin/bcl2fastq /usr/local/bin/</w:t>
      </w:r>
      <w:r>
        <w:br/>
      </w:r>
      <w:r>
        <w:rPr>
          <w:rStyle w:val="NormalTok"/>
        </w:rPr>
        <w:t xml:space="preserve">sudo cp -R usr/local/share/css /usr/local/share/</w:t>
      </w:r>
      <w:r>
        <w:br/>
      </w:r>
      <w:r>
        <w:rPr>
          <w:rStyle w:val="NormalTok"/>
        </w:rPr>
        <w:t xml:space="preserve">sudo cp -R usr/local/share/xsl /usr/local/share/</w:t>
      </w:r>
      <w:r>
        <w:br/>
      </w:r>
      <w:r>
        <w:rPr>
          <w:rStyle w:val="NormalTok"/>
        </w:rPr>
        <w:t xml:space="preserve">cd ..</w:t>
      </w:r>
      <w:r>
        <w:br/>
      </w:r>
      <w:r>
        <w:rPr>
          <w:rStyle w:val="NormalTok"/>
        </w:rPr>
        <w:t xml:space="preserve">rm -rf temporary bcl2fastq2-v2.20.0.422-Linux-x86_64.rpm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bcl2fastqでundemultiplexed FASTQを生成するには、</w:t>
      </w:r>
      <w:r>
        <w:rPr>
          <w:rStyle w:val="VerbatimChar"/>
        </w:rPr>
        <w:t xml:space="preserve">SampleSheet.csv</w:t>
      </w:r>
      <w:r>
        <w:t xml:space="preserve">をコピーして</w:t>
      </w:r>
      <w:r>
        <w:rPr>
          <w:rStyle w:val="VerbatimChar"/>
        </w:rPr>
        <w:t xml:space="preserve">Dummy.csv</w:t>
      </w:r>
      <w:r>
        <w:t xml:space="preserve">を作成し、テキストエディタで開いて</w:t>
      </w:r>
      <w:r>
        <w:rPr>
          <w:rStyle w:val="VerbatimChar"/>
        </w:rPr>
        <w:t xml:space="preserve">[Data]</w:t>
      </w:r>
      <w:r>
        <w:t xml:space="preserve">セクションを編集します。</w:t>
      </w:r>
      <w:r>
        <w:t xml:space="preserve"> </w:t>
      </w:r>
      <w:r>
        <w:rPr>
          <w:rStyle w:val="VerbatimChar"/>
        </w:rPr>
        <w:t xml:space="preserve">[Data]</w:t>
      </w:r>
      <w:r>
        <w:t xml:space="preserve">セクションには1行目に各列のラベルが記されており、2行目以降にサンプル名やインデックス配列が記されていますが、2行目以降は削除します。</w:t>
      </w:r>
      <w:r>
        <w:t xml:space="preserve"> </w:t>
      </w:r>
      <w:r>
        <w:t xml:space="preserve">FASTQ生成の際にこのファイルをサンプルシートとして指定することで、bcl2fastqに内蔵されているデマルチプレックス機能を無効化し、undemultiplexed FASTQを作成することができます。</w:t>
      </w:r>
      <w:r>
        <w:t xml:space="preserve"> </w:t>
      </w:r>
      <w:r>
        <w:t xml:space="preserve">8塩基長のデュアルインデックスでフォワード側151サイクル、リバース側151サイクル解読した場合、以下のコマンドでundemultiplexed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bcl2fastq \</w:t>
      </w:r>
      <w:r>
        <w:br/>
      </w:r>
      <w:r>
        <w:rPr>
          <w:rStyle w:val="NormalTok"/>
        </w:rPr>
        <w:t xml:space="preserve">--processing-threads NumberOfCPUcores \</w:t>
      </w:r>
      <w:r>
        <w:br/>
      </w:r>
      <w:r>
        <w:rPr>
          <w:rStyle w:val="NormalTok"/>
        </w:rPr>
        <w:t xml:space="preserve">--create-fastq-for-index-reads \</w:t>
      </w:r>
      <w:r>
        <w:br/>
      </w:r>
      <w:r>
        <w:rPr>
          <w:rStyle w:val="NormalTok"/>
        </w:rPr>
        <w:t xml:space="preserve">--use-bases-mask Y150n,I8,I8,Y150n \</w:t>
      </w:r>
      <w:r>
        <w:br/>
      </w:r>
      <w:r>
        <w:rPr>
          <w:rStyle w:val="NormalTok"/>
        </w:rPr>
        <w:t xml:space="preserve">--runfolder-dir RunDataDirectory \</w:t>
      </w:r>
      <w:r>
        <w:br/>
      </w:r>
      <w:r>
        <w:rPr>
          <w:rStyle w:val="NormalTok"/>
        </w:rPr>
        <w:t xml:space="preserve">--sample-sheet Dummy.csv \</w:t>
      </w:r>
      <w:r>
        <w:br/>
      </w:r>
      <w:r>
        <w:rPr>
          <w:rStyle w:val="NormalTok"/>
        </w:rPr>
        <w:t xml:space="preserve">--output-dir 01_undemultiplexed</w:t>
      </w:r>
    </w:p>
    <w:p>
      <w:pPr>
        <w:pStyle w:val="FirstParagraph"/>
      </w:pPr>
      <w:r>
        <w:t xml:space="preserve">ここで、RunDataDirectoryは、シーケンサ本体、またはシーケンサに付属の解析マシンに保存されている</w:t>
      </w:r>
      <w:r>
        <w:rPr>
          <w:rStyle w:val="VerbatimChar"/>
        </w:rPr>
        <w:t xml:space="preserve">BaseCalls</w:t>
      </w:r>
      <w:r>
        <w:t xml:space="preserve">という名前のディレクトリを含むディレクトリです。</w:t>
      </w:r>
      <w:r>
        <w:t xml:space="preserve"> </w:t>
      </w:r>
      <w:r>
        <w:t xml:space="preserve">予めbcl2fastqをインストールしたマシンにコピーしておく必要があります。</w:t>
      </w:r>
      <w:r>
        <w:t xml:space="preserve"> </w:t>
      </w:r>
      <w:r>
        <w:t xml:space="preserve">NumberOfCPUcoresは処理中に使用するCPUコア数の整数値で置き換えて下さい。</w:t>
      </w:r>
    </w:p>
    <w:p>
      <w:pPr>
        <w:pStyle w:val="BodyText"/>
      </w:pPr>
      <w:r>
        <w:t xml:space="preserve">上記コマンドを実行すると、以下の4ファイルが生成されます。</w:t>
      </w:r>
    </w:p>
    <w:p>
      <w:pPr>
        <w:pStyle w:val="DefinitionTerm"/>
      </w:pPr>
      <w:r>
        <w:t xml:space="preserve">～_I1_001.fastq.gz</w:t>
      </w:r>
    </w:p>
    <w:p>
      <w:pPr>
        <w:pStyle w:val="Definition"/>
      </w:pPr>
      <w:r>
        <w:t xml:space="preserve">index1のundemultiplexed FASTQ (長さ8塩基)</w:t>
      </w:r>
    </w:p>
    <w:p>
      <w:pPr>
        <w:pStyle w:val="DefinitionTerm"/>
      </w:pPr>
      <w:r>
        <w:t xml:space="preserve">～_I2_001.fastq.gz</w:t>
      </w:r>
    </w:p>
    <w:p>
      <w:pPr>
        <w:pStyle w:val="Definition"/>
      </w:pPr>
      <w:r>
        <w:t xml:space="preserve">index2のundemultiplexed FASTQ (長さ8塩基)</w:t>
      </w:r>
    </w:p>
    <w:p>
      <w:pPr>
        <w:pStyle w:val="DefinitionTerm"/>
      </w:pPr>
      <w:r>
        <w:t xml:space="preserve">～_R1_001.fastq.gz</w:t>
      </w:r>
    </w:p>
    <w:p>
      <w:pPr>
        <w:pStyle w:val="Definition"/>
      </w:pPr>
      <w:r>
        <w:t xml:space="preserve">インサートのフォワード側リードのundemultiplexed FASTQ (長さ150塩基)</w:t>
      </w:r>
    </w:p>
    <w:p>
      <w:pPr>
        <w:pStyle w:val="DefinitionTerm"/>
      </w:pPr>
      <w:r>
        <w:t xml:space="preserve">～_R2_001.fastq.gz</w:t>
      </w:r>
    </w:p>
    <w:p>
      <w:pPr>
        <w:pStyle w:val="Definition"/>
      </w:pPr>
      <w:r>
        <w:t xml:space="preserve">インサートのリバース側リードのundemultiplexed FASTQ (長さ150塩基)</w:t>
      </w:r>
    </w:p>
    <w:p>
      <w:pPr>
        <w:pStyle w:val="FirstParagraph"/>
      </w:pPr>
      <w:r>
        <w:t xml:space="preserve">なお、NextSeq 1000・2000やNovaSeq Xなどの新しい機種では、BCL Convertというまた別のプログラムを使用するように変更されています。</w:t>
      </w:r>
    </w:p>
    <w:p>
      <w:pPr>
        <w:pStyle w:val="Heading4"/>
      </w:pPr>
      <w:bookmarkStart w:id="34" w:name="ディレクトリ構造"/>
      <w:r>
        <w:t xml:space="preserve">ディレクトリ構造</w:t>
      </w:r>
      <w:bookmarkEnd w:id="34"/>
    </w:p>
    <w:p>
      <w:pPr>
        <w:pStyle w:val="FirstParagraph"/>
      </w:pPr>
      <w:r>
        <w:t xml:space="preserve">解析開始前の作業ディレクトリ内のファイルとディレクトリは以下の通りです。</w:t>
      </w:r>
    </w:p>
    <w:p>
      <w:pPr>
        <w:numPr>
          <w:ilvl w:val="0"/>
          <w:numId w:val="1007"/>
        </w:numPr>
        <w:pStyle w:val="Compact"/>
      </w:pPr>
      <w:r>
        <w:t xml:space="preserve">作業ディレクトリ</w:t>
      </w:r>
    </w:p>
    <w:p>
      <w:pPr>
        <w:numPr>
          <w:ilvl w:val="1"/>
          <w:numId w:val="1008"/>
        </w:numPr>
        <w:pStyle w:val="Compact"/>
      </w:pPr>
      <w:r>
        <w:t xml:space="preserve">blanklist.txt</w:t>
      </w:r>
    </w:p>
    <w:p>
      <w:pPr>
        <w:numPr>
          <w:ilvl w:val="1"/>
          <w:numId w:val="1008"/>
        </w:numPr>
        <w:pStyle w:val="Compact"/>
      </w:pPr>
      <w:r>
        <w:t xml:space="preserve">watervoltable.tsv</w:t>
      </w:r>
    </w:p>
    <w:p>
      <w:pPr>
        <w:numPr>
          <w:ilvl w:val="1"/>
          <w:numId w:val="1008"/>
        </w:numPr>
        <w:pStyle w:val="Compact"/>
      </w:pPr>
      <w:r>
        <w:t xml:space="preserve">solutionvoltable.tsv</w:t>
      </w:r>
    </w:p>
    <w:p>
      <w:pPr>
        <w:numPr>
          <w:ilvl w:val="1"/>
          <w:numId w:val="1008"/>
        </w:numPr>
        <w:pStyle w:val="Compact"/>
      </w:pPr>
      <w:r>
        <w:t xml:space="preserve">standard.fasta</w:t>
      </w:r>
    </w:p>
    <w:p>
      <w:pPr>
        <w:numPr>
          <w:ilvl w:val="1"/>
          <w:numId w:val="1008"/>
        </w:numPr>
        <w:pStyle w:val="Compact"/>
      </w:pPr>
      <w:r>
        <w:t xml:space="preserve">stdconctable.tsv</w:t>
      </w:r>
    </w:p>
    <w:p>
      <w:pPr>
        <w:numPr>
          <w:ilvl w:val="1"/>
          <w:numId w:val="1008"/>
        </w:numPr>
        <w:pStyle w:val="Compact"/>
      </w:pPr>
      <w:r>
        <w:t xml:space="preserve">forwardprimer.fasta</w:t>
      </w:r>
    </w:p>
    <w:p>
      <w:pPr>
        <w:numPr>
          <w:ilvl w:val="1"/>
          <w:numId w:val="1008"/>
        </w:numPr>
        <w:pStyle w:val="Compact"/>
      </w:pPr>
      <w:r>
        <w:t xml:space="preserve">reverseprimer.fasta</w:t>
      </w:r>
    </w:p>
    <w:p>
      <w:pPr>
        <w:numPr>
          <w:ilvl w:val="1"/>
          <w:numId w:val="1008"/>
        </w:numPr>
        <w:pStyle w:val="Compact"/>
      </w:pPr>
      <w:r>
        <w:t xml:space="preserve">index1.fasta</w:t>
      </w:r>
    </w:p>
    <w:p>
      <w:pPr>
        <w:numPr>
          <w:ilvl w:val="1"/>
          <w:numId w:val="1008"/>
        </w:numPr>
        <w:pStyle w:val="Compact"/>
      </w:pPr>
      <w:r>
        <w:t xml:space="preserve">index2.fasta</w:t>
      </w:r>
    </w:p>
    <w:p>
      <w:pPr>
        <w:numPr>
          <w:ilvl w:val="1"/>
          <w:numId w:val="1008"/>
        </w:numPr>
        <w:pStyle w:val="Compact"/>
      </w:pPr>
      <w:r>
        <w:t xml:space="preserve">01_undemultiplexed (ディレクトリ)</w:t>
      </w:r>
    </w:p>
    <w:p>
      <w:pPr>
        <w:numPr>
          <w:ilvl w:val="2"/>
          <w:numId w:val="1009"/>
        </w:numPr>
        <w:pStyle w:val="Compact"/>
      </w:pPr>
      <w:r>
        <w:t xml:space="preserve">～_I1_001.fastq.gz</w:t>
      </w:r>
    </w:p>
    <w:p>
      <w:pPr>
        <w:numPr>
          <w:ilvl w:val="2"/>
          <w:numId w:val="1009"/>
        </w:numPr>
        <w:pStyle w:val="Compact"/>
      </w:pPr>
      <w:r>
        <w:t xml:space="preserve">～_I2_001.fastq.gz</w:t>
      </w:r>
    </w:p>
    <w:p>
      <w:pPr>
        <w:numPr>
          <w:ilvl w:val="2"/>
          <w:numId w:val="1009"/>
        </w:numPr>
        <w:pStyle w:val="Compact"/>
      </w:pPr>
      <w:r>
        <w:t xml:space="preserve">～_R1_001.fastq.gz</w:t>
      </w:r>
    </w:p>
    <w:p>
      <w:pPr>
        <w:numPr>
          <w:ilvl w:val="2"/>
          <w:numId w:val="1009"/>
        </w:numPr>
        <w:pStyle w:val="Compact"/>
      </w:pPr>
      <w:r>
        <w:t xml:space="preserve">～_R2_001.fastq.gz</w:t>
      </w:r>
    </w:p>
    <w:p>
      <w:pPr>
        <w:pStyle w:val="Heading2"/>
      </w:pPr>
      <w:bookmarkStart w:id="35" w:name="塩基配列データ処理"/>
      <w:r>
        <w:t xml:space="preserve">塩基配列データ処理</w:t>
      </w:r>
      <w:bookmarkEnd w:id="35"/>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コマンドのオプションに含まれているNumberOfCPUcoresは処理中に使用するCPUコア数の整数値で置き換えて下さい。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作業ディレクトリは高速なSSDに設置することを強くお勧めします。</w:t>
      </w:r>
    </w:p>
    <w:p>
      <w:pPr>
        <w:pStyle w:val="Heading3"/>
      </w:pPr>
      <w:bookmarkStart w:id="36" w:name="clsplitseqによるデマルチプレクシング"/>
      <w:r>
        <w:t xml:space="preserve">clsplitseqによるデマルチプレクシング</w:t>
      </w:r>
      <w:bookmarkEnd w:id="36"/>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01_undemultiplexed/Undemultiplexed_R1_001.fastq.gz \</w:t>
      </w:r>
      <w:r>
        <w:br/>
      </w:r>
      <w:r>
        <w:rPr>
          <w:rStyle w:val="NormalTok"/>
        </w:rPr>
        <w:t xml:space="preserve">01_undemultiplexed/Undemultiplexed_I1_001.fastq.gz \</w:t>
      </w:r>
      <w:r>
        <w:br/>
      </w:r>
      <w:r>
        <w:rPr>
          <w:rStyle w:val="NormalTok"/>
        </w:rPr>
        <w:t xml:space="preserve">01_undemultiplexed/Undemultiplexed_I2_001.fastq.gz \</w:t>
      </w:r>
      <w:r>
        <w:br/>
      </w:r>
      <w:r>
        <w:rPr>
          <w:rStyle w:val="NormalTok"/>
        </w:rPr>
        <w:t xml:space="preserve">01_undemultiplexed/Undemultiplexed_R2_001.fastq.gz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プライマー配列の一致度を算出する際に先頭の</w:t>
      </w:r>
      <w:r>
        <w:rPr>
          <w:rStyle w:val="VerbatimChar"/>
        </w:rPr>
        <w:t xml:space="preserve">NNNNNN</w:t>
      </w:r>
      <w:r>
        <w:t xml:space="preserve">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w:t>
      </w:r>
    </w:p>
    <w:p>
      <w:pPr>
        <w:pStyle w:val="FirstParagraph"/>
      </w:pPr>
      <w:r>
        <w:t xml:space="preserve">コマンドラインオプション後に入力ファイル群、出力フォルダ名を与えます。</w:t>
      </w:r>
      <w:r>
        <w:t xml:space="preserve"> </w:t>
      </w:r>
      <w:r>
        <w:t xml:space="preserve">なお、入力ファイルは以下の順で指定します。</w:t>
      </w:r>
    </w:p>
    <w:p>
      <w:pPr>
        <w:numPr>
          <w:ilvl w:val="0"/>
          <w:numId w:val="1010"/>
        </w:numPr>
        <w:pStyle w:val="Compact"/>
      </w:pPr>
      <w:r>
        <w:t xml:space="preserve">インサートのフォワード側リードのundemultiplexed FASTQ</w:t>
      </w:r>
    </w:p>
    <w:p>
      <w:pPr>
        <w:numPr>
          <w:ilvl w:val="0"/>
          <w:numId w:val="1010"/>
        </w:numPr>
        <w:pStyle w:val="Compact"/>
      </w:pPr>
      <w:r>
        <w:t xml:space="preserve">index1のundemultiplexed FASTQ</w:t>
      </w:r>
    </w:p>
    <w:p>
      <w:pPr>
        <w:numPr>
          <w:ilvl w:val="0"/>
          <w:numId w:val="1010"/>
        </w:numPr>
        <w:pStyle w:val="Compact"/>
      </w:pPr>
      <w:r>
        <w:t xml:space="preserve">index2のundemultiplexed FASTQ</w:t>
      </w:r>
    </w:p>
    <w:p>
      <w:pPr>
        <w:numPr>
          <w:ilvl w:val="0"/>
          <w:numId w:val="1010"/>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データサイズが大きいと、この処理は非常に長い時間がかかります。</w:t>
      </w:r>
    </w:p>
    <w:p>
      <w:pPr>
        <w:pStyle w:val="Heading3"/>
      </w:pPr>
      <w:bookmarkStart w:id="37" w:name="clconcatpairvによるペアエンド配列の連結"/>
      <w:r>
        <w:t xml:space="preserve">clconcatpairvによるペアエンド配列の連結</w:t>
      </w:r>
      <w:bookmarkEnd w:id="37"/>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Paired-EndなのかをOVLまたはNONで指定</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38" w:name="clfilterseqvによる低品質配列の除去"/>
      <w:r>
        <w:t xml:space="preserve">clfilterseqvによる低品質配列の除去</w:t>
      </w:r>
      <w:bookmarkEnd w:id="38"/>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and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r>
        <w:t xml:space="preserve"> </w:t>
      </w: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39" w:name="cldenoiseseqdによるデノイジング"/>
      <w:r>
        <w:t xml:space="preserve">cldenoiseseqdによるデノイジング</w:t>
      </w:r>
      <w:bookmarkEnd w:id="39"/>
    </w:p>
    <w:p>
      <w:pPr>
        <w:pStyle w:val="FirstParagraph"/>
      </w:pPr>
      <w:r>
        <w:t xml:space="preserve">以下のコマンドでDADA2</w:t>
      </w:r>
      <w:r>
        <w:t xml:space="preserve"> </w:t>
      </w:r>
      <w:r>
        <w:t xml:space="preserve">(Callahan et al. 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w:t>
      </w:r>
      <w:r>
        <w:t xml:space="preserve"> </w:t>
      </w:r>
      <w:r>
        <w:t xml:space="preserve">Pseudo-pooling法に関してはDADA2の公式Webサイトをご参照下さい。</w:t>
      </w:r>
    </w:p>
    <w:p>
      <w:pPr>
        <w:pStyle w:val="Heading3"/>
      </w:pPr>
      <w:bookmarkStart w:id="40" w:name="clremovechimevによる参照配列データベースを用いないキメラ除去"/>
      <w:r>
        <w:t xml:space="preserve">clremovechimevによる参照配列データベースを用いないキメラ除去</w:t>
      </w:r>
      <w:bookmarkEnd w:id="40"/>
    </w:p>
    <w:p>
      <w:pPr>
        <w:pStyle w:val="FirstParagraph"/>
      </w:pPr>
      <w:r>
        <w:t xml:space="preserve">以下のコマンドでVSEARCH</w:t>
      </w:r>
      <w:r>
        <w:t xml:space="preserve"> </w:t>
      </w:r>
      <w:r>
        <w:t xml:space="preserve">(Rognes et al. 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1" w:name="clclusterstdvによる内部標準配列クラスタリング"/>
      <w:r>
        <w:t xml:space="preserve">clclusterstdvによる内部標準配列クラスタリング</w:t>
      </w:r>
      <w:bookmarkEnd w:id="41"/>
    </w:p>
    <w:p>
      <w:pPr>
        <w:pStyle w:val="FirstParagraph"/>
      </w:pPr>
      <w:r>
        <w:t xml:space="preserve">以下のコマンドでVSEARCH</w:t>
      </w:r>
      <w:r>
        <w:t xml:space="preserve"> </w:t>
      </w:r>
      <w:r>
        <w:t xml:space="preserve">(Rognes et al. 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 et al. (2022)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判断が難しい場合は、値を0.90～0.97まで0.01間隔で変化させ、内部標準DNAと判定される配列数が急激に変化するところを探し、変化点の小さい方に設定します。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く定量は不可能と考えられるため、内部標準DNAの合成を業者に依頼するところから全てやり直す必要があります。</w:t>
      </w:r>
    </w:p>
    <w:p>
      <w:pPr>
        <w:pStyle w:val="Heading3"/>
      </w:pPr>
      <w:bookmarkStart w:id="42" w:name="clremovechimevによる参照配列データベースを用いたキメラ除去"/>
      <w:r>
        <w:t xml:space="preserve">clremovechimevによる参照配列データベースを用いたキメラ除去</w:t>
      </w:r>
      <w:bookmarkEnd w:id="42"/>
    </w:p>
    <w:p>
      <w:pPr>
        <w:pStyle w:val="FirstParagraph"/>
      </w:pPr>
      <w:r>
        <w:t xml:space="preserve">以下のコマンドでVSEARCH</w:t>
      </w:r>
      <w:r>
        <w:t xml:space="preserve"> </w:t>
      </w:r>
      <w:r>
        <w:t xml:space="preserve">(Rognes et al. 2016)</w:t>
      </w:r>
      <w:r>
        <w:t xml:space="preserve"> </w:t>
      </w:r>
      <w:r>
        <w:t xml:space="preserve">に実装されているUCHIMEアルゴリズム</w:t>
      </w:r>
      <w:r>
        <w:t xml:space="preserve"> </w:t>
      </w:r>
      <w:r>
        <w:t xml:space="preserve">(Edgar et al. 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rPr>
          <w:rStyle w:val="VerbatimChar"/>
        </w:rPr>
        <w:t xml:space="preserve">standard.fasta</w:t>
      </w:r>
      <w:r>
        <w:t xml:space="preserve"> </w:t>
      </w:r>
      <w:r>
        <w:t xml:space="preserve">(合成業者に依頼した際の配列、すなわち合成エラーを一切含まない配列)ではなく</w:t>
      </w:r>
      <w:r>
        <w:rPr>
          <w:rStyle w:val="VerbatimChar"/>
        </w:rPr>
        <w:t xml:space="preserve">07_stdclustered/stdvariations.fasta</w:t>
      </w:r>
      <w:r>
        <w:t xml:space="preserve"> </w:t>
      </w:r>
      <w:r>
        <w:t xml:space="preserve">(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43" w:name="clremovecontamによるインデックスホッピング除去"/>
      <w:r>
        <w:t xml:space="preserve">clremovecontamによるインデックスホッピング除去</w:t>
      </w:r>
      <w:bookmarkEnd w:id="43"/>
    </w:p>
    <w:p>
      <w:pPr>
        <w:pStyle w:val="FirstParagraph"/>
      </w:pPr>
      <w:r>
        <w:t xml:space="preserve">以下のコマンドで、</w:t>
      </w:r>
      <w:r>
        <w:t xml:space="preserve"> </w:t>
      </w:r>
      <w:r>
        <w:t xml:space="preserve">Esling et al. (2015)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44" w:name="Xa289b86ea08d3f3d275e124ff6c56b49de31ee7"/>
      <w:r>
        <w:t xml:space="preserve">clremovecontamとネガティブコントロールを利用したデコンタミネーション</w:t>
      </w:r>
      <w:bookmarkEnd w:id="44"/>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45" w:name="分子同定"/>
      <w:r>
        <w:t xml:space="preserve">分子同定</w:t>
      </w:r>
      <w:bookmarkEnd w:id="45"/>
    </w:p>
    <w:p>
      <w:pPr>
        <w:pStyle w:val="FirstParagraph"/>
      </w:pPr>
      <w:r>
        <w:t xml:space="preserve">ここでは、QCauto法と95%-3NN法</w:t>
      </w:r>
      <w:r>
        <w:t xml:space="preserve"> </w:t>
      </w:r>
      <w:r>
        <w:t xml:space="preserve">(Tanabe and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46" w:name="分子同定用参照配列データベース"/>
      <w:r>
        <w:t xml:space="preserve">分子同定用参照配列データベース</w:t>
      </w:r>
      <w:bookmarkEnd w:id="46"/>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47" w:name="clmakecachedbによるキャッシュデータベースの生成"/>
      <w:r>
        <w:t xml:space="preserve">clmakecachedbによるキャッシュデータベースの生成</w:t>
      </w:r>
      <w:bookmarkEnd w:id="47"/>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48" w:name="qcauto法による分子同定"/>
      <w:r>
        <w:t xml:space="preserve">QCauto法による分子同定</w:t>
      </w:r>
      <w:bookmarkEnd w:id="48"/>
    </w:p>
    <w:p>
      <w:pPr>
        <w:pStyle w:val="Heading4"/>
      </w:pPr>
      <w:bookmarkStart w:id="49" w:name="clidentseqによる近隣配列群の取得"/>
      <w:r>
        <w:t xml:space="preserve">clidentseqによる近隣配列群の取得</w:t>
      </w:r>
      <w:bookmarkEnd w:id="49"/>
    </w:p>
    <w:p>
      <w:pPr>
        <w:pStyle w:val="FirstParagraph"/>
      </w:pPr>
      <w:r>
        <w:t xml:space="preserve">ほげほげ</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ほげほげ</w:t>
      </w:r>
    </w:p>
    <w:p>
      <w:pPr>
        <w:pStyle w:val="Heading4"/>
      </w:pPr>
      <w:bookmarkStart w:id="50" w:name="classigntaxによる分類群の割当"/>
      <w:r>
        <w:t xml:space="preserve">classigntaxによる分類群の割当</w:t>
      </w:r>
      <w:bookmarkEnd w:id="50"/>
    </w:p>
    <w:p>
      <w:pPr>
        <w:pStyle w:val="FirstParagraph"/>
      </w:pPr>
      <w:r>
        <w:t xml:space="preserve">ほげほげ</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ほげほげ</w:t>
      </w:r>
    </w:p>
    <w:p>
      <w:pPr>
        <w:pStyle w:val="Heading3"/>
      </w:pPr>
      <w:bookmarkStart w:id="51" w:name="nn法による分子同定"/>
      <w:r>
        <w:t xml:space="preserve">95%-3NN法による分子同定</w:t>
      </w:r>
      <w:bookmarkEnd w:id="51"/>
    </w:p>
    <w:p>
      <w:pPr>
        <w:pStyle w:val="Heading4"/>
      </w:pPr>
      <w:bookmarkStart w:id="52" w:name="clidentseqによる近隣配列群の取得-1"/>
      <w:r>
        <w:t xml:space="preserve">clidentseqによる近隣配列群の取得</w:t>
      </w:r>
      <w:bookmarkEnd w:id="52"/>
    </w:p>
    <w:p>
      <w:pPr>
        <w:pStyle w:val="FirstParagraph"/>
      </w:pPr>
      <w:r>
        <w:t xml:space="preserve">ほげほげ</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FirstParagraph"/>
      </w:pPr>
      <w:r>
        <w:t xml:space="preserve">ほげほげ</w:t>
      </w:r>
    </w:p>
    <w:p>
      <w:pPr>
        <w:pStyle w:val="Heading4"/>
      </w:pPr>
      <w:bookmarkStart w:id="53" w:name="classigntaxによる分類群の割当-1"/>
      <w:r>
        <w:t xml:space="preserve">classigntaxによる分類群の割当</w:t>
      </w:r>
      <w:bookmarkEnd w:id="53"/>
    </w:p>
    <w:p>
      <w:pPr>
        <w:pStyle w:val="FirstParagraph"/>
      </w:pPr>
      <w:r>
        <w:t xml:space="preserve">ほげほげ</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ほげほげ</w:t>
      </w:r>
    </w:p>
    <w:p>
      <w:pPr>
        <w:pStyle w:val="Heading3"/>
      </w:pPr>
      <w:bookmarkStart w:id="54" w:name="clmakeidentdbによる分子同定結果の再利用"/>
      <w:r>
        <w:t xml:space="preserve">clmakeidentdbによる分子同定結果の再利用</w:t>
      </w:r>
      <w:bookmarkEnd w:id="54"/>
    </w:p>
    <w:p>
      <w:pPr>
        <w:pStyle w:val="FirstParagraph"/>
      </w:pPr>
      <w:r>
        <w:t xml:space="preserve">ほげほげ</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clmakecachedbとclidentseq</w:t>
      </w:r>
    </w:p>
    <w:p>
      <w:pPr>
        <w:pStyle w:val="Heading3"/>
      </w:pPr>
      <w:bookmarkStart w:id="55" w:name="clmergeassignによる複数の分子同定結果のマージ"/>
      <w:r>
        <w:t xml:space="preserve">clmergeassignによる複数の分子同定結果のマージ</w:t>
      </w:r>
      <w:bookmarkEnd w:id="55"/>
    </w:p>
    <w:p>
      <w:pPr>
        <w:pStyle w:val="FirstParagraph"/>
      </w:pPr>
      <w:r>
        <w:t xml:space="preserve">ほげほげ</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ほげほげ</w:t>
      </w:r>
    </w:p>
    <w:p>
      <w:pPr>
        <w:pStyle w:val="Heading3"/>
      </w:pPr>
      <w:bookmarkStart w:id="56" w:name="clfillassignによる分子同定結果の穴埋め"/>
      <w:r>
        <w:t xml:space="preserve">clfillassignによる分子同定結果の穴埋め</w:t>
      </w:r>
      <w:bookmarkEnd w:id="56"/>
    </w:p>
    <w:p>
      <w:pPr>
        <w:pStyle w:val="FirstParagraph"/>
      </w:pPr>
      <w:r>
        <w:t xml:space="preserve">ほげほげ</w:t>
      </w:r>
    </w:p>
    <w:p>
      <w:pPr>
        <w:pStyle w:val="SourceCode"/>
      </w:pPr>
      <w:r>
        <w:rPr>
          <w:rStyle w:val="NormalTok"/>
        </w:rPr>
        <w:t xml:space="preserve">clfillassign \</w:t>
      </w:r>
      <w:r>
        <w:br/>
      </w:r>
      <w:r>
        <w:rPr>
          <w:rStyle w:val="NormalTok"/>
        </w:rPr>
        <w:t xml:space="preserve">11_taxonomy/taxonomy_merged.tsv \</w:t>
      </w:r>
      <w:r>
        <w:br/>
      </w:r>
      <w:r>
        <w:rPr>
          <w:rStyle w:val="NormalTok"/>
        </w:rPr>
        <w:t xml:space="preserve">11_taxonomy/taxonomy_merged_filled.tsv</w:t>
      </w:r>
    </w:p>
    <w:p>
      <w:pPr>
        <w:pStyle w:val="FirstParagraph"/>
      </w:pPr>
      <w:r>
        <w:t xml:space="preserve">ほげほげ</w:t>
      </w:r>
    </w:p>
    <w:p>
      <w:pPr>
        <w:pStyle w:val="Heading2"/>
      </w:pPr>
      <w:bookmarkStart w:id="57" w:name="サンプルotu表の作成"/>
      <w:r>
        <w:t xml:space="preserve">サンプル×OTU表の作成</w:t>
      </w:r>
      <w:bookmarkEnd w:id="57"/>
    </w:p>
    <w:p>
      <w:pPr>
        <w:pStyle w:val="FirstParagraph"/>
      </w:pPr>
      <w:r>
        <w:t xml:space="preserve">ほげほげ</w:t>
      </w:r>
    </w:p>
    <w:p>
      <w:pPr>
        <w:pStyle w:val="SourceCode"/>
      </w:pPr>
      <w:r>
        <w:rPr>
          <w:rStyle w:val="NormalTok"/>
        </w:rPr>
        <w:t xml:space="preserve">mkdir -p 12_community</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12_community/sample_otu_matrix_raw.tsv</w:t>
      </w:r>
    </w:p>
    <w:p>
      <w:pPr>
        <w:pStyle w:val="Heading3"/>
      </w:pPr>
      <w:bookmarkStart w:id="58" w:name="clfiltersumによるサンプルotu表の加工"/>
      <w:r>
        <w:t xml:space="preserve">clfiltersumによるサンプル×OTU表の加工</w:t>
      </w:r>
      <w:bookmarkEnd w:id="58"/>
    </w:p>
    <w:p>
      <w:pPr>
        <w:pStyle w:val="FirstParagraph"/>
      </w:pPr>
      <w:r>
        <w:t xml:space="preserve">ほげほげ</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12_community/sample_otu_matrix_raw.tsv \</w:t>
      </w:r>
      <w:r>
        <w:br/>
      </w:r>
      <w:r>
        <w:rPr>
          <w:rStyle w:val="NormalTok"/>
        </w:rPr>
        <w:t xml:space="preserve">12_community/sample_otu_matrix_standard.tsv</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10_decontaminated/decontaminated.tsv \</w:t>
      </w:r>
      <w:r>
        <w:br/>
      </w:r>
      <w:r>
        <w:rPr>
          <w:rStyle w:val="NormalTok"/>
        </w:rPr>
        <w:t xml:space="preserve">12_community/sample_otu_matrix_fishes.tsv</w:t>
      </w:r>
    </w:p>
    <w:p>
      <w:pPr>
        <w:pStyle w:val="FirstParagraph"/>
      </w:pPr>
      <w:r>
        <w:t xml:space="preserve">ほげほげ</w:t>
      </w:r>
    </w:p>
    <w:p>
      <w:pPr>
        <w:pStyle w:val="Heading3"/>
      </w:pPr>
      <w:bookmarkStart w:id="59" w:name="clrarefysumによるサンプルotu表のカバレッジベースレアファクション"/>
      <w:r>
        <w:t xml:space="preserve">clrarefysumによるサンプル×OTU表のカバレッジベースレアファクション</w:t>
      </w:r>
      <w:bookmarkEnd w:id="59"/>
    </w:p>
    <w:p>
      <w:pPr>
        <w:pStyle w:val="FirstParagraph"/>
      </w:pPr>
      <w:r>
        <w:t xml:space="preserve">ほげほげ</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12_community/sample_otu_matrix_fishes_rarefied</w:t>
      </w:r>
    </w:p>
    <w:p>
      <w:pPr>
        <w:pStyle w:val="FirstParagraph"/>
      </w:pPr>
      <w:r>
        <w:t xml:space="preserve">ほげほげ</w:t>
      </w:r>
    </w:p>
    <w:p>
      <w:pPr>
        <w:pStyle w:val="Heading3"/>
      </w:pPr>
      <w:bookmarkStart w:id="60" w:name="clestimateconcと内部標準dnaリード数を用いたdna濃度の推定"/>
      <w:r>
        <w:t xml:space="preserve">clestimateconcと内部標準DNAリード数を用いたDNA濃度の推定</w:t>
      </w:r>
      <w:bookmarkEnd w:id="60"/>
    </w:p>
    <w:p>
      <w:pPr>
        <w:pStyle w:val="FirstParagraph"/>
      </w:pPr>
      <w:r>
        <w:t xml:space="preserve">ほげほげ</w:t>
      </w:r>
    </w:p>
    <w:p>
      <w:pPr>
        <w:pStyle w:val="SourceCode"/>
      </w:pPr>
      <w:r>
        <w:rPr>
          <w:rStyle w:val="NormalTok"/>
        </w:rPr>
        <w:t xml:space="preserve">clestimateconc \</w:t>
      </w:r>
      <w:r>
        <w:br/>
      </w:r>
      <w:r>
        <w:rPr>
          <w:rStyle w:val="NormalTok"/>
        </w:rPr>
        <w:t xml:space="preserve">--stdconctable=stdconctable.tsv \</w:t>
      </w:r>
      <w:r>
        <w:br/>
      </w:r>
      <w:r>
        <w:rPr>
          <w:rStyle w:val="NormalTok"/>
        </w:rPr>
        <w:t xml:space="preserve">--stdtable=12_community/sample_otu_matrix_standard.tsv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12_community/sample_otu_matrix_fishes_rarefied01.tsv \</w:t>
      </w:r>
      <w:r>
        <w:br/>
      </w:r>
      <w:r>
        <w:rPr>
          <w:rStyle w:val="NormalTok"/>
        </w:rPr>
        <w:t xml:space="preserve">12_community/sample_otu_matrix_fishes_rarefied01_estimated.tsv</w:t>
      </w:r>
    </w:p>
    <w:p>
      <w:pPr>
        <w:pStyle w:val="FirstParagraph"/>
      </w:pPr>
      <w:r>
        <w:t xml:space="preserve">ほげほげ</w:t>
      </w:r>
    </w:p>
    <w:p>
      <w:pPr>
        <w:pStyle w:val="Heading3"/>
      </w:pPr>
      <w:bookmarkStart w:id="61" w:name="サンプルotu表を用いた群集生態学的解析"/>
      <w:r>
        <w:t xml:space="preserve">サンプル×OTU表を用いた群集生態学的解析</w:t>
      </w:r>
      <w:bookmarkEnd w:id="61"/>
    </w:p>
    <w:p>
      <w:pPr>
        <w:pStyle w:val="FirstParagraph"/>
      </w:pPr>
      <w:r>
        <w:t xml:space="preserve">セルが自然数であることを仮定→非定量</w:t>
      </w:r>
      <w:r>
        <w:t xml:space="preserve"> </w:t>
      </w:r>
      <w:r>
        <w:t xml:space="preserve">時系列データ分析など、定量データである必要がある場合→定量</w:t>
      </w:r>
      <w:r>
        <w:t xml:space="preserve"> </w:t>
      </w:r>
      <w:r>
        <w:t xml:space="preserve">サンプル間・異なるシーケンスランのサンプル間での比較をしたい場合→定量</w:t>
      </w:r>
      <w:r>
        <w:t xml:space="preserve"> </w:t>
      </w:r>
      <w:r>
        <w:t xml:space="preserve">シングルトンやダブルトンの数から近似的にカバレッジを推定する手法は使用できない。</w:t>
      </w:r>
      <w:r>
        <w:t xml:space="preserve"> </w:t>
      </w:r>
      <w:r>
        <w:t xml:space="preserve">Chao指数はダメ</w:t>
      </w:r>
      <w:r>
        <w:t xml:space="preserve"> </w:t>
      </w:r>
      <w:r>
        <w:t xml:space="preserve">iNEXTはダメ</w:t>
      </w:r>
    </w:p>
    <w:p>
      <w:pPr>
        <w:pStyle w:val="Heading1"/>
      </w:pPr>
      <w:bookmarkStart w:id="62" w:name="引用文献"/>
      <w:r>
        <w:t xml:space="preserve">引用文献</w:t>
      </w:r>
      <w:bookmarkEnd w:id="62"/>
    </w:p>
    <w:bookmarkStart w:id="83" w:name="refs"/>
    <w:bookmarkStart w:id="63" w:name="X6de2a223c072cfc9bc041e5aa44c5820b8de666"/>
    <w:p>
      <w:pPr>
        <w:pStyle w:val="Bibliography"/>
      </w:pPr>
      <w:r>
        <w:t xml:space="preserve">Callahan, B. J., P. J. McMurdie, M. J. Rosen, A. W. Han, A. J. A. Johnson, and S. P. Holmes. 2016. DADA2: High-resolution sample inference from Illumina amplicon data. Nature Methods 13:581–583.</w:t>
      </w:r>
    </w:p>
    <w:bookmarkEnd w:id="63"/>
    <w:bookmarkStart w:id="64" w:name="X3be505009a62da157b8323bcfd4b2c20524613f"/>
    <w:p>
      <w:pPr>
        <w:pStyle w:val="Bibliography"/>
      </w:pPr>
      <w:r>
        <w:t xml:space="preserve">Chao, A., and L. Jost. 2012. Coverage-based rarefaction and extrapolation: Standardizing samples by completeness rather than size. Ecology 93:2533–2547.</w:t>
      </w:r>
    </w:p>
    <w:bookmarkEnd w:id="64"/>
    <w:bookmarkStart w:id="65" w:name="ref-Edgar2010Searchclusteringorders"/>
    <w:p>
      <w:pPr>
        <w:pStyle w:val="Bibliography"/>
      </w:pPr>
      <w:r>
        <w:t xml:space="preserve">Edgar, R. C. 2010. Search and clustering orders of magnitude faster than BLAST. Bioinformatics 26:2460–2461.</w:t>
      </w:r>
    </w:p>
    <w:bookmarkEnd w:id="65"/>
    <w:bookmarkStart w:id="66" w:name="ref-Edgar2016UCHIME2improvedchimera"/>
    <w:p>
      <w:pPr>
        <w:pStyle w:val="Bibliography"/>
      </w:pPr>
      <w:r>
        <w:t xml:space="preserve">Edgar, R. C. 2016, September. UCHIME2: Improved chimera prediction for amplicon sequencing. bioRxiv.</w:t>
      </w:r>
    </w:p>
    <w:bookmarkEnd w:id="66"/>
    <w:bookmarkStart w:id="67" w:name="ref-Edgar2015Errorfilteringpair"/>
    <w:p>
      <w:pPr>
        <w:pStyle w:val="Bibliography"/>
      </w:pPr>
      <w:r>
        <w:t xml:space="preserve">Edgar, R. C., and H. Flyvbjerg. 2015. Error filtering, pair assembly and error correction for next-generation sequencing reads. Bioinformatics 31:3476–3482.</w:t>
      </w:r>
    </w:p>
    <w:bookmarkEnd w:id="67"/>
    <w:bookmarkStart w:id="68" w:name="ref-Edgar2011UCHIMEimprovessensitivity"/>
    <w:p>
      <w:pPr>
        <w:pStyle w:val="Bibliography"/>
      </w:pPr>
      <w:r>
        <w:t xml:space="preserve">Edgar, R. C., B. J. Haas, J. C. Clemente, C. Quince, and R. Knight. 2011. UCHIME improves sensitivity and speed of chimera detection. Bioinformatics 27:2194–2200.</w:t>
      </w:r>
    </w:p>
    <w:bookmarkEnd w:id="68"/>
    <w:bookmarkStart w:id="69" w:name="X7b30066f7ad789bde3b87197594d92104dbe379"/>
    <w:p>
      <w:pPr>
        <w:pStyle w:val="Bibliography"/>
      </w:pPr>
      <w:r>
        <w:t xml:space="preserve">Esling, P., F. Lejzerowicz, and J. Pawlowski. 2015. Accurate multiplexing and filtering for high-throughput amplicon-sequencing. Nucleic Acids Research 43:2513–2524.</w:t>
      </w:r>
    </w:p>
    <w:bookmarkEnd w:id="69"/>
    <w:bookmarkStart w:id="70" w:name="ref-Komai2019Developmentnewset"/>
    <w:p>
      <w:pPr>
        <w:pStyle w:val="Bibliography"/>
      </w:pPr>
      <w:r>
        <w:t xml:space="preserve">Komai, T., R. O. Gotoh, T. Sado, and M. Miya. 2019. Development of a new set of PCR primers for eDNA metabarcoding decapod crustaceans. Metabarcoding and Metagenomics 3:e33835.</w:t>
      </w:r>
    </w:p>
    <w:bookmarkEnd w:id="70"/>
    <w:bookmarkStart w:id="71" w:name="X49cf763435f0da31f7181be37a696ec8530c862"/>
    <w:p>
      <w:pPr>
        <w:pStyle w:val="Bibliography"/>
      </w:pPr>
      <w:r>
        <w:t xml:space="preserve">Miya, M., R. O. Gotoh, and T. Sado. 2020. MiFish metabarcoding: A high-throughput approach for simultaneous detection of multiple fish species from environmental DNA and other samples. Fisheries Science 86:939–970.</w:t>
      </w:r>
    </w:p>
    <w:bookmarkEnd w:id="71"/>
    <w:bookmarkStart w:id="72" w:name="ref-Miya2015MiFishsetuniversal"/>
    <w:p>
      <w:pPr>
        <w:pStyle w:val="Bibliography"/>
      </w:pPr>
      <w:r>
        <w:t xml:space="preserve">Miya, M., Y. Sato, T. Fukunaga, T. Sado, J. Y. Poulsen, K. Sato, T. Minamoto, S. Yamamoto, H. Yamanaka, H. Araki, M. Kondoh, and W. Iwasaki. 2015. MiFish, a set of universal PCR primers for metabarcoding environmental DNA from fishes: Detection of more than 230 subtropical marine species. Royal Society Open Science 2:150088.</w:t>
      </w:r>
    </w:p>
    <w:bookmarkEnd w:id="72"/>
    <w:bookmarkStart w:id="73" w:name="ref-Rognes2016VSEARCHversatileopen"/>
    <w:p>
      <w:pPr>
        <w:pStyle w:val="Bibliography"/>
      </w:pPr>
      <w:r>
        <w:t xml:space="preserve">Rognes, T., T. Flouri, B. Nichols, C. Quince, and F. Mahé. 2016. VSEARCH: A versatile open source tool for metagenomics. PeerJ 4:e2584.</w:t>
      </w:r>
    </w:p>
    <w:bookmarkEnd w:id="73"/>
    <w:bookmarkStart w:id="74" w:name="ref-Sakata2022DevelopmentevaluationPCR"/>
    <w:p>
      <w:pPr>
        <w:pStyle w:val="Bibliography"/>
      </w:pPr>
      <w:r>
        <w:t xml:space="preserve">Sakata, M. K., M. U. Kawata, A. Kurabayashi, T. Kurita, M. Nakamura, T. Shirako, R. Kakehashi, K. Nishikawa, M. Y. Hossman, T. Nishijima, J. Kabamoto, M. Miya, and T. Minamoto. 2022. Development and evaluation of PCR primers for environmental DNA (eDNA) metabarcoding of Amphibia. Metabarcoding and Metagenomics 6:e76534.</w:t>
      </w:r>
    </w:p>
    <w:bookmarkEnd w:id="74"/>
    <w:bookmarkStart w:id="75" w:name="ref-Sato2018MitoFishMiFishPipeline"/>
    <w:p>
      <w:pPr>
        <w:pStyle w:val="Bibliography"/>
      </w:pPr>
      <w:r>
        <w:t xml:space="preserve">Sato, Y., M. Miya, T. Fukunaga, T. Sado, and W. Iwasaki. 2018. MitoFish and MiFish Pipeline: A Mitochondrial Genome Database of Fish with an Analysis Pipeline for Environmental DNA Metabarcoding. Molecular Biology and Evolution 35:1553–1555.</w:t>
      </w:r>
    </w:p>
    <w:bookmarkEnd w:id="75"/>
    <w:bookmarkStart w:id="76" w:name="ref-Takenaka2023DevelopmentnovelPCR"/>
    <w:p>
      <w:pPr>
        <w:pStyle w:val="Bibliography"/>
      </w:pPr>
      <w:r>
        <w:t xml:space="preserve">Takenaka, M., K. Yano, T. Suzuki, and K. Tojo. 2023. Development of novel PCR primer sets for DNA barcoding of aquatic insects, and the discovery of some cryptic species. Limnology 24:121–136.</w:t>
      </w:r>
    </w:p>
    <w:bookmarkEnd w:id="76"/>
    <w:bookmarkStart w:id="77" w:name="ref-Tanabe2013TwoNewComputational"/>
    <w:p>
      <w:pPr>
        <w:pStyle w:val="Bibliography"/>
      </w:pPr>
      <w:r>
        <w:t xml:space="preserve">Tanabe, A. S., and H. Toju. 2013. Two New Computational Methods for Universal DNA Barcoding: A Benchmark Using Barcode Sequences of Bacteria, Archaea, Animals, Fungi, and Land Plants. PLOS ONE 8:e76910.</w:t>
      </w:r>
    </w:p>
    <w:bookmarkEnd w:id="77"/>
    <w:bookmarkStart w:id="78" w:name="ref-Ushio2017EnvironmentalDNAenables"/>
    <w:p>
      <w:pPr>
        <w:pStyle w:val="Bibliography"/>
      </w:pPr>
      <w:r>
        <w:t xml:space="preserve">Ushio, M., H. Fukuda, T. Inoue, K. Makoto, O. Kishida, K. Sato, K. Murata, M. Nikaido, T. Sado, Y. Sato, M. Takeshita, W. Iwasaki, H. Yamanaka, M. Kondoh, and M. Miya. 2017. Environmental DNA enables detection of terrestrial mammals from forest pond water. Molecular Ecology Resources 17:e63–e75.</w:t>
      </w:r>
    </w:p>
    <w:bookmarkEnd w:id="78"/>
    <w:bookmarkStart w:id="79" w:name="Xa784d30867563540627e1d7a6dcc22df1df8fb8"/>
    <w:p>
      <w:pPr>
        <w:pStyle w:val="Bibliography"/>
      </w:pPr>
      <w:r>
        <w:t xml:space="preserve">Ushio, M., S. Furukawa, H. Murakami, R. Masuda, and A. J. Nagano. 2022. An efficient early-pooling protocol for environmental DNA metabarcoding. Environmental DNA 4:1212–1228.</w:t>
      </w:r>
    </w:p>
    <w:bookmarkEnd w:id="79"/>
    <w:bookmarkStart w:id="80" w:name="Xb70268fb8d30bc36d7218049aa0a0593819a413"/>
    <w:p>
      <w:pPr>
        <w:pStyle w:val="Bibliography"/>
      </w:pPr>
      <w:r>
        <w:t xml:space="preserve">Ushio, M., H. Murakami, R. Masuda, T. Sado, M. Miya, S. Sakurai, H. Yamanaka, T. Minamoto, and M. Kondoh. 2018a. Quantitative monitoring of multispecies fish environmental DNA using high-throughput sequencing. Metabarcoding and Metagenomics 2:e23297.</w:t>
      </w:r>
    </w:p>
    <w:bookmarkEnd w:id="80"/>
    <w:bookmarkStart w:id="81" w:name="X825629c0fd5f4225af5d59edf6d209b5c564ef2"/>
    <w:p>
      <w:pPr>
        <w:pStyle w:val="Bibliography"/>
      </w:pPr>
      <w:r>
        <w:t xml:space="preserve">Ushio, M., K. Murata, T. Sado, I. Nishiumi, M. Takeshita, W. Iwasaki, and M. Miya. 2018b. Demonstration of the potential of environmental DNA as a tool for the detection of avian species. Scientific Reports 8:4493.</w:t>
      </w:r>
    </w:p>
    <w:bookmarkEnd w:id="81"/>
    <w:bookmarkStart w:id="82" w:name="ref-Zhu2023MitoFishMitoAnnotatorMiFish"/>
    <w:p>
      <w:pPr>
        <w:pStyle w:val="Bibliography"/>
      </w:pPr>
      <w:r>
        <w:t xml:space="preserve">Zhu, T., Y. Sato, T. Sado, M. Miya, and W. Iwasaki. 2023. MitoFish, MitoAnnotator, and MiFish Pipeline: Updates in 10 Years. Molecular Biology and Evolution 40:msad035.</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2024-01-23T05:21:51Z</dcterms:created>
  <dcterms:modified xsi:type="dcterms:W3CDTF">2024-01-23T05:21:51Z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ecology.csl</vt:lpwstr>
  </property>
  <property fmtid="{D5CDD505-2E9C-101B-9397-08002B2CF9AE}" pid="5" name="date">
    <vt:lpwstr>2024-01-22</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