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2024-01-24</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 et al., 2018; Zhu et al., 2023)</w:t>
      </w:r>
      <w:r>
        <w:t xml:space="preserve">との違いは、大まかには以下の通りです。</w:t>
      </w:r>
    </w:p>
    <w:p>
      <w:pPr>
        <w:numPr>
          <w:ilvl w:val="0"/>
          <w:numId w:val="1001"/>
        </w:numPr>
        <w:pStyle w:val="Compact"/>
      </w:pPr>
      <w:r>
        <w:t xml:space="preserve">MiFishプライマー</w:t>
      </w:r>
      <w:r>
        <w:t xml:space="preserve"> </w:t>
      </w:r>
      <w:r>
        <w:t xml:space="preserve">(Miya et al., 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 Murakami, et al., 2018)</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w:t>
      </w:r>
    </w:p>
    <w:p>
      <w:pPr>
        <w:numPr>
          <w:ilvl w:val="0"/>
          <w:numId w:val="1004"/>
        </w:numPr>
        <w:pStyle w:val="Compact"/>
      </w:pPr>
      <w:r>
        <w:t xml:space="preserve">Ubuntu 20.04以降 (Windows上のWSL2環境を含む)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(Windows上のWSL2環境を含む)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Windowsをご使用の方は、Microsoft Storeから「Windows Subsystem for Linux」、「Ubuntu」および「Windows Terminal」をインストールすれば、Ubuntu環境内にClaidentをインストールすることができます。</w:t>
      </w:r>
      <w:r>
        <w:t xml:space="preserve"> </w:t>
      </w: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4" w:name="データ解析全体の流れと前提条件"/>
      <w:r>
        <w:t xml:space="preserve">データ解析全体の流れと前提条件</w:t>
      </w:r>
      <w:bookmarkEnd w:id="24"/>
    </w:p>
    <w:p>
      <w:pPr>
        <w:pStyle w:val="FirstParagraph"/>
      </w:pPr>
      <w:r>
        <w:t xml:space="preserve">Claidentによるデータ解析は、以下の流れで行います。</w:t>
      </w:r>
    </w:p>
    <w:p>
      <w:pPr>
        <w:numPr>
          <w:ilvl w:val="0"/>
          <w:numId w:val="1005"/>
        </w:numPr>
        <w:pStyle w:val="Compact"/>
      </w:pPr>
      <w:r>
        <w:t xml:space="preserve">デマルチプレクシング</w:t>
      </w:r>
    </w:p>
    <w:p>
      <w:pPr>
        <w:numPr>
          <w:ilvl w:val="0"/>
          <w:numId w:val="1005"/>
        </w:numPr>
        <w:pStyle w:val="Compact"/>
      </w:pPr>
      <w:r>
        <w:t xml:space="preserve">ペアエンド配列の連結</w:t>
      </w:r>
    </w:p>
    <w:p>
      <w:pPr>
        <w:numPr>
          <w:ilvl w:val="0"/>
          <w:numId w:val="1005"/>
        </w:numPr>
        <w:pStyle w:val="Compact"/>
      </w:pPr>
      <w:r>
        <w:t xml:space="preserve">低品質配列の除去</w:t>
      </w:r>
      <w:r>
        <w:t xml:space="preserve"> </w:t>
      </w:r>
      <w:r>
        <w:t xml:space="preserve">(Edgar and Flyvbjerg, 2015)</w:t>
      </w:r>
    </w:p>
    <w:p>
      <w:pPr>
        <w:numPr>
          <w:ilvl w:val="0"/>
          <w:numId w:val="1005"/>
        </w:numPr>
        <w:pStyle w:val="Compact"/>
      </w:pPr>
      <w:r>
        <w:t xml:space="preserve">デノイジング</w:t>
      </w:r>
      <w:r>
        <w:t xml:space="preserve"> </w:t>
      </w:r>
      <w:r>
        <w:t xml:space="preserve">(Callahan et al., 2016)</w:t>
      </w:r>
    </w:p>
    <w:p>
      <w:pPr>
        <w:numPr>
          <w:ilvl w:val="0"/>
          <w:numId w:val="1005"/>
        </w:numPr>
        <w:pStyle w:val="Compact"/>
      </w:pPr>
      <w:r>
        <w:t xml:space="preserve">参照配列データベースを用いないキメラ除去</w:t>
      </w:r>
      <w:r>
        <w:t xml:space="preserve"> </w:t>
      </w:r>
      <w:r>
        <w:t xml:space="preserve">(Edgar, 2016; Rognes et al., 2016)</w:t>
      </w:r>
    </w:p>
    <w:p>
      <w:pPr>
        <w:numPr>
          <w:ilvl w:val="0"/>
          <w:numId w:val="1005"/>
        </w:numPr>
        <w:pStyle w:val="Compact"/>
      </w:pPr>
      <w:r>
        <w:t xml:space="preserve">内部標準配列クラスタリング</w:t>
      </w:r>
      <w:r>
        <w:t xml:space="preserve"> </w:t>
      </w:r>
      <w:r>
        <w:t xml:space="preserve">(Edgar, 2010; Rognes et al., 2016)</w:t>
      </w:r>
    </w:p>
    <w:p>
      <w:pPr>
        <w:numPr>
          <w:ilvl w:val="0"/>
          <w:numId w:val="1005"/>
        </w:numPr>
        <w:pStyle w:val="Compact"/>
      </w:pPr>
      <w:r>
        <w:t xml:space="preserve">参照配列データベースを用いたキメラ除去</w:t>
      </w:r>
      <w:r>
        <w:t xml:space="preserve"> </w:t>
      </w:r>
      <w:r>
        <w:t xml:space="preserve">(Edgar et al., 2011; Rognes et al., 2016)</w:t>
      </w:r>
    </w:p>
    <w:p>
      <w:pPr>
        <w:numPr>
          <w:ilvl w:val="0"/>
          <w:numId w:val="1005"/>
        </w:numPr>
        <w:pStyle w:val="Compact"/>
      </w:pPr>
      <w:r>
        <w:t xml:space="preserve">インデックスホッピング除去</w:t>
      </w:r>
      <w:r>
        <w:t xml:space="preserve"> </w:t>
      </w:r>
      <w:r>
        <w:t xml:space="preserve">(Esling et al., 2015)</w:t>
      </w:r>
    </w:p>
    <w:p>
      <w:pPr>
        <w:numPr>
          <w:ilvl w:val="0"/>
          <w:numId w:val="1005"/>
        </w:numPr>
        <w:pStyle w:val="Compact"/>
      </w:pPr>
      <w:r>
        <w:t xml:space="preserve">ネガティブコントロールを利用したデコンタミネーション</w:t>
      </w:r>
    </w:p>
    <w:p>
      <w:pPr>
        <w:numPr>
          <w:ilvl w:val="0"/>
          <w:numId w:val="1005"/>
        </w:numPr>
        <w:pStyle w:val="Compact"/>
      </w:pPr>
      <w:r>
        <w:t xml:space="preserve">分子同定</w:t>
      </w:r>
      <w:r>
        <w:t xml:space="preserve"> </w:t>
      </w:r>
      <w:r>
        <w:t xml:space="preserve">(Tanabe and Toju, 2013)</w:t>
      </w:r>
    </w:p>
    <w:p>
      <w:pPr>
        <w:numPr>
          <w:ilvl w:val="0"/>
          <w:numId w:val="1005"/>
        </w:numPr>
        <w:pStyle w:val="Compact"/>
      </w:pPr>
      <w:r>
        <w:t xml:space="preserve">群集組成表の作成・加工</w:t>
      </w:r>
    </w:p>
    <w:p>
      <w:pPr>
        <w:numPr>
          <w:ilvl w:val="0"/>
          <w:numId w:val="1005"/>
        </w:numPr>
        <w:pStyle w:val="Compact"/>
      </w:pPr>
      <w:r>
        <w:t xml:space="preserve">カバレッジベースレアファクション</w:t>
      </w:r>
      <w:r>
        <w:t xml:space="preserve"> </w:t>
      </w:r>
      <w:r>
        <w:t xml:space="preserve">(Chao and Jost, 2012)</w:t>
      </w:r>
    </w:p>
    <w:p>
      <w:pPr>
        <w:numPr>
          <w:ilvl w:val="0"/>
          <w:numId w:val="1005"/>
        </w:numPr>
        <w:pStyle w:val="Compact"/>
      </w:pPr>
      <w:r>
        <w:t xml:space="preserve">内部標準DNAリード数を利用したDNA濃度の推定</w:t>
      </w:r>
      <w:r>
        <w:t xml:space="preserve"> </w:t>
      </w:r>
      <w:r>
        <w:t xml:space="preserve">(Ushio, Murakami, et al., 2018)</w:t>
      </w:r>
    </w:p>
    <w:p>
      <w:pPr>
        <w:pStyle w:val="FirstParagraph"/>
      </w:pPr>
      <w:r>
        <w:t xml:space="preserve">最終的に得られた群集組成表をRやその他の統計解析環境で処理することで、作図や要約、仮説検証を行います。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6"/>
        </w:numPr>
        <w:pStyle w:val="Compact"/>
      </w:pPr>
      <w:r>
        <w:t xml:space="preserve">環境水を濾過して濾過フィルターから抽出した環境DNAサンプルとネガティブコントロールとしてのフィールドブランクが含まれる</w:t>
      </w:r>
    </w:p>
    <w:p>
      <w:pPr>
        <w:numPr>
          <w:ilvl w:val="0"/>
          <w:numId w:val="1006"/>
        </w:numPr>
        <w:pStyle w:val="Compact"/>
      </w:pPr>
      <w:r>
        <w:t xml:space="preserve">以下の方法でライブラリ調製</w:t>
      </w:r>
    </w:p>
    <w:p>
      <w:pPr>
        <w:numPr>
          <w:ilvl w:val="1"/>
          <w:numId w:val="1007"/>
        </w:numPr>
        <w:pStyle w:val="Compact"/>
      </w:pPr>
      <w:r>
        <w:t xml:space="preserve">濃度のわかっている複数の内部標準DNAを添加してMiFishプライマーを使用してtailed PCR (1st PCR)</w:t>
      </w:r>
    </w:p>
    <w:p>
      <w:pPr>
        <w:numPr>
          <w:ilvl w:val="1"/>
          <w:numId w:val="1007"/>
        </w:numPr>
        <w:pStyle w:val="Compact"/>
      </w:pPr>
      <w:r>
        <w:t xml:space="preserve">1st PCR産物を鋳型にしてインデックスプライマーを使用してtailed PCR (2nd PCR)</w:t>
      </w:r>
    </w:p>
    <w:p>
      <w:pPr>
        <w:numPr>
          <w:ilvl w:val="0"/>
          <w:numId w:val="1006"/>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08"/>
        </w:numPr>
        <w:pStyle w:val="Compact"/>
      </w:pPr>
      <w:r>
        <w:t xml:space="preserve">サンプル・ブランクのいずれなのか</w:t>
      </w:r>
    </w:p>
    <w:p>
      <w:pPr>
        <w:numPr>
          <w:ilvl w:val="0"/>
          <w:numId w:val="1008"/>
        </w:numPr>
        <w:pStyle w:val="Compact"/>
      </w:pPr>
      <w:r>
        <w:t xml:space="preserve">濾過水量</w:t>
      </w:r>
    </w:p>
    <w:p>
      <w:pPr>
        <w:numPr>
          <w:ilvl w:val="0"/>
          <w:numId w:val="1008"/>
        </w:numPr>
        <w:pStyle w:val="Compact"/>
      </w:pPr>
      <w:r>
        <w:t xml:space="preserve">抽出DNA溶液量(回収液量ではなく、最後の溶出時に使用した液量)</w:t>
      </w:r>
    </w:p>
    <w:p>
      <w:pPr>
        <w:numPr>
          <w:ilvl w:val="0"/>
          <w:numId w:val="1008"/>
        </w:numPr>
        <w:pStyle w:val="Compact"/>
      </w:pPr>
      <w:r>
        <w:t xml:space="preserve">内部標準DNA塩基配列</w:t>
      </w:r>
    </w:p>
    <w:p>
      <w:pPr>
        <w:numPr>
          <w:ilvl w:val="0"/>
          <w:numId w:val="1008"/>
        </w:numPr>
        <w:pStyle w:val="Compact"/>
      </w:pPr>
      <w:r>
        <w:t xml:space="preserve">内部標準DNA濃度</w:t>
      </w:r>
    </w:p>
    <w:p>
      <w:pPr>
        <w:numPr>
          <w:ilvl w:val="0"/>
          <w:numId w:val="1008"/>
        </w:numPr>
        <w:pStyle w:val="Compact"/>
      </w:pPr>
      <w:r>
        <w:t xml:space="preserve">1st PCR時のプライマー配列のうち、シーケンサの読み始めになる部分配列</w:t>
      </w:r>
    </w:p>
    <w:p>
      <w:pPr>
        <w:numPr>
          <w:ilvl w:val="0"/>
          <w:numId w:val="1008"/>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 et al., 2020, 2015)</w:t>
      </w:r>
      <w:r>
        <w:t xml:space="preserve"> </w:t>
      </w:r>
      <w:r>
        <w:t xml:space="preserve">、 MiDeca</w:t>
      </w:r>
      <w:r>
        <w:t xml:space="preserve"> </w:t>
      </w:r>
      <w:r>
        <w:t xml:space="preserve">(Komai et al., 2019)</w:t>
      </w:r>
      <w:r>
        <w:t xml:space="preserve"> </w:t>
      </w:r>
      <w:r>
        <w:t xml:space="preserve">、MiMammal</w:t>
      </w:r>
      <w:r>
        <w:t xml:space="preserve"> </w:t>
      </w:r>
      <w:r>
        <w:t xml:space="preserve">(Ushio et al., 2017)</w:t>
      </w:r>
      <w:r>
        <w:t xml:space="preserve"> </w:t>
      </w:r>
      <w:r>
        <w:t xml:space="preserve">、MiBird</w:t>
      </w:r>
      <w:r>
        <w:t xml:space="preserve"> </w:t>
      </w:r>
      <w:r>
        <w:t xml:space="preserve">(Ushio, Murata, et al., 2018)</w:t>
      </w:r>
      <w:r>
        <w:t xml:space="preserve"> </w:t>
      </w:r>
      <w:r>
        <w:t xml:space="preserve">、Amph16S</w:t>
      </w:r>
      <w:r>
        <w:t xml:space="preserve"> </w:t>
      </w:r>
      <w:r>
        <w:t xml:space="preserve">(Sakata et al., 2022)</w:t>
      </w:r>
      <w:r>
        <w:t xml:space="preserve"> </w:t>
      </w:r>
      <w:r>
        <w:t xml:space="preserve">、MtInsects-16S</w:t>
      </w:r>
      <w:r>
        <w:t xml:space="preserve"> </w:t>
      </w:r>
      <w:r>
        <w:t xml:space="preserve">(Takenaka et al., 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09"/>
        </w:numPr>
        <w:pStyle w:val="Compact"/>
      </w:pPr>
      <w:hyperlink r:id="rId25">
        <w:r>
          <w:rPr>
            <w:rStyle w:val="Hyperlink"/>
          </w:rPr>
          <w:t xml:space="preserve">https://github.com/astanabe/TruSeqStyleIndexPrimers</w:t>
        </w:r>
      </w:hyperlink>
    </w:p>
    <w:p>
      <w:pPr>
        <w:numPr>
          <w:ilvl w:val="0"/>
          <w:numId w:val="1009"/>
        </w:numPr>
        <w:pStyle w:val="Compact"/>
      </w:pPr>
      <w:hyperlink r:id="rId26">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 et al. (2022)</w:t>
      </w:r>
      <w:r>
        <w:t xml:space="preserve"> </w:t>
      </w:r>
      <w:r>
        <w:t xml:space="preserve">のAppendix S1に掲載されています。</w:t>
      </w:r>
    </w:p>
    <w:p>
      <w:pPr>
        <w:pStyle w:val="Heading3"/>
      </w:pPr>
      <w:bookmarkStart w:id="27" w:name="claidentにおけるサンプルidについて"/>
      <w:r>
        <w:t xml:space="preserve">Claidentにおける「サンプルID」について</w:t>
      </w:r>
      <w:bookmarkEnd w:id="27"/>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28" w:name="otuとasvについて"/>
      <w:r>
        <w:t xml:space="preserve">OTUとASVについて</w:t>
      </w:r>
      <w:bookmarkEnd w:id="28"/>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29" w:name="必要なファイル群とディレクトリ構造"/>
      <w:r>
        <w:t xml:space="preserve">必要なファイル群とディレクトリ構造</w:t>
      </w:r>
      <w:bookmarkEnd w:id="29"/>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0" w:name="ブランクリストblanklist.txt"/>
      <w:r>
        <w:t xml:space="preserve">ブランクリスト(blanklist.txt)</w:t>
      </w:r>
      <w:bookmarkEnd w:id="30"/>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1" w:name="濾過水量表watervoltable.tsv"/>
      <w:r>
        <w:t xml:space="preserve">濾過水量表(watervoltable.tsv)</w:t>
      </w:r>
      <w:bookmarkEnd w:id="31"/>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2" w:name="抽出dna溶液量表solutionvoltable.tsv"/>
      <w:r>
        <w:t xml:space="preserve">抽出DNA溶液量表(solutionvoltable.tsv)</w:t>
      </w:r>
      <w:bookmarkEnd w:id="32"/>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3" w:name="内部標準dna塩基配列standard.fasta"/>
      <w:r>
        <w:t xml:space="preserve">内部標準DNA塩基配列(standard.fasta)</w:t>
      </w:r>
      <w:bookmarkEnd w:id="33"/>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4" w:name="内部標準dna濃度表stdconctable.tsv"/>
      <w:r>
        <w:t xml:space="preserve">内部標準DNA濃度表(stdconctable.tsv)</w:t>
      </w:r>
      <w:bookmarkEnd w:id="34"/>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5" w:name="X6f92aa88758fb857af311a69c3667a1203ce354"/>
      <w:r>
        <w:t xml:space="preserve">シーケンサの読み始めになる部分配列(forwardprimer.fasta・reverseprimer.fasta)</w:t>
      </w:r>
      <w:bookmarkEnd w:id="35"/>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6" w:name="X4f4f21bef0b7ceaf74a559b150bea30b3b97810"/>
      <w:r>
        <w:t xml:space="preserve">インデックスとして読まれる部分配列(index1.fasta・index2.fasta)</w:t>
      </w:r>
      <w:bookmarkEnd w:id="36"/>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7" w:name="undemultiplexed-fastq"/>
      <w:r>
        <w:t xml:space="preserve">undemultiplexed FASTQ</w:t>
      </w:r>
      <w:bookmarkEnd w:id="37"/>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でのデマルチプレックスを行うには、LinuxマシンにIllumina社が提供するbcl2fastqまたはBCL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bcl2fastqは以下のURLから取得できます。</w:t>
      </w:r>
    </w:p>
    <w:p>
      <w:pPr>
        <w:numPr>
          <w:ilvl w:val="0"/>
          <w:numId w:val="1010"/>
        </w:numPr>
        <w:pStyle w:val="Compact"/>
      </w:pPr>
      <w:hyperlink r:id="rId38">
        <w:r>
          <w:rPr>
            <w:rStyle w:val="Hyperlink"/>
          </w:rPr>
          <w:t xml:space="preserve">https://jp.support.illumina.com/sequencing/sequencing_software/bcl2fastq-conversion-software.html</w:t>
        </w:r>
      </w:hyperlink>
    </w:p>
    <w:p>
      <w:pPr>
        <w:pStyle w:val="FirstParagraph"/>
      </w:pPr>
      <w:r>
        <w:t xml:space="preserve">執筆時点の最新版はv2.20です。</w:t>
      </w:r>
      <w:r>
        <w:t xml:space="preserve"> </w:t>
      </w:r>
      <w:r>
        <w:t xml:space="preserve">Debian・Ubuntu・Linux MintおよびWindows上にインストールしたUbuntuの場合、(Linux rpm)と書かれている配布ファイルをダウンロードして作業ディレクトリ「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w:t>
      </w:r>
      <w:r>
        <w:br/>
      </w:r>
      <w:r>
        <w:rPr>
          <w:rStyle w:val="NormalTok"/>
        </w:rPr>
        <w:t xml:space="preserve">cd workingdirectory</w:t>
      </w:r>
      <w:r>
        <w:br/>
      </w:r>
      <w:r>
        <w:rPr>
          <w:rStyle w:val="NormalTok"/>
        </w:rPr>
        <w:t xml:space="preserve">unzip bcl2fastq2-v2-20-0-linux-x86-64.zip</w:t>
      </w:r>
      <w:r>
        <w:br/>
      </w:r>
      <w:r>
        <w:rPr>
          <w:rStyle w:val="NormalTok"/>
        </w:rPr>
        <w:t xml:space="preserve">mkdir temporary</w:t>
      </w:r>
      <w:r>
        <w:br/>
      </w:r>
      <w:r>
        <w:rPr>
          <w:rStyle w:val="NormalTok"/>
        </w:rPr>
        <w:t xml:space="preserve">cd temporary</w:t>
      </w:r>
      <w:r>
        <w:br/>
      </w:r>
      <w:r>
        <w:rPr>
          <w:rStyle w:val="NormalTok"/>
        </w:rPr>
        <w:t xml:space="preserve">rpm2cpio ../bcl2fastq2-v2.20.0.422-Linux-x86_64.rpm | cpio -id</w:t>
      </w:r>
      <w:r>
        <w:br/>
      </w:r>
      <w:r>
        <w:rPr>
          <w:rStyle w:val="NormalTok"/>
        </w:rPr>
        <w:t xml:space="preserve">sudo mkdir -p /usr/local/bin</w:t>
      </w:r>
      <w:r>
        <w:br/>
      </w:r>
      <w:r>
        <w:rPr>
          <w:rStyle w:val="NormalTok"/>
        </w:rPr>
        <w:t xml:space="preserve">sudo cp usr/local/bin/bcl2fastq /usr/local/bin/</w:t>
      </w:r>
      <w:r>
        <w:br/>
      </w:r>
      <w:r>
        <w:rPr>
          <w:rStyle w:val="NormalTok"/>
        </w:rPr>
        <w:t xml:space="preserve">sudo cp -R usr/local/share/css /usr/local/share/</w:t>
      </w:r>
      <w:r>
        <w:br/>
      </w:r>
      <w:r>
        <w:rPr>
          <w:rStyle w:val="NormalTok"/>
        </w:rPr>
        <w:t xml:space="preserve">sudo cp -R usr/local/share/xsl /usr/local/share/</w:t>
      </w:r>
      <w:r>
        <w:br/>
      </w:r>
      <w:r>
        <w:rPr>
          <w:rStyle w:val="NormalTok"/>
        </w:rPr>
        <w:t xml:space="preserve">cd ..</w:t>
      </w:r>
      <w:r>
        <w:br/>
      </w:r>
      <w:r>
        <w:rPr>
          <w:rStyle w:val="NormalTok"/>
        </w:rPr>
        <w:t xml:space="preserve">rm -rf temporary bcl2fastq2-v2.20.0.422-Linux-x86_64.rpm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bcl2fastqでundemultiplexed FASTQを生成するには、「</w:t>
      </w:r>
      <w:r>
        <w:rPr>
          <w:rStyle w:val="VerbatimChar"/>
        </w:rPr>
        <w:t xml:space="preserve">SampleSheet.csv</w:t>
      </w:r>
      <w:r>
        <w:t xml:space="preserve">」をコピーして「</w:t>
      </w:r>
      <w:r>
        <w:rPr>
          <w:rStyle w:val="VerbatimChar"/>
        </w:rPr>
        <w:t xml:space="preserve">Dummy.csv</w:t>
      </w:r>
      <w:r>
        <w:t xml:space="preserve">」を作成し、テキストエディタで開いて</w:t>
      </w:r>
      <w:r>
        <w:rPr>
          <w:rStyle w:val="VerbatimChar"/>
        </w:rPr>
        <w:t xml:space="preserve">[Data]</w:t>
      </w:r>
      <w:r>
        <w:t xml:space="preserve">セクションを編集します。</w:t>
      </w:r>
      <w:r>
        <w:t xml:space="preserve"> </w:t>
      </w:r>
      <w:r>
        <w:rPr>
          <w:rStyle w:val="VerbatimChar"/>
        </w:rPr>
        <w:t xml:space="preserve">[Data]</w:t>
      </w:r>
      <w:r>
        <w:t xml:space="preserve">セクションには1行目に各列のラベルが記されており、2行目以降にサンプル名やインデックス配列が記されていますが、2行目以降は削除します。</w:t>
      </w:r>
      <w:r>
        <w:t xml:space="preserve"> </w:t>
      </w:r>
      <w:r>
        <w:t xml:space="preserve">FASTQ生成の際にこのファイルをサンプルシートとして指定することで、bcl2fastqに内蔵されているデマルチプレックス機能を無効化し、undemultiplexed FASTQを作成することができます。</w:t>
      </w:r>
      <w:r>
        <w:t xml:space="preserve"> </w:t>
      </w:r>
      <w:r>
        <w:t xml:space="preserve">8塩基長のデュアルインデックスでフォワード側151サイクル、リバース側151サイクル解読した場合、以下のコマンドでundemultiplexed FASTQを「</w:t>
      </w:r>
      <w:r>
        <w:rPr>
          <w:rStyle w:val="VerbatimChar"/>
        </w:rPr>
        <w:t xml:space="preserve">01_undemultiplexed</w:t>
      </w:r>
      <w:r>
        <w:t xml:space="preserve">」ディレクトリに出力することができます。</w:t>
      </w:r>
      <w:r>
        <w:t xml:space="preserve"> </w:t>
      </w:r>
      <w:r>
        <w:t xml:space="preserve">インデックス長やサイクル数が異なる場合は</w:t>
      </w:r>
      <w:r>
        <w:rPr>
          <w:rStyle w:val="VerbatimChar"/>
        </w:rPr>
        <w:t xml:space="preserve">--use-bases-mask</w:t>
      </w:r>
      <w:r>
        <w:t xml:space="preserve">オプションを適宜変更して下さい。</w:t>
      </w:r>
    </w:p>
    <w:p>
      <w:pPr>
        <w:pStyle w:val="SourceCode"/>
      </w:pPr>
      <w:r>
        <w:rPr>
          <w:rStyle w:val="NormalTok"/>
        </w:rPr>
        <w:t xml:space="preserve">bcl2fastq \</w:t>
      </w:r>
      <w:r>
        <w:br/>
      </w:r>
      <w:r>
        <w:rPr>
          <w:rStyle w:val="NormalTok"/>
        </w:rPr>
        <w:t xml:space="preserve">--processing-threads NumberOfCPUcores \</w:t>
      </w:r>
      <w:r>
        <w:br/>
      </w:r>
      <w:r>
        <w:rPr>
          <w:rStyle w:val="NormalTok"/>
        </w:rPr>
        <w:t xml:space="preserve">--create-fastq-for-index-reads \</w:t>
      </w:r>
      <w:r>
        <w:br/>
      </w:r>
      <w:r>
        <w:rPr>
          <w:rStyle w:val="NormalTok"/>
        </w:rPr>
        <w:t xml:space="preserve">--use-bases-mask Y150n,I8,I8,Y150n \</w:t>
      </w:r>
      <w:r>
        <w:br/>
      </w:r>
      <w:r>
        <w:rPr>
          <w:rStyle w:val="NormalTok"/>
        </w:rPr>
        <w:t xml:space="preserve">--runfolder-dir RunDataDirectory \</w:t>
      </w:r>
      <w:r>
        <w:br/>
      </w:r>
      <w:r>
        <w:rPr>
          <w:rStyle w:val="NormalTok"/>
        </w:rPr>
        <w:t xml:space="preserve">--sample-sheet Dummy.csv \</w:t>
      </w:r>
      <w:r>
        <w:br/>
      </w:r>
      <w:r>
        <w:rPr>
          <w:rStyle w:val="NormalTok"/>
        </w:rPr>
        <w:t xml:space="preserve">--output-dir 01_undemultiplexed</w:t>
      </w:r>
    </w:p>
    <w:p>
      <w:pPr>
        <w:pStyle w:val="FirstParagraph"/>
      </w:pPr>
      <w:r>
        <w:t xml:space="preserve">ここで、RunDataDirectoryは、シーケンサ本体、またはシーケンサに付属の解析マシンに保存されている「</w:t>
      </w:r>
      <w:r>
        <w:rPr>
          <w:rStyle w:val="VerbatimChar"/>
        </w:rPr>
        <w:t xml:space="preserve">BaseCalls</w:t>
      </w:r>
      <w:r>
        <w:t xml:space="preserve">」という名前のディレクトリを含むディレクトリです。</w:t>
      </w:r>
      <w:r>
        <w:t xml:space="preserve"> </w:t>
      </w:r>
      <w:r>
        <w:t xml:space="preserve">予めbcl2fastqをインストールしたマシンにコピーしておく必要があります。</w:t>
      </w:r>
      <w:r>
        <w:t xml:space="preserve"> </w:t>
      </w:r>
      <w:r>
        <w:t xml:space="preserve">NumberOfCPUcoresは処理中に使用するCPUコア数の整数値で置き換えて下さい。</w:t>
      </w:r>
    </w:p>
    <w:p>
      <w:pPr>
        <w:pStyle w:val="BodyText"/>
      </w:pPr>
      <w:r>
        <w:t xml:space="preserve">上記の例ではレーンが一つしかない機種のデータを想定しています。</w:t>
      </w:r>
      <w:r>
        <w:t xml:space="preserve"> </w:t>
      </w:r>
      <w:r>
        <w:t xml:space="preserve">レーンが複数ある機種のデータを扱う場合、</w:t>
      </w:r>
      <w:r>
        <w:rPr>
          <w:rStyle w:val="VerbatimChar"/>
        </w:rPr>
        <w:t xml:space="preserve">--tiles</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--tiles s_1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NextSeq 1000・2000やNovaSeq Xなどの新しい機種では、BCL Convertというまた別のプログラムを使用するように変更されています。</w:t>
      </w:r>
      <w:r>
        <w:t xml:space="preserve"> </w:t>
      </w:r>
      <w:r>
        <w:t xml:space="preserve">BCL Convertは下記URLからダウンロードできます。</w:t>
      </w:r>
    </w:p>
    <w:p>
      <w:pPr>
        <w:numPr>
          <w:ilvl w:val="0"/>
          <w:numId w:val="1011"/>
        </w:numPr>
        <w:pStyle w:val="Compact"/>
      </w:pPr>
      <w:hyperlink r:id="rId39">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なお、このプログラムもmacOSには対応していません。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 Convertでundemultiplexed FASTQを生成するには、「</w:t>
      </w:r>
      <w:r>
        <w:rPr>
          <w:rStyle w:val="VerbatimChar"/>
        </w:rPr>
        <w:t xml:space="preserve">SampleSheet.csv</w:t>
      </w:r>
      <w:r>
        <w:t xml:space="preserve">」をコピーして「</w:t>
      </w:r>
      <w:r>
        <w:rPr>
          <w:rStyle w:val="VerbatimChar"/>
        </w:rPr>
        <w:t xml:space="preserve">Dummy.csv</w:t>
      </w:r>
      <w:r>
        <w:t xml:space="preserve">」を作成し、テキストエディタで開いて</w:t>
      </w:r>
      <w:r>
        <w:rPr>
          <w:rStyle w:val="VerbatimChar"/>
        </w:rPr>
        <w:t xml:space="preserve">[BCLConvert_Settings]</w:t>
      </w:r>
      <w:r>
        <w:t xml:space="preserve">および</w:t>
      </w:r>
      <w:r>
        <w:rPr>
          <w:rStyle w:val="VerbatimChar"/>
        </w:rPr>
        <w:t xml:space="preserve">[BCLConvert_Data]</w:t>
      </w:r>
      <w:r>
        <w:t xml:space="preserve">セクションを編集します。</w:t>
      </w:r>
      <w:r>
        <w:t xml:space="preserve"> </w:t>
      </w:r>
      <w:r>
        <w:t xml:space="preserve">まず、</w:t>
      </w:r>
      <w:r>
        <w:rPr>
          <w:rStyle w:val="VerbatimChar"/>
        </w:rPr>
        <w:t xml:space="preserve">[BCLConvert_Settings]</w:t>
      </w:r>
      <w:r>
        <w:t xml:space="preserve">セクションに下記の2行を追記します(衝突する設定がある場合には削除する必要があるかもしれません)。</w:t>
      </w:r>
    </w:p>
    <w:p>
      <w:pPr>
        <w:pStyle w:val="SourceCode"/>
      </w:pPr>
      <w:r>
        <w:rPr>
          <w:rStyle w:val="NormalTok"/>
        </w:rPr>
        <w:t xml:space="preserve">OverrideCycles,Y150N;I8;I8;Y150N</w:t>
      </w:r>
      <w:r>
        <w:br/>
      </w:r>
      <w:r>
        <w:rPr>
          <w:rStyle w:val="NormalTok"/>
        </w:rPr>
        <w:t xml:space="preserve">CreateFastqForIndexReads,1</w:t>
      </w:r>
    </w:p>
    <w:p>
      <w:pPr>
        <w:pStyle w:val="FirstParagraph"/>
      </w:pPr>
      <w:r>
        <w:t xml:space="preserve">これは8塩基長のデュアルインデックスでフォワード側151サイクル、リバース側151サイクル解読した場合の設定ですので、インデックス長やサイクル数が異なる場合は適宜変更する必要があります。</w:t>
      </w:r>
      <w:r>
        <w:t xml:space="preserve"> </w:t>
      </w:r>
      <w:r>
        <w:rPr>
          <w:rStyle w:val="VerbatimChar"/>
        </w:rPr>
        <w:t xml:space="preserve">[BCLConvert_Data]</w:t>
      </w:r>
      <w:r>
        <w:t xml:space="preserve">セクションでは1行目に各列のラベルが記されており、2行目以降にサンプル名やインデックス配列が記されていますが、2行目以降は削除します。</w:t>
      </w:r>
      <w:r>
        <w:t xml:space="preserve"> </w:t>
      </w:r>
      <w:r>
        <w:t xml:space="preserve">FASTQ生成の際にこのファイルをサンプルシートとして指定することで、BCL Convertに内蔵されているデマルチプレックス機能を無効化し、undemultiplexed FASTQを作成することができます。</w:t>
      </w:r>
      <w:r>
        <w:t xml:space="preserve"> </w:t>
      </w:r>
      <w:r>
        <w:t xml:space="preserve">以下のコマンドでundemultiplexed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--bcl-input-directory RunDataDirectory \</w:t>
      </w:r>
      <w:r>
        <w:br/>
      </w:r>
      <w:r>
        <w:rPr>
          <w:rStyle w:val="NormalTok"/>
        </w:rPr>
        <w:t xml:space="preserve">--sample-sheet Dummy.csv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w:t>
      </w:r>
      <w:r>
        <w:rPr>
          <w:rStyle w:val="VerbatimChar"/>
        </w:rPr>
        <w:t xml:space="preserve">BaseCalls</w:t>
      </w:r>
      <w:r>
        <w:t xml:space="preserve">」という名前のディレクトリを含むディレクトリです。</w:t>
      </w:r>
      <w:r>
        <w:t xml:space="preserve"> </w:t>
      </w:r>
      <w:r>
        <w:t xml:space="preserve">予めBCL Convertをインストールしたマシンにコピーしておく必要があります。</w:t>
      </w:r>
      <w:r>
        <w:t xml:space="preserve"> </w:t>
      </w:r>
      <w:r>
        <w:t xml:space="preserve">使用するCPU数はデフォルトで自動的に決定されます。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bcl2fastqかBCL Convertを実行すると、以下の4ファイルが生成されます(1レーンのみ出力した場合)。</w:t>
      </w:r>
    </w:p>
    <w:p>
      <w:pPr>
        <w:pStyle w:val="DefinitionTerm"/>
      </w:pPr>
      <w:r>
        <w:t xml:space="preserve">～_I1_001.fastq.gz</w:t>
      </w:r>
    </w:p>
    <w:p>
      <w:pPr>
        <w:pStyle w:val="Definition"/>
      </w:pPr>
      <w:r>
        <w:t xml:space="preserve">index1のundemultiplexed FASTQ (長さ8塩基)</w:t>
      </w:r>
    </w:p>
    <w:p>
      <w:pPr>
        <w:pStyle w:val="DefinitionTerm"/>
      </w:pPr>
      <w:r>
        <w:t xml:space="preserve">～_I2_001.fastq.gz</w:t>
      </w:r>
    </w:p>
    <w:p>
      <w:pPr>
        <w:pStyle w:val="Definition"/>
      </w:pPr>
      <w:r>
        <w:t xml:space="preserve">index2のundemultiplexed FASTQ (長さ8塩基)</w:t>
      </w:r>
    </w:p>
    <w:p>
      <w:pPr>
        <w:pStyle w:val="DefinitionTerm"/>
      </w:pPr>
      <w:r>
        <w:t xml:space="preserve">～_R1_001.fastq.gz</w:t>
      </w:r>
    </w:p>
    <w:p>
      <w:pPr>
        <w:pStyle w:val="Definition"/>
      </w:pPr>
      <w:r>
        <w:t xml:space="preserve">インサートのフォワード側リードのundemultiplexed FASTQ (長さ150塩基)</w:t>
      </w:r>
    </w:p>
    <w:p>
      <w:pPr>
        <w:pStyle w:val="DefinitionTerm"/>
      </w:pPr>
      <w:r>
        <w:t xml:space="preserve">～_R2_001.fastq.gz</w:t>
      </w:r>
    </w:p>
    <w:p>
      <w:pPr>
        <w:pStyle w:val="Definition"/>
      </w:pPr>
      <w:r>
        <w:t xml:space="preserve">インサートのリバース側リードのundemultiplexed FASTQ (長さ150塩基)</w:t>
      </w:r>
    </w:p>
    <w:p>
      <w:pPr>
        <w:pStyle w:val="Heading4"/>
      </w:pPr>
      <w:bookmarkStart w:id="40" w:name="ディレクトリ構造"/>
      <w:r>
        <w:t xml:space="preserve">ディレクトリ構造</w:t>
      </w:r>
      <w:bookmarkEnd w:id="40"/>
    </w:p>
    <w:p>
      <w:pPr>
        <w:pStyle w:val="FirstParagraph"/>
      </w:pPr>
      <w:r>
        <w:t xml:space="preserve">解析開始前の作業ディレクトリ内のファイルとディレクトリは以下の通りです。</w:t>
      </w:r>
    </w:p>
    <w:p>
      <w:pPr>
        <w:numPr>
          <w:ilvl w:val="0"/>
          <w:numId w:val="1012"/>
        </w:numPr>
        <w:pStyle w:val="Compact"/>
      </w:pPr>
      <w:r>
        <w:t xml:space="preserve">作業ディレクトリ</w:t>
      </w:r>
    </w:p>
    <w:p>
      <w:pPr>
        <w:numPr>
          <w:ilvl w:val="1"/>
          <w:numId w:val="1013"/>
        </w:numPr>
        <w:pStyle w:val="Compact"/>
      </w:pPr>
      <w:r>
        <w:t xml:space="preserve">blanklist.txt</w:t>
      </w:r>
    </w:p>
    <w:p>
      <w:pPr>
        <w:numPr>
          <w:ilvl w:val="1"/>
          <w:numId w:val="1013"/>
        </w:numPr>
        <w:pStyle w:val="Compact"/>
      </w:pPr>
      <w:r>
        <w:t xml:space="preserve">watervoltable.tsv</w:t>
      </w:r>
    </w:p>
    <w:p>
      <w:pPr>
        <w:numPr>
          <w:ilvl w:val="1"/>
          <w:numId w:val="1013"/>
        </w:numPr>
        <w:pStyle w:val="Compact"/>
      </w:pPr>
      <w:r>
        <w:t xml:space="preserve">solutionvoltable.tsv</w:t>
      </w:r>
    </w:p>
    <w:p>
      <w:pPr>
        <w:numPr>
          <w:ilvl w:val="1"/>
          <w:numId w:val="1013"/>
        </w:numPr>
        <w:pStyle w:val="Compact"/>
      </w:pPr>
      <w:r>
        <w:t xml:space="preserve">standard.fasta</w:t>
      </w:r>
    </w:p>
    <w:p>
      <w:pPr>
        <w:numPr>
          <w:ilvl w:val="1"/>
          <w:numId w:val="1013"/>
        </w:numPr>
        <w:pStyle w:val="Compact"/>
      </w:pPr>
      <w:r>
        <w:t xml:space="preserve">stdconctable.tsv</w:t>
      </w:r>
    </w:p>
    <w:p>
      <w:pPr>
        <w:numPr>
          <w:ilvl w:val="1"/>
          <w:numId w:val="1013"/>
        </w:numPr>
        <w:pStyle w:val="Compact"/>
      </w:pPr>
      <w:r>
        <w:t xml:space="preserve">forwardprimer.fasta</w:t>
      </w:r>
    </w:p>
    <w:p>
      <w:pPr>
        <w:numPr>
          <w:ilvl w:val="1"/>
          <w:numId w:val="1013"/>
        </w:numPr>
        <w:pStyle w:val="Compact"/>
      </w:pPr>
      <w:r>
        <w:t xml:space="preserve">reverseprimer.fasta</w:t>
      </w:r>
    </w:p>
    <w:p>
      <w:pPr>
        <w:numPr>
          <w:ilvl w:val="1"/>
          <w:numId w:val="1013"/>
        </w:numPr>
        <w:pStyle w:val="Compact"/>
      </w:pPr>
      <w:r>
        <w:t xml:space="preserve">index1.fasta</w:t>
      </w:r>
    </w:p>
    <w:p>
      <w:pPr>
        <w:numPr>
          <w:ilvl w:val="1"/>
          <w:numId w:val="1013"/>
        </w:numPr>
        <w:pStyle w:val="Compact"/>
      </w:pPr>
      <w:r>
        <w:t xml:space="preserve">index2.fasta</w:t>
      </w:r>
    </w:p>
    <w:p>
      <w:pPr>
        <w:numPr>
          <w:ilvl w:val="1"/>
          <w:numId w:val="1013"/>
        </w:numPr>
        <w:pStyle w:val="Compact"/>
      </w:pPr>
      <w:r>
        <w:t xml:space="preserve">01_undemultiplexed (ディレクトリ)</w:t>
      </w:r>
    </w:p>
    <w:p>
      <w:pPr>
        <w:numPr>
          <w:ilvl w:val="2"/>
          <w:numId w:val="1014"/>
        </w:numPr>
        <w:pStyle w:val="Compact"/>
      </w:pPr>
      <w:r>
        <w:t xml:space="preserve">～_I1_001.fastq.gz</w:t>
      </w:r>
    </w:p>
    <w:p>
      <w:pPr>
        <w:numPr>
          <w:ilvl w:val="2"/>
          <w:numId w:val="1014"/>
        </w:numPr>
        <w:pStyle w:val="Compact"/>
      </w:pPr>
      <w:r>
        <w:t xml:space="preserve">～_I2_001.fastq.gz</w:t>
      </w:r>
    </w:p>
    <w:p>
      <w:pPr>
        <w:numPr>
          <w:ilvl w:val="2"/>
          <w:numId w:val="1014"/>
        </w:numPr>
        <w:pStyle w:val="Compact"/>
      </w:pPr>
      <w:r>
        <w:t xml:space="preserve">～_R1_001.fastq.gz</w:t>
      </w:r>
    </w:p>
    <w:p>
      <w:pPr>
        <w:numPr>
          <w:ilvl w:val="2"/>
          <w:numId w:val="1014"/>
        </w:numPr>
        <w:pStyle w:val="Compact"/>
      </w:pPr>
      <w:r>
        <w:t xml:space="preserve">～_R2_001.fastq.gz</w:t>
      </w:r>
    </w:p>
    <w:p>
      <w:pPr>
        <w:pStyle w:val="Heading2"/>
      </w:pPr>
      <w:bookmarkStart w:id="41" w:name="塩基配列データ処理"/>
      <w:r>
        <w:t xml:space="preserve">塩基配列データ処理</w:t>
      </w:r>
      <w:bookmarkEnd w:id="41"/>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コマンドのオプションに含まれているNumberOfCPUcoresは処理中に使用するCPUコア数の整数値で置き換えて下さい。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2" w:name="clsplitseqによるデマルチプレクシング"/>
      <w:r>
        <w:t xml:space="preserve">clsplitseqによるデマルチプレクシング</w:t>
      </w:r>
      <w:bookmarkEnd w:id="42"/>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01_undemultiplexed/Undemultiplexed_R1_001.fastq.gz \</w:t>
      </w:r>
      <w:r>
        <w:br/>
      </w:r>
      <w:r>
        <w:rPr>
          <w:rStyle w:val="NormalTok"/>
        </w:rPr>
        <w:t xml:space="preserve">01_undemultiplexed/Undemultiplexed_I1_001.fastq.gz \</w:t>
      </w:r>
      <w:r>
        <w:br/>
      </w:r>
      <w:r>
        <w:rPr>
          <w:rStyle w:val="NormalTok"/>
        </w:rPr>
        <w:t xml:space="preserve">01_undemultiplexed/Undemultiplexed_I2_001.fastq.gz \</w:t>
      </w:r>
      <w:r>
        <w:br/>
      </w:r>
      <w:r>
        <w:rPr>
          <w:rStyle w:val="NormalTok"/>
        </w:rPr>
        <w:t xml:space="preserve">01_undemultiplexed/Undemultiplexed_R2_001.fastq.gz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5"/>
        </w:numPr>
        <w:pStyle w:val="Compact"/>
      </w:pPr>
      <w:r>
        <w:t xml:space="preserve">インサートのフォワード側リードのundemultiplexed FASTQ</w:t>
      </w:r>
    </w:p>
    <w:p>
      <w:pPr>
        <w:numPr>
          <w:ilvl w:val="0"/>
          <w:numId w:val="1015"/>
        </w:numPr>
        <w:pStyle w:val="Compact"/>
      </w:pPr>
      <w:r>
        <w:t xml:space="preserve">index1のundemultiplexed FASTQ</w:t>
      </w:r>
    </w:p>
    <w:p>
      <w:pPr>
        <w:numPr>
          <w:ilvl w:val="0"/>
          <w:numId w:val="1015"/>
        </w:numPr>
        <w:pStyle w:val="Compact"/>
      </w:pPr>
      <w:r>
        <w:t xml:space="preserve">index2のundemultiplexed FASTQ</w:t>
      </w:r>
    </w:p>
    <w:p>
      <w:pPr>
        <w:numPr>
          <w:ilvl w:val="0"/>
          <w:numId w:val="1015"/>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3" w:name="clconcatpairvによるペアエンド配列の連結"/>
      <w:r>
        <w:t xml:space="preserve">clconcatpairvによるペアエンド配列の連結</w:t>
      </w:r>
      <w:bookmarkEnd w:id="43"/>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4" w:name="clfilterseqvによる低品質配列の除去"/>
      <w:r>
        <w:t xml:space="preserve">clfilterseqvによる低品質配列の除去</w:t>
      </w:r>
      <w:bookmarkEnd w:id="44"/>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and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5" w:name="cldenoiseseqdによるデノイジング"/>
      <w:r>
        <w:t xml:space="preserve">cldenoiseseqdによるデノイジング</w:t>
      </w:r>
      <w:bookmarkEnd w:id="45"/>
    </w:p>
    <w:p>
      <w:pPr>
        <w:pStyle w:val="FirstParagraph"/>
      </w:pPr>
      <w:r>
        <w:t xml:space="preserve">以下のコマンドでDADA2</w:t>
      </w:r>
      <w:r>
        <w:t xml:space="preserve"> </w:t>
      </w:r>
      <w:r>
        <w:t xml:space="preserve">(Callahan et al., 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6" w:name="clremovechimevによる参照配列データベースを用いないキメラ除去"/>
      <w:r>
        <w:t xml:space="preserve">clremovechimevによる参照配列データベースを用いないキメラ除去</w:t>
      </w:r>
      <w:bookmarkEnd w:id="46"/>
    </w:p>
    <w:p>
      <w:pPr>
        <w:pStyle w:val="FirstParagraph"/>
      </w:pPr>
      <w:r>
        <w:t xml:space="preserve">以下のコマンドでVSEARCH</w:t>
      </w:r>
      <w:r>
        <w:t xml:space="preserve"> </w:t>
      </w:r>
      <w:r>
        <w:t xml:space="preserve">(Rognes et al., 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7" w:name="clclusterstdvによる内部標準配列クラスタリング"/>
      <w:r>
        <w:t xml:space="preserve">clclusterstdvによる内部標準配列クラスタリング</w:t>
      </w:r>
      <w:bookmarkEnd w:id="47"/>
    </w:p>
    <w:p>
      <w:pPr>
        <w:pStyle w:val="FirstParagraph"/>
      </w:pPr>
      <w:r>
        <w:t xml:space="preserve">以下のコマンドでVSEARCH</w:t>
      </w:r>
      <w:r>
        <w:t xml:space="preserve"> </w:t>
      </w:r>
      <w:r>
        <w:t xml:space="preserve">(Rognes et al., 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 et al. (2022)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8" w:name="clremovechimevによる参照配列データベースを用いたキメラ除去"/>
      <w:r>
        <w:t xml:space="preserve">clremovechimevによる参照配列データベースを用いたキメラ除去</w:t>
      </w:r>
      <w:bookmarkEnd w:id="48"/>
    </w:p>
    <w:p>
      <w:pPr>
        <w:pStyle w:val="FirstParagraph"/>
      </w:pPr>
      <w:r>
        <w:t xml:space="preserve">以下のコマンドでVSEARCH</w:t>
      </w:r>
      <w:r>
        <w:t xml:space="preserve"> </w:t>
      </w:r>
      <w:r>
        <w:t xml:space="preserve">(Rognes et al., 2016)</w:t>
      </w:r>
      <w:r>
        <w:t xml:space="preserve"> </w:t>
      </w:r>
      <w:r>
        <w:t xml:space="preserve">に実装されているUCHIMEアルゴリズム</w:t>
      </w:r>
      <w:r>
        <w:t xml:space="preserve"> </w:t>
      </w:r>
      <w:r>
        <w:t xml:space="preserve">(Edgar et al., 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49" w:name="clremovecontamによるインデックスホッピング除去"/>
      <w:r>
        <w:t xml:space="preserve">clremovecontamによるインデックスホッピング除去</w:t>
      </w:r>
      <w:bookmarkEnd w:id="49"/>
    </w:p>
    <w:p>
      <w:pPr>
        <w:pStyle w:val="FirstParagraph"/>
      </w:pPr>
      <w:r>
        <w:t xml:space="preserve">以下のコマンドで、</w:t>
      </w:r>
      <w:r>
        <w:t xml:space="preserve"> </w:t>
      </w:r>
      <w:r>
        <w:t xml:space="preserve">Esling et al. (2015)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50" w:name="Xa289b86ea08d3f3d275e124ff6c56b49de31ee7"/>
      <w:r>
        <w:t xml:space="preserve">clremovecontamとネガティブコントロールを利用したデコンタミネーション</w:t>
      </w:r>
      <w:bookmarkEnd w:id="50"/>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1" w:name="分子同定"/>
      <w:r>
        <w:t xml:space="preserve">分子同定</w:t>
      </w:r>
      <w:bookmarkEnd w:id="51"/>
    </w:p>
    <w:p>
      <w:pPr>
        <w:pStyle w:val="FirstParagraph"/>
      </w:pPr>
      <w:r>
        <w:t xml:space="preserve">ここでは、QCauto法と95%-3NN法</w:t>
      </w:r>
      <w:r>
        <w:t xml:space="preserve"> </w:t>
      </w:r>
      <w:r>
        <w:t xml:space="preserve">(Tanabe and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2" w:name="分子同定用参照配列データベース"/>
      <w:r>
        <w:t xml:space="preserve">分子同定用参照配列データベース</w:t>
      </w:r>
      <w:bookmarkEnd w:id="52"/>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3" w:name="clmakecachedbによるキャッシュデータベースの生成"/>
      <w:r>
        <w:t xml:space="preserve">clmakecachedbによるキャッシュデータベースの生成</w:t>
      </w:r>
      <w:bookmarkEnd w:id="53"/>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4" w:name="qcauto法による分子同定"/>
      <w:r>
        <w:t xml:space="preserve">QCauto法による分子同定</w:t>
      </w:r>
      <w:bookmarkEnd w:id="54"/>
    </w:p>
    <w:p>
      <w:pPr>
        <w:pStyle w:val="Heading4"/>
      </w:pPr>
      <w:bookmarkStart w:id="55" w:name="clidentseqによる近隣配列群の取得"/>
      <w:r>
        <w:t xml:space="preserve">clidentseqによる近隣配列群の取得</w:t>
      </w:r>
      <w:bookmarkEnd w:id="55"/>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6" w:name="classigntaxによる分類群の割り当て"/>
      <w:r>
        <w:t xml:space="preserve">classigntaxによる分類群の割り当て</w:t>
      </w:r>
      <w:bookmarkEnd w:id="56"/>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7" w:name="nn法による分子同定"/>
      <w:r>
        <w:t xml:space="preserve">95%-3NN法による分子同定</w:t>
      </w:r>
      <w:bookmarkEnd w:id="57"/>
    </w:p>
    <w:p>
      <w:pPr>
        <w:pStyle w:val="Heading4"/>
      </w:pPr>
      <w:bookmarkStart w:id="58" w:name="clidentseqによる近隣配列群の取得-1"/>
      <w:r>
        <w:t xml:space="preserve">clidentseqによる近隣配列群の取得</w:t>
      </w:r>
      <w:bookmarkEnd w:id="58"/>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59" w:name="classigntaxによる分類群の割当"/>
      <w:r>
        <w:t xml:space="preserve">classigntaxによる分類群の割当</w:t>
      </w:r>
      <w:bookmarkEnd w:id="59"/>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 et al., 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60" w:name="clmakeidentdbによる分子同定結果の再利用"/>
      <w:r>
        <w:t xml:space="preserve">clmakeidentdbによる分子同定結果の再利用</w:t>
      </w:r>
      <w:bookmarkEnd w:id="60"/>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1" w:name="clmergeassignによる複数の分子同定結果のマージ"/>
      <w:r>
        <w:t xml:space="preserve">clmergeassignによる複数の分子同定結果のマージ</w:t>
      </w:r>
      <w:bookmarkEnd w:id="61"/>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2" w:name="clfillassignによる分子同定結果の穴埋め"/>
      <w:r>
        <w:t xml:space="preserve">clfillassignによる分子同定結果の穴埋め</w:t>
      </w:r>
      <w:bookmarkEnd w:id="62"/>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3" w:name="群集組成表の作成"/>
      <w:r>
        <w:t xml:space="preserve">群集組成表の作成</w:t>
      </w:r>
      <w:bookmarkEnd w:id="63"/>
    </w:p>
    <w:p>
      <w:pPr>
        <w:pStyle w:val="FirstParagraph"/>
      </w:pPr>
      <w:r>
        <w:t xml:space="preserve">ここで言う群集組成表とは、各サンプルにおける各OTUのリード数の表のことを指します。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その前に、以下のコマンドで作業ディレクトリに群集組成表の出力ディレクトリを作成しておきます。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また、加工の出発点となる群集組成表は実は既に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4" w:name="clfiltersumによる群集組成表の加工"/>
      <w:r>
        <w:t xml:space="preserve">clfiltersumによる群集組成表の加工</w:t>
      </w:r>
      <w:bookmarkEnd w:id="64"/>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5" w:name="clrarefysumによる群集組成表のカバレッジベースレアファクション"/>
      <w:r>
        <w:t xml:space="preserve">clrarefysumによる群集組成表のカバレッジベースレアファクション</w:t>
      </w:r>
      <w:bookmarkEnd w:id="65"/>
    </w:p>
    <w:p>
      <w:pPr>
        <w:pStyle w:val="FirstParagraph"/>
      </w:pPr>
      <w:r>
        <w:t xml:space="preserve">群集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and Jost, 2012)</w:t>
      </w:r>
      <w:r>
        <w:t xml:space="preserve"> </w:t>
      </w:r>
      <w:r>
        <w:t xml:space="preserve">。</w:t>
      </w:r>
      <w:r>
        <w:t xml:space="preserve"> </w:t>
      </w:r>
      <w:r>
        <w:t xml:space="preserve">なお、レアファクションが「レアファクションした群集組成表を得る」ことを指す場合と「レアファクションカーブを得る」ことを指す場合がありますが、本章では前者を指すものとお考え下さい。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and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and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and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and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--minnread</w:t>
      </w:r>
    </w:p>
    <w:p>
      <w:pPr>
        <w:pStyle w:val="Definition"/>
      </w:pPr>
      <w:r>
        <w:t xml:space="preserve">レアファクション前のリード数下限(下回るサンプルは捨てる)</w:t>
      </w:r>
    </w:p>
    <w:p>
      <w:pPr>
        <w:pStyle w:val="DefinitionTerm"/>
      </w:pPr>
      <w:r>
        <w:rPr>
          <w:rStyle w:val="VerbatimChar"/>
        </w:rPr>
        <w:t xml:space="preserve">--nreps</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12_community/sample_otu_matrix_all_rarefied$n.tsv \</w:t>
      </w:r>
      <w:r>
        <w:br/>
      </w:r>
      <w:r>
        <w:rPr>
          <w:rStyle w:val="NormalTok"/>
        </w:rPr>
        <w:t xml:space="preserve">12_community/sample_otu_matrix_standard_rarefied$n.tsv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12_community/sample_otu_matrix_all_rarefied$n.tsv \</w:t>
      </w:r>
      <w:r>
        <w:br/>
      </w:r>
      <w:r>
        <w:rPr>
          <w:rStyle w:val="NormalTok"/>
        </w:rPr>
        <w:t xml:space="preserve">12_community/sample_otu_matrix_fishes_rarefied$n.tsv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12_community/sample_otu_matrix_all_rarefied$n.tsv \</w:t>
      </w:r>
      <w:r>
        <w:br/>
      </w:r>
      <w:r>
        <w:rPr>
          <w:rStyle w:val="NormalTok"/>
        </w:rPr>
        <w:t xml:space="preserve">12_community/sample_otu_matrix_nonfishes_rarefied$n.tsv</w:t>
      </w:r>
      <w:r>
        <w:br/>
      </w:r>
      <w:r>
        <w:rPr>
          <w:rStyle w:val="NormalTok"/>
        </w:rPr>
        <w:t xml:space="preserve">done</w:t>
      </w:r>
    </w:p>
    <w:p>
      <w:pPr>
        <w:pStyle w:val="FirstParagraph"/>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BodyText"/>
      </w:pPr>
      <w:r>
        <w:t xml:space="preserve">上記の例では全分類群の群集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群集組成表を用いてカバレッジベースレアファクションを行う方が良いかもしれません。</w:t>
      </w:r>
    </w:p>
    <w:p>
      <w:pPr>
        <w:pStyle w:val="Heading3"/>
      </w:pPr>
      <w:bookmarkStart w:id="66" w:name="clestimateconcと内部標準dnaリード数を用いたdna濃度の推定"/>
      <w:r>
        <w:t xml:space="preserve">clestimateconcと内部標準DNAリード数を用いたDNA濃度の推定</w:t>
      </w:r>
      <w:bookmarkEnd w:id="66"/>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12_community/sample_otu_matrix_fishes_estimated.tsv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12_community/sample_otu_matrix_fishes_rarefied$n.tsv \</w:t>
      </w:r>
      <w:r>
        <w:br/>
      </w:r>
      <w:r>
        <w:rPr>
          <w:rStyle w:val="NormalTok"/>
        </w:rPr>
        <w:t xml:space="preserve">12_community/sample_otu_matrix_fishes_rarefied$n_estimated.tsv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2"/>
      </w:pPr>
      <w:bookmarkStart w:id="67" w:name="群集組成表を用いた群集生態学解析に向けて"/>
      <w:r>
        <w:t xml:space="preserve">群集組成表を用いた群集生態学解析に向けて</w:t>
      </w:r>
      <w:bookmarkEnd w:id="67"/>
    </w:p>
    <w:p>
      <w:pPr>
        <w:pStyle w:val="FirstParagraph"/>
      </w:pPr>
      <w:r>
        <w:t xml:space="preserve">ここまでの内容で群集生態学解析に必要な群集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p>
    <w:p>
      <w:pPr>
        <w:pStyle w:val="BodyText"/>
      </w:pPr>
      <w:r>
        <w:t xml:space="preserve">まず、レアファクションカーブやヒル数(有効種数)</w:t>
      </w:r>
      <w:r>
        <w:t xml:space="preserve"> </w:t>
      </w:r>
      <w:r>
        <w:t xml:space="preserve">(Chao et al., 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6"/>
        </w:numPr>
        <w:pStyle w:val="Compact"/>
      </w:pPr>
      <w:r>
        <w:t xml:space="preserve">vegan</w:t>
      </w:r>
      <w:r>
        <w:t xml:space="preserve"> </w:t>
      </w:r>
      <w:hyperlink r:id="rId68">
        <w:r>
          <w:rPr>
            <w:rStyle w:val="Hyperlink"/>
          </w:rPr>
          <w:t xml:space="preserve">https://github.com/vegandevs/vegan</w:t>
        </w:r>
      </w:hyperlink>
    </w:p>
    <w:p>
      <w:pPr>
        <w:numPr>
          <w:ilvl w:val="0"/>
          <w:numId w:val="1016"/>
        </w:numPr>
        <w:pStyle w:val="Compact"/>
      </w:pPr>
      <w:r>
        <w:t xml:space="preserve">iNEXT</w:t>
      </w:r>
      <w:r>
        <w:t xml:space="preserve"> </w:t>
      </w:r>
      <w:hyperlink r:id="rId69">
        <w:r>
          <w:rPr>
            <w:rStyle w:val="Hyperlink"/>
          </w:rPr>
          <w:t xml:space="preserve">https://github.com/JohnsonHsieh/iNEXT</w:t>
        </w:r>
      </w:hyperlink>
      <w:r>
        <w:t xml:space="preserve"> </w:t>
      </w:r>
      <w:r>
        <w:t xml:space="preserve">(Hsieh et al., 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7"/>
        </w:numPr>
        <w:pStyle w:val="Compact"/>
      </w:pPr>
      <w:r>
        <w:t xml:space="preserve">vegan</w:t>
      </w:r>
      <w:r>
        <w:t xml:space="preserve"> </w:t>
      </w:r>
      <w:hyperlink r:id="rId68">
        <w:r>
          <w:rPr>
            <w:rStyle w:val="Hyperlink"/>
          </w:rPr>
          <w:t xml:space="preserve">https://github.com/vegandevs/vegan</w:t>
        </w:r>
      </w:hyperlink>
    </w:p>
    <w:p>
      <w:pPr>
        <w:numPr>
          <w:ilvl w:val="0"/>
          <w:numId w:val="1017"/>
        </w:numPr>
        <w:pStyle w:val="Compact"/>
      </w:pPr>
      <w:r>
        <w:t xml:space="preserve">picante</w:t>
      </w:r>
      <w:r>
        <w:t xml:space="preserve"> </w:t>
      </w:r>
      <w:hyperlink r:id="rId70">
        <w:r>
          <w:rPr>
            <w:rStyle w:val="Hyperlink"/>
          </w:rPr>
          <w:t xml:space="preserve">https://cran.r-project.org/web/packages/picante/</w:t>
        </w:r>
      </w:hyperlink>
      <w:r>
        <w:t xml:space="preserve"> </w:t>
      </w:r>
      <w:r>
        <w:t xml:space="preserve">(Kembel et al., 2010)</w:t>
      </w:r>
    </w:p>
    <w:p>
      <w:pPr>
        <w:numPr>
          <w:ilvl w:val="0"/>
          <w:numId w:val="1017"/>
        </w:numPr>
        <w:pStyle w:val="Compact"/>
      </w:pPr>
      <w:r>
        <w:t xml:space="preserve">MicEco</w:t>
      </w:r>
      <w:r>
        <w:t xml:space="preserve"> </w:t>
      </w:r>
      <w:hyperlink r:id="rId71">
        <w:r>
          <w:rPr>
            <w:rStyle w:val="Hyperlink"/>
          </w:rPr>
          <w:t xml:space="preserve">https://github.com/Russel88/MicEco</w:t>
        </w:r>
      </w:hyperlink>
    </w:p>
    <w:p>
      <w:pPr>
        <w:numPr>
          <w:ilvl w:val="0"/>
          <w:numId w:val="1017"/>
        </w:numPr>
        <w:pStyle w:val="Compact"/>
      </w:pPr>
      <w:r>
        <w:t xml:space="preserve">bipartite</w:t>
      </w:r>
      <w:r>
        <w:t xml:space="preserve"> </w:t>
      </w:r>
      <w:hyperlink r:id="rId72">
        <w:r>
          <w:rPr>
            <w:rStyle w:val="Hyperlink"/>
          </w:rPr>
          <w:t xml:space="preserve">https://github.com/biometry/bipartite</w:t>
        </w:r>
      </w:hyperlink>
    </w:p>
    <w:p>
      <w:pPr>
        <w:numPr>
          <w:ilvl w:val="0"/>
          <w:numId w:val="1017"/>
        </w:numPr>
        <w:pStyle w:val="Compact"/>
      </w:pPr>
      <w:r>
        <w:t xml:space="preserve">pvclust</w:t>
      </w:r>
      <w:r>
        <w:t xml:space="preserve"> </w:t>
      </w:r>
      <w:hyperlink r:id="rId73">
        <w:r>
          <w:rPr>
            <w:rStyle w:val="Hyperlink"/>
          </w:rPr>
          <w:t xml:space="preserve">https://github.com/shimo-lab/pvclust</w:t>
        </w:r>
      </w:hyperlink>
    </w:p>
    <w:p>
      <w:pPr>
        <w:numPr>
          <w:ilvl w:val="0"/>
          <w:numId w:val="1017"/>
        </w:numPr>
        <w:pStyle w:val="Compact"/>
      </w:pPr>
      <w:r>
        <w:t xml:space="preserve">mpmcorrelogram</w:t>
      </w:r>
      <w:r>
        <w:t xml:space="preserve"> </w:t>
      </w:r>
      <w:hyperlink r:id="rId74">
        <w:r>
          <w:rPr>
            <w:rStyle w:val="Hyperlink"/>
          </w:rPr>
          <w:t xml:space="preserve">https://cran.r-project.org/web/packages/mpmcorrelogram/</w:t>
        </w:r>
      </w:hyperlink>
    </w:p>
    <w:p>
      <w:pPr>
        <w:pStyle w:val="FirstParagraph"/>
      </w:pPr>
      <w:r>
        <w:t xml:space="preserve">DNA濃度データはサンプル間での定量性が必要な時系列因果推論に使用することができます。</w:t>
      </w:r>
      <w:r>
        <w:t xml:space="preserve"> </w:t>
      </w:r>
      <w:r>
        <w:t xml:space="preserve">その代わり、整数値を要求する手法を適用することができません。</w:t>
      </w:r>
      <w:r>
        <w:t xml:space="preserve"> </w:t>
      </w:r>
      <w:r>
        <w:t xml:space="preserve">以下のRパッケージで時系列因果推論を行うことができます。</w:t>
      </w:r>
    </w:p>
    <w:p>
      <w:pPr>
        <w:numPr>
          <w:ilvl w:val="0"/>
          <w:numId w:val="1018"/>
        </w:numPr>
        <w:pStyle w:val="Compact"/>
      </w:pPr>
      <w:r>
        <w:t xml:space="preserve">rEDM</w:t>
      </w:r>
      <w:r>
        <w:t xml:space="preserve"> </w:t>
      </w:r>
      <w:hyperlink r:id="rId75">
        <w:r>
          <w:rPr>
            <w:rStyle w:val="Hyperlink"/>
          </w:rPr>
          <w:t xml:space="preserve">https://ha0ye.github.io/rEDM/</w:t>
        </w:r>
      </w:hyperlink>
      <w:r>
        <w:t xml:space="preserve"> </w:t>
      </w:r>
      <w:r>
        <w:t xml:space="preserve">(Ye and Sugihara, 2016)</w:t>
      </w:r>
    </w:p>
    <w:p>
      <w:pPr>
        <w:numPr>
          <w:ilvl w:val="0"/>
          <w:numId w:val="1018"/>
        </w:numPr>
        <w:pStyle w:val="Compact"/>
      </w:pPr>
      <w:r>
        <w:t xml:space="preserve">rUIC</w:t>
      </w:r>
      <w:r>
        <w:t xml:space="preserve"> </w:t>
      </w:r>
      <w:hyperlink r:id="rId76">
        <w:r>
          <w:rPr>
            <w:rStyle w:val="Hyperlink"/>
          </w:rPr>
          <w:t xml:space="preserve">https://github.com/yutakaos/rUIC</w:t>
        </w:r>
      </w:hyperlink>
      <w:r>
        <w:t xml:space="preserve"> </w:t>
      </w:r>
      <w:r>
        <w:t xml:space="preserve">(Osada et al., 2023)</w:t>
      </w:r>
    </w:p>
    <w:p>
      <w:pPr>
        <w:pStyle w:val="Heading1"/>
      </w:pPr>
      <w:bookmarkStart w:id="77" w:name="引用文献"/>
      <w:r>
        <w:t xml:space="preserve">引用文献</w:t>
      </w:r>
      <w:bookmarkEnd w:id="77"/>
    </w:p>
    <w:bookmarkStart w:id="132" w:name="refs"/>
    <w:bookmarkStart w:id="79" w:name="X6de2a223c072cfc9bc041e5aa44c5820b8de666"/>
    <w:p>
      <w:pPr>
        <w:pStyle w:val="Bibliography"/>
      </w:pPr>
      <w:r>
        <w:t xml:space="preserve">Callahan, B.J., McMurdie, P.J., Rosen, M.J., Han, A.W., Johnson, A.J.A., Holmes, S.P., 2016. DADA2: High-resolution sample inference from Illumina amplicon data. Nature Methods 13, 581–583.</w:t>
      </w:r>
      <w:r>
        <w:t xml:space="preserve"> </w:t>
      </w:r>
      <w:hyperlink r:id="rId78">
        <w:r>
          <w:rPr>
            <w:rStyle w:val="Hyperlink"/>
          </w:rPr>
          <w:t xml:space="preserve">https://doi.org/10.1038/nmeth.3869</w:t>
        </w:r>
      </w:hyperlink>
    </w:p>
    <w:bookmarkEnd w:id="79"/>
    <w:bookmarkStart w:id="81" w:name="ref-Chao2014RarefactionextrapolationHill"/>
    <w:p>
      <w:pPr>
        <w:pStyle w:val="Bibliography"/>
      </w:pPr>
      <w:r>
        <w:t xml:space="preserve">Chao, A., Gotelli, N.J., Hsieh, T.C., Sander, E.L., Ma, K.H., Colwell, R.K., Ellison, A.M., 2014. Rarefaction and extrapolation with Hill numbers: A framework for sampling and estimation in species diversity studies. Ecological Monographs 84, 45–67.</w:t>
      </w:r>
      <w:r>
        <w:t xml:space="preserve"> </w:t>
      </w:r>
      <w:hyperlink r:id="rId80">
        <w:r>
          <w:rPr>
            <w:rStyle w:val="Hyperlink"/>
          </w:rPr>
          <w:t xml:space="preserve">https://doi.org/10.1890/13-0133.1</w:t>
        </w:r>
      </w:hyperlink>
    </w:p>
    <w:bookmarkEnd w:id="81"/>
    <w:bookmarkStart w:id="83" w:name="X3be505009a62da157b8323bcfd4b2c20524613f"/>
    <w:p>
      <w:pPr>
        <w:pStyle w:val="Bibliography"/>
      </w:pPr>
      <w:r>
        <w:t xml:space="preserve">Chao, A., Jost, L., 2012. Coverage-based rarefaction and extrapolation: Standardizing samples by completeness rather than size. Ecology 93, 2533–2547.</w:t>
      </w:r>
      <w:r>
        <w:t xml:space="preserve"> </w:t>
      </w:r>
      <w:hyperlink r:id="rId82">
        <w:r>
          <w:rPr>
            <w:rStyle w:val="Hyperlink"/>
          </w:rPr>
          <w:t xml:space="preserve">https://doi.org/10.1890/11-1952.1</w:t>
        </w:r>
      </w:hyperlink>
    </w:p>
    <w:bookmarkEnd w:id="83"/>
    <w:bookmarkStart w:id="85" w:name="ref-Chiu2016Estimatingcomparingmicrobial"/>
    <w:p>
      <w:pPr>
        <w:pStyle w:val="Bibliography"/>
      </w:pPr>
      <w:r>
        <w:t xml:space="preserve">Chiu, C.-H., Chao, A., 2016. Estimating and comparing microbial diversity in the presence of sequencing errors. PeerJ 4, e1634.</w:t>
      </w:r>
      <w:r>
        <w:t xml:space="preserve"> </w:t>
      </w:r>
      <w:hyperlink r:id="rId84">
        <w:r>
          <w:rPr>
            <w:rStyle w:val="Hyperlink"/>
          </w:rPr>
          <w:t xml:space="preserve">https://doi.org/10.7717/peerj.1634</w:t>
        </w:r>
      </w:hyperlink>
    </w:p>
    <w:bookmarkEnd w:id="85"/>
    <w:bookmarkStart w:id="87" w:name="ref-Edgar2016UCHIME2improvedchimera"/>
    <w:p>
      <w:pPr>
        <w:pStyle w:val="Bibliography"/>
      </w:pPr>
      <w:r>
        <w:t xml:space="preserve">Edgar, R.C., 2016. UCHIME2: Improved chimera prediction for amplicon sequencing.</w:t>
      </w:r>
      <w:r>
        <w:t xml:space="preserve"> </w:t>
      </w:r>
      <w:hyperlink r:id="rId86">
        <w:r>
          <w:rPr>
            <w:rStyle w:val="Hyperlink"/>
          </w:rPr>
          <w:t xml:space="preserve">https://doi.org/10.1101/074252</w:t>
        </w:r>
      </w:hyperlink>
    </w:p>
    <w:bookmarkEnd w:id="87"/>
    <w:bookmarkStart w:id="89" w:name="ref-Edgar2010Searchclusteringorders"/>
    <w:p>
      <w:pPr>
        <w:pStyle w:val="Bibliography"/>
      </w:pPr>
      <w:r>
        <w:t xml:space="preserve">Edgar, R.C., 2010. Search and clustering orders of magnitude faster than BLAST. Bioinformatics 26, 2460–2461.</w:t>
      </w:r>
      <w:r>
        <w:t xml:space="preserve"> </w:t>
      </w:r>
      <w:hyperlink r:id="rId88">
        <w:r>
          <w:rPr>
            <w:rStyle w:val="Hyperlink"/>
          </w:rPr>
          <w:t xml:space="preserve">https://doi.org/10.1093/bioinformatics/btq461</w:t>
        </w:r>
      </w:hyperlink>
    </w:p>
    <w:bookmarkEnd w:id="89"/>
    <w:bookmarkStart w:id="91" w:name="ref-Edgar2015Errorfilteringpair"/>
    <w:p>
      <w:pPr>
        <w:pStyle w:val="Bibliography"/>
      </w:pPr>
      <w:r>
        <w:t xml:space="preserve">Edgar, R.C., Flyvbjerg, H., 2015. Error filtering, pair assembly and error correction for next-generation sequencing reads. Bioinformatics 31, 3476–3482.</w:t>
      </w:r>
      <w:r>
        <w:t xml:space="preserve"> </w:t>
      </w:r>
      <w:hyperlink r:id="rId90">
        <w:r>
          <w:rPr>
            <w:rStyle w:val="Hyperlink"/>
          </w:rPr>
          <w:t xml:space="preserve">https://doi.org/10.1093/bioinformatics/btv401</w:t>
        </w:r>
      </w:hyperlink>
    </w:p>
    <w:bookmarkEnd w:id="91"/>
    <w:bookmarkStart w:id="93" w:name="ref-Edgar2011UCHIMEimprovessensitivity"/>
    <w:p>
      <w:pPr>
        <w:pStyle w:val="Bibliography"/>
      </w:pPr>
      <w:r>
        <w:t xml:space="preserve">Edgar, R.C., Haas, B.J., Clemente, J.C., Quince, C., Knight, R., 2011. UCHIME improves sensitivity and speed of chimera detection. Bioinformatics 27, 2194–2200.</w:t>
      </w:r>
      <w:r>
        <w:t xml:space="preserve"> </w:t>
      </w:r>
      <w:hyperlink r:id="rId92">
        <w:r>
          <w:rPr>
            <w:rStyle w:val="Hyperlink"/>
          </w:rPr>
          <w:t xml:space="preserve">https://doi.org/10.1093/bioinformatics/btr381</w:t>
        </w:r>
      </w:hyperlink>
    </w:p>
    <w:bookmarkEnd w:id="93"/>
    <w:bookmarkStart w:id="95" w:name="X7b30066f7ad789bde3b87197594d92104dbe379"/>
    <w:p>
      <w:pPr>
        <w:pStyle w:val="Bibliography"/>
      </w:pPr>
      <w:r>
        <w:t xml:space="preserve">Esling, P., Lejzerowicz, F., Pawlowski, J., 2015. Accurate multiplexing and filtering for high-throughput amplicon-sequencing. Nucleic Acids Research 43, 2513–2524.</w:t>
      </w:r>
      <w:r>
        <w:t xml:space="preserve"> </w:t>
      </w:r>
      <w:hyperlink r:id="rId94">
        <w:r>
          <w:rPr>
            <w:rStyle w:val="Hyperlink"/>
          </w:rPr>
          <w:t xml:space="preserve">https://doi.org/10.1093/nar/gkv107</w:t>
        </w:r>
      </w:hyperlink>
    </w:p>
    <w:bookmarkEnd w:id="95"/>
    <w:bookmarkStart w:id="97" w:name="ref-Hsieh2016iNEXTpackagerarefaction"/>
    <w:p>
      <w:pPr>
        <w:pStyle w:val="Bibliography"/>
      </w:pPr>
      <w:r>
        <w:t xml:space="preserve">Hsieh, T.C., Ma, K.H., Chao, A., 2016. iNEXT: An R package for rarefaction and extrapolation of species diversity (Hill numbers). Methods in Ecology and Evolution 7, 1451–1456.</w:t>
      </w:r>
      <w:r>
        <w:t xml:space="preserve"> </w:t>
      </w:r>
      <w:hyperlink r:id="rId96">
        <w:r>
          <w:rPr>
            <w:rStyle w:val="Hyperlink"/>
          </w:rPr>
          <w:t xml:space="preserve">https://doi.org/10.1111/2041-210X.12613</w:t>
        </w:r>
      </w:hyperlink>
    </w:p>
    <w:bookmarkEnd w:id="97"/>
    <w:bookmarkStart w:id="99" w:name="ref-Huson2007MEGANanalysismetagenomic"/>
    <w:p>
      <w:pPr>
        <w:pStyle w:val="Bibliography"/>
      </w:pPr>
      <w:r>
        <w:t xml:space="preserve">Huson, D.H., Auch, A.F., Qi, J., Schuster, S.C., 2007. MEGAN analysis of metagenomic data. Genome Research 17, 377–386.</w:t>
      </w:r>
      <w:r>
        <w:t xml:space="preserve"> </w:t>
      </w:r>
      <w:hyperlink r:id="rId98">
        <w:r>
          <w:rPr>
            <w:rStyle w:val="Hyperlink"/>
          </w:rPr>
          <w:t xml:space="preserve">https://doi.org/10.1101/gr.5969107</w:t>
        </w:r>
      </w:hyperlink>
    </w:p>
    <w:bookmarkEnd w:id="99"/>
    <w:bookmarkStart w:id="101" w:name="ref-Kembel2010Picantetoolsintegrating"/>
    <w:p>
      <w:pPr>
        <w:pStyle w:val="Bibliography"/>
      </w:pPr>
      <w:r>
        <w:t xml:space="preserve">Kembel, S.W., Cowan, P.D., Helmus, M.R., Cornwell, W.K., Morlon, H., Ackerly, D.D., Blomberg, S.P., Webb, C.O., 2010. Picante: R tools for integrating phylogenies and ecology. Bioinformatics 26, 1463–1464.</w:t>
      </w:r>
      <w:r>
        <w:t xml:space="preserve"> </w:t>
      </w:r>
      <w:hyperlink r:id="rId100">
        <w:r>
          <w:rPr>
            <w:rStyle w:val="Hyperlink"/>
          </w:rPr>
          <w:t xml:space="preserve">https://doi.org/10.1093/bioinformatics/btq166</w:t>
        </w:r>
      </w:hyperlink>
    </w:p>
    <w:bookmarkEnd w:id="101"/>
    <w:bookmarkStart w:id="103" w:name="ref-Komai2019Developmentnewset"/>
    <w:p>
      <w:pPr>
        <w:pStyle w:val="Bibliography"/>
      </w:pPr>
      <w:r>
        <w:t xml:space="preserve">Komai, T., Gotoh, R.O., Sado, T., Miya, M., 2019. Development of a new set of PCR primers for eDNA metabarcoding decapod crustaceans. Metabarcoding and Metagenomics 3, e33835.</w:t>
      </w:r>
      <w:r>
        <w:t xml:space="preserve"> </w:t>
      </w:r>
      <w:hyperlink r:id="rId102">
        <w:r>
          <w:rPr>
            <w:rStyle w:val="Hyperlink"/>
          </w:rPr>
          <w:t xml:space="preserve">https://doi.org/10.3897/mbmg.3.33835</w:t>
        </w:r>
      </w:hyperlink>
    </w:p>
    <w:bookmarkEnd w:id="103"/>
    <w:bookmarkStart w:id="105" w:name="X49cf763435f0da31f7181be37a696ec8530c862"/>
    <w:p>
      <w:pPr>
        <w:pStyle w:val="Bibliography"/>
      </w:pPr>
      <w:r>
        <w:t xml:space="preserve">Miya, M., Gotoh, R.O., Sado, T., 2020. MiFish metabarcoding: A high-throughput approach for simultaneous detection of multiple fish species from environmental DNA and other samples. Fisheries Science 86, 939–970.</w:t>
      </w:r>
      <w:r>
        <w:t xml:space="preserve"> </w:t>
      </w:r>
      <w:hyperlink r:id="rId104">
        <w:r>
          <w:rPr>
            <w:rStyle w:val="Hyperlink"/>
          </w:rPr>
          <w:t xml:space="preserve">https://doi.org/10.1007/s12562-020-01461-x</w:t>
        </w:r>
      </w:hyperlink>
    </w:p>
    <w:bookmarkEnd w:id="105"/>
    <w:bookmarkStart w:id="107" w:name="ref-Miya2015MiFishsetuniversal"/>
    <w:p>
      <w:pPr>
        <w:pStyle w:val="Bibliography"/>
      </w:pPr>
      <w:r>
        <w:t xml:space="preserve">Miya, M., Sato, Y., Fukunaga, T., Sado, T., Poulsen, J.Y., Sato, K., Minamoto, T., Yamamoto, S., Yamanaka, H., Araki, H., Kondoh, M., Iwasaki, W., 2015. MiFish, a set of universal PCR primers for metabarcoding environmental DNA from fishes: Detection of more than 230 subtropical marine species. Royal Society Open Science 2, 150088.</w:t>
      </w:r>
      <w:r>
        <w:t xml:space="preserve"> </w:t>
      </w:r>
      <w:hyperlink r:id="rId106">
        <w:r>
          <w:rPr>
            <w:rStyle w:val="Hyperlink"/>
          </w:rPr>
          <w:t xml:space="preserve">https://doi.org/10.1098/rsos.150088</w:t>
        </w:r>
      </w:hyperlink>
    </w:p>
    <w:bookmarkEnd w:id="107"/>
    <w:bookmarkStart w:id="109" w:name="Xb5489c4465f4c1c7dcd80a3ff0501eb4665b501"/>
    <w:p>
      <w:pPr>
        <w:pStyle w:val="Bibliography"/>
      </w:pPr>
      <w:r>
        <w:t xml:space="preserve">Osada, Y., Ushio, M., Michio, K., 2023. A unified framework for nonparametric causality detection.</w:t>
      </w:r>
      <w:r>
        <w:t xml:space="preserve"> </w:t>
      </w:r>
      <w:hyperlink r:id="rId108">
        <w:r>
          <w:rPr>
            <w:rStyle w:val="Hyperlink"/>
          </w:rPr>
          <w:t xml:space="preserve">https://doi.org/10.1101/2023.04.20.537743</w:t>
        </w:r>
      </w:hyperlink>
    </w:p>
    <w:bookmarkEnd w:id="109"/>
    <w:bookmarkStart w:id="111" w:name="ref-Rognes2016VSEARCHversatileopen"/>
    <w:p>
      <w:pPr>
        <w:pStyle w:val="Bibliography"/>
      </w:pPr>
      <w:r>
        <w:t xml:space="preserve">Rognes, T., Flouri, T., Nichols, B., Quince, C., Mahé, F., 2016. VSEARCH: A versatile open source tool for metagenomics. PeerJ 4, e2584.</w:t>
      </w:r>
      <w:r>
        <w:t xml:space="preserve"> </w:t>
      </w:r>
      <w:hyperlink r:id="rId110">
        <w:r>
          <w:rPr>
            <w:rStyle w:val="Hyperlink"/>
          </w:rPr>
          <w:t xml:space="preserve">https://doi.org/10.7717/peerj.2584</w:t>
        </w:r>
      </w:hyperlink>
    </w:p>
    <w:bookmarkEnd w:id="111"/>
    <w:bookmarkStart w:id="113" w:name="ref-Sakata2022DevelopmentevaluationPCR"/>
    <w:p>
      <w:pPr>
        <w:pStyle w:val="Bibliography"/>
      </w:pPr>
      <w:r>
        <w:t xml:space="preserve">Sakata, M.K., Kawata, M.U., Kurabayashi, A., Kurita, T., Nakamura, M., Shirako, T., Kakehashi, R., Nishikawa, K., Hossman, M.Y., Nishijima, T., Kabamoto, J., Miya, M., Minamoto, T., 2022. Development and evaluation of PCR primers for environmental DNA (eDNA) metabarcoding of Amphibia. Metabarcoding and Metagenomics 6, e76534.</w:t>
      </w:r>
      <w:r>
        <w:t xml:space="preserve"> </w:t>
      </w:r>
      <w:hyperlink r:id="rId112">
        <w:r>
          <w:rPr>
            <w:rStyle w:val="Hyperlink"/>
          </w:rPr>
          <w:t xml:space="preserve">https://doi.org/10.3897/mbmg.6.76534</w:t>
        </w:r>
      </w:hyperlink>
    </w:p>
    <w:bookmarkEnd w:id="113"/>
    <w:bookmarkStart w:id="115" w:name="ref-Sato2018MitoFishMiFishPipeline"/>
    <w:p>
      <w:pPr>
        <w:pStyle w:val="Bibliography"/>
      </w:pPr>
      <w:r>
        <w:t xml:space="preserve">Sato, Y., Miya, M., Fukunaga, T., Sado, T., Iwasaki, W., 2018. MitoFish and MiFish Pipeline: A Mitochondrial Genome Database of Fish with an Analysis Pipeline for Environmental DNA Metabarcoding. Molecular Biology and Evolution 35, 1553–1555.</w:t>
      </w:r>
      <w:r>
        <w:t xml:space="preserve"> </w:t>
      </w:r>
      <w:hyperlink r:id="rId114">
        <w:r>
          <w:rPr>
            <w:rStyle w:val="Hyperlink"/>
          </w:rPr>
          <w:t xml:space="preserve">https://doi.org/10.1093/molbev/msy074</w:t>
        </w:r>
      </w:hyperlink>
    </w:p>
    <w:bookmarkEnd w:id="115"/>
    <w:bookmarkStart w:id="117" w:name="ref-Takenaka2023DevelopmentnovelPCR"/>
    <w:p>
      <w:pPr>
        <w:pStyle w:val="Bibliography"/>
      </w:pPr>
      <w:r>
        <w:t xml:space="preserve">Takenaka, M., Yano, K., Suzuki, T., Tojo, K., 2023. Development of novel PCR primer sets for DNA barcoding of aquatic insects, and the discovery of some cryptic species. Limnology 24, 121–136.</w:t>
      </w:r>
      <w:r>
        <w:t xml:space="preserve"> </w:t>
      </w:r>
      <w:hyperlink r:id="rId116">
        <w:r>
          <w:rPr>
            <w:rStyle w:val="Hyperlink"/>
          </w:rPr>
          <w:t xml:space="preserve">https://doi.org/10.1007/s10201-022-00710-5</w:t>
        </w:r>
      </w:hyperlink>
    </w:p>
    <w:bookmarkEnd w:id="117"/>
    <w:bookmarkStart w:id="119" w:name="ref-Tanabe2013TwoNewComputational"/>
    <w:p>
      <w:pPr>
        <w:pStyle w:val="Bibliography"/>
      </w:pPr>
      <w:r>
        <w:t xml:space="preserve">Tanabe, A.S., Toju, H., 2013. Two New Computational Methods for Universal DNA Barcoding: A Benchmark Using Barcode Sequences of Bacteria, Archaea, Animals, Fungi, and Land Plants. PLOS ONE 8, e76910.</w:t>
      </w:r>
      <w:r>
        <w:t xml:space="preserve"> </w:t>
      </w:r>
      <w:hyperlink r:id="rId118">
        <w:r>
          <w:rPr>
            <w:rStyle w:val="Hyperlink"/>
          </w:rPr>
          <w:t xml:space="preserve">https://doi.org/10.1371/journal.pone.0076910</w:t>
        </w:r>
      </w:hyperlink>
    </w:p>
    <w:bookmarkEnd w:id="119"/>
    <w:bookmarkStart w:id="121" w:name="ref-Ushio2017EnvironmentalDNAenables"/>
    <w:p>
      <w:pPr>
        <w:pStyle w:val="Bibliography"/>
      </w:pPr>
      <w:r>
        <w:t xml:space="preserve">Ushio, M., Fukuda, H., Inoue, T., Makoto, K., Kishida, O., Sato, K., Murata, K., Nikaido, M., Sado, T., Sato, Y., Takeshita, M., Iwasaki, W., Yamanaka, H., Kondoh, M., Miya, M., 2017. Environmental DNA enables detection of terrestrial mammals from forest pond water. Molecular Ecology Resources 17, e63–e75.</w:t>
      </w:r>
      <w:r>
        <w:t xml:space="preserve"> </w:t>
      </w:r>
      <w:hyperlink r:id="rId120">
        <w:r>
          <w:rPr>
            <w:rStyle w:val="Hyperlink"/>
          </w:rPr>
          <w:t xml:space="preserve">https://doi.org/10.1111/1755-0998.12690</w:t>
        </w:r>
      </w:hyperlink>
    </w:p>
    <w:bookmarkEnd w:id="121"/>
    <w:bookmarkStart w:id="123" w:name="Xa784d30867563540627e1d7a6dcc22df1df8fb8"/>
    <w:p>
      <w:pPr>
        <w:pStyle w:val="Bibliography"/>
      </w:pPr>
      <w:r>
        <w:t xml:space="preserve">Ushio, M., Furukawa, S., Murakami, H., Masuda, R., Nagano, A.J., 2022. An efficient early-pooling protocol for environmental DNA metabarcoding. Environmental DNA 4, 1212–1228.</w:t>
      </w:r>
      <w:r>
        <w:t xml:space="preserve"> </w:t>
      </w:r>
      <w:hyperlink r:id="rId122">
        <w:r>
          <w:rPr>
            <w:rStyle w:val="Hyperlink"/>
          </w:rPr>
          <w:t xml:space="preserve">https://doi.org/10.1002/edn3.337</w:t>
        </w:r>
      </w:hyperlink>
    </w:p>
    <w:bookmarkEnd w:id="123"/>
    <w:bookmarkStart w:id="125" w:name="Xb70268fb8d30bc36d7218049aa0a0593819a413"/>
    <w:p>
      <w:pPr>
        <w:pStyle w:val="Bibliography"/>
      </w:pPr>
      <w:r>
        <w:t xml:space="preserve">Ushio, M., Murakami, H., Masuda, R., Sado, T., Miya, M., Sakurai, S., Yamanaka, H., Minamoto, T., Kondoh, M., 2018. Quantitative monitoring of multispecies fish environmental DNA using high-throughput sequencing. Metabarcoding and Metagenomics 2, e23297.</w:t>
      </w:r>
      <w:r>
        <w:t xml:space="preserve"> </w:t>
      </w:r>
      <w:hyperlink r:id="rId124">
        <w:r>
          <w:rPr>
            <w:rStyle w:val="Hyperlink"/>
          </w:rPr>
          <w:t xml:space="preserve">https://doi.org/10.3897/mbmg.2.23297</w:t>
        </w:r>
      </w:hyperlink>
    </w:p>
    <w:bookmarkEnd w:id="125"/>
    <w:bookmarkStart w:id="127" w:name="X825629c0fd5f4225af5d59edf6d209b5c564ef2"/>
    <w:p>
      <w:pPr>
        <w:pStyle w:val="Bibliography"/>
      </w:pPr>
      <w:r>
        <w:t xml:space="preserve">Ushio, M., Murata, K., Sado, T., Nishiumi, I., Takeshita, M., Iwasaki, W., Miya, M., 2018. Demonstration of the potential of environmental DNA as a tool for the detection of avian species. Scientific Reports 8, 4493.</w:t>
      </w:r>
      <w:r>
        <w:t xml:space="preserve"> </w:t>
      </w:r>
      <w:hyperlink r:id="rId126">
        <w:r>
          <w:rPr>
            <w:rStyle w:val="Hyperlink"/>
          </w:rPr>
          <w:t xml:space="preserve">https://doi.org/10.1038/s41598-018-22817-5</w:t>
        </w:r>
      </w:hyperlink>
    </w:p>
    <w:bookmarkEnd w:id="127"/>
    <w:bookmarkStart w:id="129" w:name="X1f074db7003527090399b02c766a63d468281d4"/>
    <w:p>
      <w:pPr>
        <w:pStyle w:val="Bibliography"/>
      </w:pPr>
      <w:r>
        <w:t xml:space="preserve">Ye, H., Sugihara, G., 2016. Information leverage in interconnected ecosystems: Overcoming the curse of dimensionality. Science 353, 922–925.</w:t>
      </w:r>
      <w:r>
        <w:t xml:space="preserve"> </w:t>
      </w:r>
      <w:hyperlink r:id="rId128">
        <w:r>
          <w:rPr>
            <w:rStyle w:val="Hyperlink"/>
          </w:rPr>
          <w:t xml:space="preserve">https://doi.org/10.1126/science.aag0863</w:t>
        </w:r>
      </w:hyperlink>
    </w:p>
    <w:bookmarkEnd w:id="129"/>
    <w:bookmarkStart w:id="131" w:name="ref-Zhu2023MitoFishMitoAnnotatorMiFish"/>
    <w:p>
      <w:pPr>
        <w:pStyle w:val="Bibliography"/>
      </w:pPr>
      <w:r>
        <w:t xml:space="preserve">Zhu, T., Sato, Y., Sado, T., Miya, M., Iwasaki, W., 2023. MitoFish, MitoAnnotator, and MiFish Pipeline: Updates in 10 Years. Molecular Biology and Evolution 40, msad035.</w:t>
      </w:r>
      <w:r>
        <w:t xml:space="preserve"> </w:t>
      </w:r>
      <w:hyperlink r:id="rId130">
        <w:r>
          <w:rPr>
            <w:rStyle w:val="Hyperlink"/>
          </w:rPr>
          <w:t xml:space="preserve">https://doi.org/10.1093/molbev/msad035</w:t>
        </w:r>
      </w:hyperlink>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cran.r-project.org/web/packages/mpmcorrelogram/" TargetMode="External" /><Relationship Type="http://schemas.openxmlformats.org/officeDocument/2006/relationships/hyperlink" Id="rId70" Target="https://cran.r-project.org/web/packages/picante/" TargetMode="External" /><Relationship Type="http://schemas.openxmlformats.org/officeDocument/2006/relationships/hyperlink" Id="rId122" Target="https://doi.org/10.1002/edn3.337" TargetMode="External" /><Relationship Type="http://schemas.openxmlformats.org/officeDocument/2006/relationships/hyperlink" Id="rId116" Target="https://doi.org/10.1007/s10201-022-00710-5" TargetMode="External" /><Relationship Type="http://schemas.openxmlformats.org/officeDocument/2006/relationships/hyperlink" Id="rId104" Target="https://doi.org/10.1007/s12562-020-01461-x" TargetMode="External" /><Relationship Type="http://schemas.openxmlformats.org/officeDocument/2006/relationships/hyperlink" Id="rId78" Target="https://doi.org/10.1038/nmeth.3869" TargetMode="External" /><Relationship Type="http://schemas.openxmlformats.org/officeDocument/2006/relationships/hyperlink" Id="rId126" Target="https://doi.org/10.1038/s41598-018-22817-5" TargetMode="External" /><Relationship Type="http://schemas.openxmlformats.org/officeDocument/2006/relationships/hyperlink" Id="rId100" Target="https://doi.org/10.1093/bioinformatics/btq166" TargetMode="External" /><Relationship Type="http://schemas.openxmlformats.org/officeDocument/2006/relationships/hyperlink" Id="rId88" Target="https://doi.org/10.1093/bioinformatics/btq461" TargetMode="External" /><Relationship Type="http://schemas.openxmlformats.org/officeDocument/2006/relationships/hyperlink" Id="rId92" Target="https://doi.org/10.1093/bioinformatics/btr381" TargetMode="External" /><Relationship Type="http://schemas.openxmlformats.org/officeDocument/2006/relationships/hyperlink" Id="rId90" Target="https://doi.org/10.1093/bioinformatics/btv401" TargetMode="External" /><Relationship Type="http://schemas.openxmlformats.org/officeDocument/2006/relationships/hyperlink" Id="rId130" Target="https://doi.org/10.1093/molbev/msad035" TargetMode="External" /><Relationship Type="http://schemas.openxmlformats.org/officeDocument/2006/relationships/hyperlink" Id="rId114" Target="https://doi.org/10.1093/molbev/msy074" TargetMode="External" /><Relationship Type="http://schemas.openxmlformats.org/officeDocument/2006/relationships/hyperlink" Id="rId94" Target="https://doi.org/10.1093/nar/gkv107" TargetMode="External" /><Relationship Type="http://schemas.openxmlformats.org/officeDocument/2006/relationships/hyperlink" Id="rId106" Target="https://doi.org/10.1098/rsos.150088" TargetMode="External" /><Relationship Type="http://schemas.openxmlformats.org/officeDocument/2006/relationships/hyperlink" Id="rId86" Target="https://doi.org/10.1101/074252" TargetMode="External" /><Relationship Type="http://schemas.openxmlformats.org/officeDocument/2006/relationships/hyperlink" Id="rId108" Target="https://doi.org/10.1101/2023.04.20.537743" TargetMode="External" /><Relationship Type="http://schemas.openxmlformats.org/officeDocument/2006/relationships/hyperlink" Id="rId98" Target="https://doi.org/10.1101/gr.5969107" TargetMode="External" /><Relationship Type="http://schemas.openxmlformats.org/officeDocument/2006/relationships/hyperlink" Id="rId120" Target="https://doi.org/10.1111/1755-0998.12690" TargetMode="External" /><Relationship Type="http://schemas.openxmlformats.org/officeDocument/2006/relationships/hyperlink" Id="rId96" Target="https://doi.org/10.1111/2041-210X.12613" TargetMode="External" /><Relationship Type="http://schemas.openxmlformats.org/officeDocument/2006/relationships/hyperlink" Id="rId128" Target="https://doi.org/10.1126/science.aag0863" TargetMode="External" /><Relationship Type="http://schemas.openxmlformats.org/officeDocument/2006/relationships/hyperlink" Id="rId118" Target="https://doi.org/10.1371/journal.pone.0076910" TargetMode="External" /><Relationship Type="http://schemas.openxmlformats.org/officeDocument/2006/relationships/hyperlink" Id="rId82" Target="https://doi.org/10.1890/11-1952.1" TargetMode="External" /><Relationship Type="http://schemas.openxmlformats.org/officeDocument/2006/relationships/hyperlink" Id="rId80" Target="https://doi.org/10.1890/13-0133.1" TargetMode="External" /><Relationship Type="http://schemas.openxmlformats.org/officeDocument/2006/relationships/hyperlink" Id="rId124" Target="https://doi.org/10.3897/mbmg.2.23297" TargetMode="External" /><Relationship Type="http://schemas.openxmlformats.org/officeDocument/2006/relationships/hyperlink" Id="rId102" Target="https://doi.org/10.3897/mbmg.3.33835" TargetMode="External" /><Relationship Type="http://schemas.openxmlformats.org/officeDocument/2006/relationships/hyperlink" Id="rId112" Target="https://doi.org/10.3897/mbmg.6.76534" TargetMode="External" /><Relationship Type="http://schemas.openxmlformats.org/officeDocument/2006/relationships/hyperlink" Id="rId84" Target="https://doi.org/10.7717/peerj.1634" TargetMode="External" /><Relationship Type="http://schemas.openxmlformats.org/officeDocument/2006/relationships/hyperlink" Id="rId110" Target="https://doi.org/10.7717/peerj.2584" TargetMode="External" /><Relationship Type="http://schemas.openxmlformats.org/officeDocument/2006/relationships/hyperlink" Id="rId69" Target="https://github.com/JohnsonHsieh/iNEXT" TargetMode="External" /><Relationship Type="http://schemas.openxmlformats.org/officeDocument/2006/relationships/hyperlink" Id="rId71"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2" Target="https://github.com/biometry/bipartite" TargetMode="External" /><Relationship Type="http://schemas.openxmlformats.org/officeDocument/2006/relationships/hyperlink" Id="rId73" Target="https://github.com/shimo-lab/pvclust" TargetMode="External" /><Relationship Type="http://schemas.openxmlformats.org/officeDocument/2006/relationships/hyperlink" Id="rId68" Target="https://github.com/vegandevs/vegan" TargetMode="External" /><Relationship Type="http://schemas.openxmlformats.org/officeDocument/2006/relationships/hyperlink" Id="rId76" Target="https://github.com/yutakaos/rUIC" TargetMode="External" /><Relationship Type="http://schemas.openxmlformats.org/officeDocument/2006/relationships/hyperlink" Id="rId75" Target="https://ha0ye.github.io/rEDM/" TargetMode="External" /><Relationship Type="http://schemas.openxmlformats.org/officeDocument/2006/relationships/hyperlink" Id="rId39" Target="https://jp.support.illumina.com/sequencing/sequencing_software/bcl-convert.html" TargetMode="External" /><Relationship Type="http://schemas.openxmlformats.org/officeDocument/2006/relationships/hyperlink" Id="rId38" Target="https://jp.support.illumina.com/sequencing/sequencing_software/bcl2fastq-conversion-software.html" TargetMode="External" /><Relationship Type="http://schemas.openxmlformats.org/officeDocument/2006/relationships/hyperlink" Id="rId22" Target="https://www.claident.org/" TargetMode="External" /></Relationships>
</file>

<file path=word/_rels/footnotes.xml.rels><?xml version="1.0" encoding="UTF-8"?>
<Relationships xmlns="http://schemas.openxmlformats.org/package/2006/relationships"><Relationship Type="http://schemas.openxmlformats.org/officeDocument/2006/relationships/hyperlink" Id="rId74" Target="https://cran.r-project.org/web/packages/mpmcorrelogram/" TargetMode="External" /><Relationship Type="http://schemas.openxmlformats.org/officeDocument/2006/relationships/hyperlink" Id="rId70" Target="https://cran.r-project.org/web/packages/picante/" TargetMode="External" /><Relationship Type="http://schemas.openxmlformats.org/officeDocument/2006/relationships/hyperlink" Id="rId122" Target="https://doi.org/10.1002/edn3.337" TargetMode="External" /><Relationship Type="http://schemas.openxmlformats.org/officeDocument/2006/relationships/hyperlink" Id="rId116" Target="https://doi.org/10.1007/s10201-022-00710-5" TargetMode="External" /><Relationship Type="http://schemas.openxmlformats.org/officeDocument/2006/relationships/hyperlink" Id="rId104" Target="https://doi.org/10.1007/s12562-020-01461-x" TargetMode="External" /><Relationship Type="http://schemas.openxmlformats.org/officeDocument/2006/relationships/hyperlink" Id="rId78" Target="https://doi.org/10.1038/nmeth.3869" TargetMode="External" /><Relationship Type="http://schemas.openxmlformats.org/officeDocument/2006/relationships/hyperlink" Id="rId126" Target="https://doi.org/10.1038/s41598-018-22817-5" TargetMode="External" /><Relationship Type="http://schemas.openxmlformats.org/officeDocument/2006/relationships/hyperlink" Id="rId100" Target="https://doi.org/10.1093/bioinformatics/btq166" TargetMode="External" /><Relationship Type="http://schemas.openxmlformats.org/officeDocument/2006/relationships/hyperlink" Id="rId88" Target="https://doi.org/10.1093/bioinformatics/btq461" TargetMode="External" /><Relationship Type="http://schemas.openxmlformats.org/officeDocument/2006/relationships/hyperlink" Id="rId92" Target="https://doi.org/10.1093/bioinformatics/btr381" TargetMode="External" /><Relationship Type="http://schemas.openxmlformats.org/officeDocument/2006/relationships/hyperlink" Id="rId90" Target="https://doi.org/10.1093/bioinformatics/btv401" TargetMode="External" /><Relationship Type="http://schemas.openxmlformats.org/officeDocument/2006/relationships/hyperlink" Id="rId130" Target="https://doi.org/10.1093/molbev/msad035" TargetMode="External" /><Relationship Type="http://schemas.openxmlformats.org/officeDocument/2006/relationships/hyperlink" Id="rId114" Target="https://doi.org/10.1093/molbev/msy074" TargetMode="External" /><Relationship Type="http://schemas.openxmlformats.org/officeDocument/2006/relationships/hyperlink" Id="rId94" Target="https://doi.org/10.1093/nar/gkv107" TargetMode="External" /><Relationship Type="http://schemas.openxmlformats.org/officeDocument/2006/relationships/hyperlink" Id="rId106" Target="https://doi.org/10.1098/rsos.150088" TargetMode="External" /><Relationship Type="http://schemas.openxmlformats.org/officeDocument/2006/relationships/hyperlink" Id="rId86" Target="https://doi.org/10.1101/074252" TargetMode="External" /><Relationship Type="http://schemas.openxmlformats.org/officeDocument/2006/relationships/hyperlink" Id="rId108" Target="https://doi.org/10.1101/2023.04.20.537743" TargetMode="External" /><Relationship Type="http://schemas.openxmlformats.org/officeDocument/2006/relationships/hyperlink" Id="rId98" Target="https://doi.org/10.1101/gr.5969107" TargetMode="External" /><Relationship Type="http://schemas.openxmlformats.org/officeDocument/2006/relationships/hyperlink" Id="rId120" Target="https://doi.org/10.1111/1755-0998.12690" TargetMode="External" /><Relationship Type="http://schemas.openxmlformats.org/officeDocument/2006/relationships/hyperlink" Id="rId96" Target="https://doi.org/10.1111/2041-210X.12613" TargetMode="External" /><Relationship Type="http://schemas.openxmlformats.org/officeDocument/2006/relationships/hyperlink" Id="rId128" Target="https://doi.org/10.1126/science.aag0863" TargetMode="External" /><Relationship Type="http://schemas.openxmlformats.org/officeDocument/2006/relationships/hyperlink" Id="rId118" Target="https://doi.org/10.1371/journal.pone.0076910" TargetMode="External" /><Relationship Type="http://schemas.openxmlformats.org/officeDocument/2006/relationships/hyperlink" Id="rId82" Target="https://doi.org/10.1890/11-1952.1" TargetMode="External" /><Relationship Type="http://schemas.openxmlformats.org/officeDocument/2006/relationships/hyperlink" Id="rId80" Target="https://doi.org/10.1890/13-0133.1" TargetMode="External" /><Relationship Type="http://schemas.openxmlformats.org/officeDocument/2006/relationships/hyperlink" Id="rId124" Target="https://doi.org/10.3897/mbmg.2.23297" TargetMode="External" /><Relationship Type="http://schemas.openxmlformats.org/officeDocument/2006/relationships/hyperlink" Id="rId102" Target="https://doi.org/10.3897/mbmg.3.33835" TargetMode="External" /><Relationship Type="http://schemas.openxmlformats.org/officeDocument/2006/relationships/hyperlink" Id="rId112" Target="https://doi.org/10.3897/mbmg.6.76534" TargetMode="External" /><Relationship Type="http://schemas.openxmlformats.org/officeDocument/2006/relationships/hyperlink" Id="rId84" Target="https://doi.org/10.7717/peerj.1634" TargetMode="External" /><Relationship Type="http://schemas.openxmlformats.org/officeDocument/2006/relationships/hyperlink" Id="rId110" Target="https://doi.org/10.7717/peerj.2584" TargetMode="External" /><Relationship Type="http://schemas.openxmlformats.org/officeDocument/2006/relationships/hyperlink" Id="rId69" Target="https://github.com/JohnsonHsieh/iNEXT" TargetMode="External" /><Relationship Type="http://schemas.openxmlformats.org/officeDocument/2006/relationships/hyperlink" Id="rId71"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2" Target="https://github.com/biometry/bipartite" TargetMode="External" /><Relationship Type="http://schemas.openxmlformats.org/officeDocument/2006/relationships/hyperlink" Id="rId73" Target="https://github.com/shimo-lab/pvclust" TargetMode="External" /><Relationship Type="http://schemas.openxmlformats.org/officeDocument/2006/relationships/hyperlink" Id="rId68" Target="https://github.com/vegandevs/vegan" TargetMode="External" /><Relationship Type="http://schemas.openxmlformats.org/officeDocument/2006/relationships/hyperlink" Id="rId76" Target="https://github.com/yutakaos/rUIC" TargetMode="External" /><Relationship Type="http://schemas.openxmlformats.org/officeDocument/2006/relationships/hyperlink" Id="rId75" Target="https://ha0ye.github.io/rEDM/" TargetMode="External" /><Relationship Type="http://schemas.openxmlformats.org/officeDocument/2006/relationships/hyperlink" Id="rId39" Target="https://jp.support.illumina.com/sequencing/sequencing_software/bcl-convert.html" TargetMode="External" /><Relationship Type="http://schemas.openxmlformats.org/officeDocument/2006/relationships/hyperlink" Id="rId38" Target="https://jp.support.illumina.com/sequencing/sequencing_software/bcl2fastq-conversion-software.html" TargetMode="External" /><Relationship Type="http://schemas.openxmlformats.org/officeDocument/2006/relationships/hyperlink" Id="rId22" Target="https://www.claiden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2024-01-25T19:45:35Z</dcterms:created>
  <dcterms:modified xsi:type="dcterms:W3CDTF">2024-01-25T19:45:35Z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metabarcodinganalysiswithClaident.bib</vt:lpwstr>
  </property>
  <property fmtid="{D5CDD505-2E9C-101B-9397-08002B2CF9AE}" pid="3" name="classoption">
    <vt:lpwstr>pandoc</vt:lpwstr>
  </property>
  <property fmtid="{D5CDD505-2E9C-101B-9397-08002B2CF9AE}" pid="4" name="csl">
    <vt:lpwstr>elsevier-harvard.csl</vt:lpwstr>
  </property>
  <property fmtid="{D5CDD505-2E9C-101B-9397-08002B2CF9AE}" pid="5" name="date">
    <vt:lpwstr>2024-01-24</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