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2024-02-07</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Claidentの読みは「クライデン」です(末尾のtは発音しません)。</w:t>
      </w:r>
      <w:r>
        <w:t xml:space="preserve"> </w:t>
      </w:r>
      <w:r>
        <w:t xml:space="preserve">名前の由来は「CLAssification」と「IDENTification」です。</w:t>
      </w:r>
      <w:r>
        <w:t xml:space="preserve"> </w:t>
      </w:r>
      <w:r>
        <w:t xml:space="preserve">MiFish pipeline</w:t>
      </w:r>
      <w:r>
        <w:t xml:space="preserve"> </w:t>
      </w:r>
      <w:r>
        <w:t xml:space="preserve">(Sato</w:t>
      </w:r>
      <w:r>
        <w:t xml:space="preserve"> </w:t>
      </w:r>
      <w:r>
        <w:rPr>
          <w:i/>
        </w:rPr>
        <w:t xml:space="preserve">et al.</w:t>
      </w:r>
      <w:r>
        <w:t xml:space="preserve"> </w:t>
      </w:r>
      <w:r>
        <w:t xml:space="preserve">2018; Zhu</w:t>
      </w:r>
      <w:r>
        <w:t xml:space="preserve"> </w:t>
      </w:r>
      <w:r>
        <w:rPr>
          <w:i/>
        </w:rPr>
        <w:t xml:space="preserve">et al.</w:t>
      </w:r>
      <w:r>
        <w:t xml:space="preserve"> </w:t>
      </w:r>
      <w:r>
        <w:t xml:space="preserve">2023)</w:t>
      </w:r>
      <w:r>
        <w:t xml:space="preserve">との違いは、大まかには以下の通りです。</w:t>
      </w:r>
    </w:p>
    <w:p>
      <w:pPr>
        <w:numPr>
          <w:ilvl w:val="0"/>
          <w:numId w:val="1001"/>
        </w:numPr>
        <w:pStyle w:val="Compact"/>
      </w:pPr>
      <w:r>
        <w:t xml:space="preserve">MiFishプライマー</w:t>
      </w:r>
      <w:r>
        <w:t xml:space="preserve"> </w:t>
      </w:r>
      <w:r>
        <w:t xml:space="preserve">(Miya</w:t>
      </w:r>
      <w:r>
        <w:t xml:space="preserve"> </w:t>
      </w:r>
      <w:r>
        <w:rPr>
          <w:i/>
        </w:rPr>
        <w:t xml:space="preserve">et al.</w:t>
      </w:r>
      <w:r>
        <w:t xml:space="preserve"> </w:t>
      </w:r>
      <w:r>
        <w:t xml:space="preserve">2020, 2015)</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非定量および定量メタバーコーディング</w:t>
      </w:r>
      <w:r>
        <w:t xml:space="preserve"> </w:t>
      </w:r>
      <w:r>
        <w:t xml:space="preserve">(Ushio</w:t>
      </w:r>
      <w:r>
        <w:t xml:space="preserve"> </w:t>
      </w:r>
      <w:r>
        <w:rPr>
          <w:i/>
        </w:rPr>
        <w:t xml:space="preserve">et al.</w:t>
      </w:r>
      <w:r>
        <w:t xml:space="preserve"> </w:t>
      </w:r>
      <w:r>
        <w:t xml:space="preserve">2018a)</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本章のサポートページを下記URLに設置していますので、適宜ご参照下さい。</w:t>
      </w:r>
    </w:p>
    <w:p>
      <w:pPr>
        <w:numPr>
          <w:ilvl w:val="0"/>
          <w:numId w:val="1002"/>
        </w:numPr>
        <w:pStyle w:val="Compact"/>
      </w:pPr>
      <w:hyperlink r:id="rId21">
        <w:r>
          <w:rPr>
            <w:rStyle w:val="Hyperlink"/>
          </w:rPr>
          <w:t xml:space="preserve">https://github.com/astanabe/eDNAmanual</w:t>
        </w:r>
      </w:hyperlink>
    </w:p>
    <w:p>
      <w:pPr>
        <w:pStyle w:val="FirstParagraph"/>
      </w:pPr>
      <w:r>
        <w:t xml:space="preserve">サンプルデータ、サンプルファイル、本章の原稿ファイル等が置いてあります。</w:t>
      </w:r>
    </w:p>
    <w:p>
      <w:pPr>
        <w:pStyle w:val="BodyText"/>
      </w:pPr>
      <w:r>
        <w:t xml:space="preserve">Claidentの詳細については下記URLをご参照下さい。</w:t>
      </w:r>
    </w:p>
    <w:p>
      <w:pPr>
        <w:numPr>
          <w:ilvl w:val="0"/>
          <w:numId w:val="1003"/>
        </w:numPr>
        <w:pStyle w:val="Compact"/>
      </w:pPr>
      <w:hyperlink r:id="rId22">
        <w:r>
          <w:rPr>
            <w:rStyle w:val="Hyperlink"/>
          </w:rPr>
          <w:t xml:space="preserve">https://www.claident.org/</w:t>
        </w:r>
      </w:hyperlink>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3" w:name="claidentの動作環境およびインストール方法"/>
      <w:r>
        <w:t xml:space="preserve">Claidentの動作環境およびインストール方法</w:t>
      </w:r>
      <w:bookmarkEnd w:id="23"/>
    </w:p>
    <w:p>
      <w:pPr>
        <w:pStyle w:val="FirstParagraph"/>
      </w:pPr>
      <w:r>
        <w:t xml:space="preserve">Claidentは、以下の環境で動作するように作成されています。</w:t>
      </w:r>
    </w:p>
    <w:p>
      <w:pPr>
        <w:numPr>
          <w:ilvl w:val="0"/>
          <w:numId w:val="1004"/>
        </w:numPr>
        <w:pStyle w:val="Compact"/>
      </w:pPr>
      <w:r>
        <w:t xml:space="preserve">Debian 11以降 (Windows上のWSL環境を含む)</w:t>
      </w:r>
    </w:p>
    <w:p>
      <w:pPr>
        <w:numPr>
          <w:ilvl w:val="0"/>
          <w:numId w:val="1004"/>
        </w:numPr>
        <w:pStyle w:val="Compact"/>
      </w:pPr>
      <w:r>
        <w:t xml:space="preserve">Ubuntu 20.04以降 (Windows上のWSL環境を含む)</w:t>
      </w:r>
    </w:p>
    <w:p>
      <w:pPr>
        <w:numPr>
          <w:ilvl w:val="0"/>
          <w:numId w:val="1004"/>
        </w:numPr>
        <w:pStyle w:val="Compact"/>
      </w:pPr>
      <w:r>
        <w:t xml:space="preserve">Linux Mint 20以降</w:t>
      </w:r>
    </w:p>
    <w:p>
      <w:pPr>
        <w:numPr>
          <w:ilvl w:val="0"/>
          <w:numId w:val="1004"/>
        </w:numPr>
        <w:pStyle w:val="Compact"/>
      </w:pPr>
      <w:r>
        <w:t xml:space="preserve">RedHat Enterprise Linux 8以降</w:t>
      </w:r>
    </w:p>
    <w:p>
      <w:pPr>
        <w:numPr>
          <w:ilvl w:val="0"/>
          <w:numId w:val="1004"/>
        </w:numPr>
        <w:pStyle w:val="Compact"/>
      </w:pPr>
      <w:r>
        <w:t xml:space="preserve">AlmaLinux 8以降 (Windows上のWSL環境を含む)</w:t>
      </w:r>
    </w:p>
    <w:p>
      <w:pPr>
        <w:numPr>
          <w:ilvl w:val="0"/>
          <w:numId w:val="1004"/>
        </w:numPr>
        <w:pStyle w:val="Compact"/>
      </w:pPr>
      <w:r>
        <w:t xml:space="preserve">Rocky Linux 8以降</w:t>
      </w:r>
    </w:p>
    <w:p>
      <w:pPr>
        <w:numPr>
          <w:ilvl w:val="0"/>
          <w:numId w:val="1004"/>
        </w:numPr>
        <w:pStyle w:val="Compact"/>
      </w:pPr>
      <w:r>
        <w:t xml:space="preserve">HomebrewをインストールしたmacOS</w:t>
      </w:r>
    </w:p>
    <w:p>
      <w:pPr>
        <w:numPr>
          <w:ilvl w:val="0"/>
          <w:numId w:val="1004"/>
        </w:numPr>
        <w:pStyle w:val="Compact"/>
      </w:pPr>
      <w:r>
        <w:t xml:space="preserve">MacPortsをインストールしたmacOS</w:t>
      </w:r>
    </w:p>
    <w:p>
      <w:pPr>
        <w:pStyle w:val="FirstParagraph"/>
      </w:pPr>
      <w:r>
        <w:t xml:space="preserve">Windowsをご使用の方は、下記のMicrosoft公式ページを参照してWSLとUbuntuをインストールして下さい。</w:t>
      </w:r>
    </w:p>
    <w:p>
      <w:pPr>
        <w:numPr>
          <w:ilvl w:val="0"/>
          <w:numId w:val="1005"/>
        </w:numPr>
        <w:pStyle w:val="Compact"/>
      </w:pPr>
      <w:hyperlink r:id="rId24">
        <w:r>
          <w:rPr>
            <w:rStyle w:val="Hyperlink"/>
          </w:rPr>
          <w:t xml:space="preserve">https://learn.microsoft.com/ja-jp/windows/wsl/install</w:t>
        </w:r>
      </w:hyperlink>
    </w:p>
    <w:p>
      <w:pPr>
        <w:pStyle w:val="FirstParagraph"/>
      </w:pPr>
      <w:r>
        <w:t xml:space="preserve">ただし、Windows上にインストールしたUbuntuは、標準では最大250GB程度しかディスク容量を使用できません(執筆時点)。</w:t>
      </w:r>
      <w:r>
        <w:t xml:space="preserve"> </w:t>
      </w:r>
      <w:r>
        <w:t xml:space="preserve">メモリも搭載しているうちの半分しか使用できません。</w:t>
      </w:r>
      <w:r>
        <w:t xml:space="preserve"> </w:t>
      </w:r>
      <w:r>
        <w:t xml:space="preserve">大きなデータ解析にはディスクやメモリの容量が不足する可能性が高いので、専用の解析マシンを用意することをお勧めします。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r>
        <w:t xml:space="preserve"> </w:t>
      </w:r>
      <w:r>
        <w:t xml:space="preserve">ディスクアクセス速度がボトルネックになることも多いため、高速なSSDを搭載したマシンを用意して下さい。</w:t>
      </w:r>
    </w:p>
    <w:p>
      <w:pPr>
        <w:pStyle w:val="BodyText"/>
      </w:pPr>
      <w:r>
        <w:t xml:space="preserve">Debian・Ubuntu・Linux MintおよびWindows上にインストールしたUbuntuの場合、ターミナル上で以下のコマンドを実行することでClaidentをインストールすることができます。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maOSをご利用の方は、下記のページを参照してHomebrewをインストールして下さい。</w:t>
      </w:r>
    </w:p>
    <w:p>
      <w:pPr>
        <w:numPr>
          <w:ilvl w:val="0"/>
          <w:numId w:val="1006"/>
        </w:numPr>
        <w:pStyle w:val="Compact"/>
      </w:pPr>
      <w:hyperlink r:id="rId25">
        <w:r>
          <w:rPr>
            <w:rStyle w:val="Hyperlink"/>
          </w:rPr>
          <w:t xml:space="preserve">https://brew.sh/</w:t>
        </w:r>
      </w:hyperlink>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インストール先を変更した場合、実行コマンドが存在する「</w:t>
      </w:r>
      <w:r>
        <w:rPr>
          <w:rStyle w:val="VerbatimChar"/>
        </w:rPr>
        <w:t xml:space="preserve">インストール先/bin</w:t>
      </w:r>
      <w:r>
        <w:t xml:space="preserve">」が環境変数</w:t>
      </w:r>
      <w:r>
        <w:rPr>
          <w:rStyle w:val="VerbatimChar"/>
        </w:rPr>
        <w:t xml:space="preserve">PATH</w:t>
      </w:r>
      <w:r>
        <w:t xml:space="preserve">に登録されていないため、Claidentの解析コマンドが実行できません。</w:t>
      </w:r>
      <w:r>
        <w:t xml:space="preserve"> </w:t>
      </w:r>
      <w:r>
        <w:t xml:space="preserve">そこで、Claidentでの解析を行う際には以下のコマンドを実行して環境変数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このようにインストール先を変更すれば、複数のバージョンのClaidentを共存させることができます。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t xml:space="preserve">「</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6" w:name="データ解析全体の流れと前提条件"/>
      <w:r>
        <w:t xml:space="preserve">データ解析全体の流れと前提条件</w:t>
      </w:r>
      <w:bookmarkEnd w:id="26"/>
    </w:p>
    <w:p>
      <w:pPr>
        <w:pStyle w:val="FirstParagraph"/>
      </w:pPr>
      <w:r>
        <w:t xml:space="preserve">Claidentによるデータ解析は、以下の流れで行います。</w:t>
      </w:r>
    </w:p>
    <w:p>
      <w:pPr>
        <w:numPr>
          <w:ilvl w:val="0"/>
          <w:numId w:val="1007"/>
        </w:numPr>
        <w:pStyle w:val="Compact"/>
      </w:pPr>
      <w:r>
        <w:t xml:space="preserve">デマルチプレクシング</w:t>
      </w:r>
    </w:p>
    <w:p>
      <w:pPr>
        <w:numPr>
          <w:ilvl w:val="0"/>
          <w:numId w:val="1007"/>
        </w:numPr>
        <w:pStyle w:val="Compact"/>
      </w:pPr>
      <w:r>
        <w:t xml:space="preserve">ペアエンド配列の連結</w:t>
      </w:r>
    </w:p>
    <w:p>
      <w:pPr>
        <w:numPr>
          <w:ilvl w:val="0"/>
          <w:numId w:val="1007"/>
        </w:numPr>
        <w:pStyle w:val="Compact"/>
      </w:pPr>
      <w:r>
        <w:t xml:space="preserve">低品質配列の除去</w:t>
      </w:r>
      <w:r>
        <w:t xml:space="preserve"> </w:t>
      </w:r>
      <w:r>
        <w:t xml:space="preserve">(Edgar &amp; Flyvbjerg 2015)</w:t>
      </w:r>
    </w:p>
    <w:p>
      <w:pPr>
        <w:numPr>
          <w:ilvl w:val="0"/>
          <w:numId w:val="1007"/>
        </w:numPr>
        <w:pStyle w:val="Compact"/>
      </w:pPr>
      <w:r>
        <w:t xml:space="preserve">デノイジング</w:t>
      </w:r>
      <w:r>
        <w:t xml:space="preserve"> </w:t>
      </w:r>
      <w:r>
        <w:t xml:space="preserve">(Callahan</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参照配列データベースを用いないキメラ除去</w:t>
      </w:r>
      <w:r>
        <w:t xml:space="preserve"> </w:t>
      </w:r>
      <w:r>
        <w:t xml:space="preserve">(Edgar 2016; Rognes</w:t>
      </w:r>
      <w:r>
        <w:t xml:space="preserve"> </w:t>
      </w:r>
      <w:r>
        <w:rPr>
          <w:i/>
        </w:rPr>
        <w:t xml:space="preserve">et al.</w:t>
      </w:r>
      <w:r>
        <w:t xml:space="preserve"> </w:t>
      </w:r>
      <w:r>
        <w:t xml:space="preserve">2016)</w:t>
      </w:r>
    </w:p>
    <w:p>
      <w:pPr>
        <w:numPr>
          <w:ilvl w:val="0"/>
          <w:numId w:val="1007"/>
        </w:numPr>
        <w:pStyle w:val="Compact"/>
      </w:pPr>
      <w:r>
        <w:t xml:space="preserve">内部標準配列クラスタリング</w:t>
      </w:r>
      <w:r>
        <w:t xml:space="preserve"> </w:t>
      </w:r>
      <w:r>
        <w:t xml:space="preserve">(Edgar 2010; Rognes</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参照配列データベースを用いたキメラ除去</w:t>
      </w:r>
      <w:r>
        <w:t xml:space="preserve"> </w:t>
      </w:r>
      <w:r>
        <w:t xml:space="preserve">(Edgar</w:t>
      </w:r>
      <w:r>
        <w:t xml:space="preserve"> </w:t>
      </w:r>
      <w:r>
        <w:rPr>
          <w:i/>
        </w:rPr>
        <w:t xml:space="preserve">et al.</w:t>
      </w:r>
      <w:r>
        <w:t xml:space="preserve"> </w:t>
      </w:r>
      <w:r>
        <w:t xml:space="preserve">2011; Rognes</w:t>
      </w:r>
      <w:r>
        <w:t xml:space="preserve"> </w:t>
      </w:r>
      <w:r>
        <w:rPr>
          <w:i/>
        </w:rPr>
        <w:t xml:space="preserve">et al.</w:t>
      </w:r>
      <w:r>
        <w:t xml:space="preserve"> </w:t>
      </w:r>
      <w:r>
        <w:t xml:space="preserve">2016)</w:t>
      </w:r>
    </w:p>
    <w:p>
      <w:pPr>
        <w:numPr>
          <w:ilvl w:val="0"/>
          <w:numId w:val="1007"/>
        </w:numPr>
        <w:pStyle w:val="Compact"/>
      </w:pPr>
      <w:r>
        <w:t xml:space="preserve">インデックスホッピング除去</w:t>
      </w:r>
      <w:r>
        <w:t xml:space="preserve"> </w:t>
      </w:r>
      <w:r>
        <w:t xml:space="preserve">(Esling</w:t>
      </w:r>
      <w:r>
        <w:t xml:space="preserve"> </w:t>
      </w:r>
      <w:r>
        <w:rPr>
          <w:i/>
        </w:rPr>
        <w:t xml:space="preserve">et al.</w:t>
      </w:r>
      <w:r>
        <w:t xml:space="preserve"> </w:t>
      </w:r>
      <w:r>
        <w:t xml:space="preserve">2015)</w:t>
      </w:r>
    </w:p>
    <w:p>
      <w:pPr>
        <w:numPr>
          <w:ilvl w:val="0"/>
          <w:numId w:val="1007"/>
        </w:numPr>
        <w:pStyle w:val="Compact"/>
      </w:pPr>
      <w:r>
        <w:t xml:space="preserve">ネガティブコントロールを利用したデコンタミネーション</w:t>
      </w:r>
    </w:p>
    <w:p>
      <w:pPr>
        <w:numPr>
          <w:ilvl w:val="0"/>
          <w:numId w:val="1007"/>
        </w:numPr>
        <w:pStyle w:val="Compact"/>
      </w:pPr>
      <w:r>
        <w:t xml:space="preserve">分子同定</w:t>
      </w:r>
      <w:r>
        <w:t xml:space="preserve"> </w:t>
      </w:r>
      <w:r>
        <w:t xml:space="preserve">(Tanabe &amp; Toju 2013)</w:t>
      </w:r>
    </w:p>
    <w:p>
      <w:pPr>
        <w:numPr>
          <w:ilvl w:val="0"/>
          <w:numId w:val="1007"/>
        </w:numPr>
        <w:pStyle w:val="Compact"/>
      </w:pPr>
      <w:r>
        <w:t xml:space="preserve">OTU組成表の作成・加工</w:t>
      </w:r>
    </w:p>
    <w:p>
      <w:pPr>
        <w:numPr>
          <w:ilvl w:val="0"/>
          <w:numId w:val="1007"/>
        </w:numPr>
        <w:pStyle w:val="Compact"/>
      </w:pPr>
      <w:r>
        <w:t xml:space="preserve">カバレッジベースレアファクション</w:t>
      </w:r>
      <w:r>
        <w:t xml:space="preserve"> </w:t>
      </w:r>
      <w:r>
        <w:t xml:space="preserve">(Chao &amp; Jost 2012)</w:t>
      </w:r>
    </w:p>
    <w:p>
      <w:pPr>
        <w:numPr>
          <w:ilvl w:val="0"/>
          <w:numId w:val="1007"/>
        </w:numPr>
        <w:pStyle w:val="Compact"/>
      </w:pPr>
      <w:r>
        <w:t xml:space="preserve">内部標準DNAリード数を利用したDNA濃度の推定</w:t>
      </w:r>
      <w:r>
        <w:t xml:space="preserve"> </w:t>
      </w:r>
      <w:r>
        <w:t xml:space="preserve">(Ushio</w:t>
      </w:r>
      <w:r>
        <w:t xml:space="preserve"> </w:t>
      </w:r>
      <w:r>
        <w:rPr>
          <w:i/>
        </w:rPr>
        <w:t xml:space="preserve">et al.</w:t>
      </w:r>
      <w:r>
        <w:t xml:space="preserve"> </w:t>
      </w:r>
      <w:r>
        <w:t xml:space="preserve">2018a)</w:t>
      </w:r>
    </w:p>
    <w:p>
      <w:pPr>
        <w:pStyle w:val="FirstParagraph"/>
      </w:pPr>
      <w:r>
        <w:t xml:space="preserve">最終的に得られたOTU組成表をRやその他の統計解析環境で処理することで、作図や要約、仮説検証を行います。</w:t>
      </w:r>
      <w:r>
        <w:t xml:space="preserve"> </w:t>
      </w:r>
      <w:r>
        <w:t xml:space="preserve">Claident自体には統計解析機能はありません。</w:t>
      </w:r>
    </w:p>
    <w:p>
      <w:pPr>
        <w:pStyle w:val="BodyText"/>
      </w:pPr>
      <w:r>
        <w:t xml:space="preserve">Claidentは大抵のメタバーコードデータの解析に使用可能ですが、ここでは以下のようなデータを仮定して解説を進めます(下記を満たしていないデータを解析できないわけではありません)。</w:t>
      </w:r>
    </w:p>
    <w:p>
      <w:pPr>
        <w:numPr>
          <w:ilvl w:val="0"/>
          <w:numId w:val="1008"/>
        </w:numPr>
        <w:pStyle w:val="Compact"/>
      </w:pPr>
      <w:r>
        <w:t xml:space="preserve">環境水を濾過して濾過フィルターから抽出した環境DNAサンプルとネガティブコントロールとしてのフィールドブランクが含まれる</w:t>
      </w:r>
    </w:p>
    <w:p>
      <w:pPr>
        <w:numPr>
          <w:ilvl w:val="0"/>
          <w:numId w:val="1008"/>
        </w:numPr>
        <w:pStyle w:val="Compact"/>
      </w:pPr>
      <w:r>
        <w:t xml:space="preserve">以下の方法でライブラリ調製</w:t>
      </w:r>
    </w:p>
    <w:p>
      <w:pPr>
        <w:numPr>
          <w:ilvl w:val="1"/>
          <w:numId w:val="1009"/>
        </w:numPr>
        <w:pStyle w:val="Compact"/>
      </w:pPr>
      <w:r>
        <w:t xml:space="preserve">濃度のわかっている複数の内部標準DNAを添加してMiFishプライマーを使用してtailed PCR (1st PCR)</w:t>
      </w:r>
    </w:p>
    <w:p>
      <w:pPr>
        <w:numPr>
          <w:ilvl w:val="1"/>
          <w:numId w:val="1009"/>
        </w:numPr>
        <w:pStyle w:val="Compact"/>
      </w:pPr>
      <w:r>
        <w:t xml:space="preserve">1st PCR産物を鋳型にしてインデックスプライマーを使用してtailed PCR (2nd PCR)</w:t>
      </w:r>
    </w:p>
    <w:p>
      <w:pPr>
        <w:numPr>
          <w:ilvl w:val="0"/>
          <w:numId w:val="1008"/>
        </w:numPr>
        <w:pStyle w:val="Compact"/>
      </w:pPr>
      <w:r>
        <w:t xml:space="preserve">各サンプルの2nd PCR産物を混合してIllumina社製シーケンサで</w:t>
      </w:r>
      <w:r>
        <w:rPr>
          <w:b/>
        </w:rPr>
        <w:t xml:space="preserve">1ランまたは1レーン専有で</w:t>
      </w:r>
      <w:r>
        <w:t xml:space="preserve">解読</w:t>
      </w:r>
    </w:p>
    <w:p>
      <w:pPr>
        <w:pStyle w:val="FirstParagraph"/>
      </w:pPr>
      <w:r>
        <w:t xml:space="preserve">したがって、サンプル・ブランクごとに以下の情報がわかっている必要があります。</w:t>
      </w:r>
    </w:p>
    <w:p>
      <w:pPr>
        <w:numPr>
          <w:ilvl w:val="0"/>
          <w:numId w:val="1010"/>
        </w:numPr>
        <w:pStyle w:val="Compact"/>
      </w:pPr>
      <w:r>
        <w:t xml:space="preserve">サンプル・ブランクのいずれなのか</w:t>
      </w:r>
    </w:p>
    <w:p>
      <w:pPr>
        <w:numPr>
          <w:ilvl w:val="0"/>
          <w:numId w:val="1010"/>
        </w:numPr>
        <w:pStyle w:val="Compact"/>
      </w:pPr>
      <w:r>
        <w:t xml:space="preserve">濾過水量</w:t>
      </w:r>
    </w:p>
    <w:p>
      <w:pPr>
        <w:numPr>
          <w:ilvl w:val="0"/>
          <w:numId w:val="1010"/>
        </w:numPr>
        <w:pStyle w:val="Compact"/>
      </w:pPr>
      <w:r>
        <w:t xml:space="preserve">抽出DNA溶液量(回収液量ではなく、最後の溶出時に使用した液量)</w:t>
      </w:r>
    </w:p>
    <w:p>
      <w:pPr>
        <w:numPr>
          <w:ilvl w:val="0"/>
          <w:numId w:val="1010"/>
        </w:numPr>
        <w:pStyle w:val="Compact"/>
      </w:pPr>
      <w:r>
        <w:t xml:space="preserve">内部標準DNA塩基配列</w:t>
      </w:r>
    </w:p>
    <w:p>
      <w:pPr>
        <w:numPr>
          <w:ilvl w:val="0"/>
          <w:numId w:val="1010"/>
        </w:numPr>
        <w:pStyle w:val="Compact"/>
      </w:pPr>
      <w:r>
        <w:t xml:space="preserve">内部標準DNA濃度</w:t>
      </w:r>
    </w:p>
    <w:p>
      <w:pPr>
        <w:numPr>
          <w:ilvl w:val="0"/>
          <w:numId w:val="1010"/>
        </w:numPr>
        <w:pStyle w:val="Compact"/>
      </w:pPr>
      <w:r>
        <w:t xml:space="preserve">1st PCR時のプライマー配列のうち、シーケンサの読み始めになる部分配列</w:t>
      </w:r>
    </w:p>
    <w:p>
      <w:pPr>
        <w:numPr>
          <w:ilvl w:val="0"/>
          <w:numId w:val="1010"/>
        </w:numPr>
        <w:pStyle w:val="Compact"/>
      </w:pPr>
      <w:r>
        <w:t xml:space="preserve">2nd PCR時のプライマー配列のうち、インデックスとして読まれる部分配列</w:t>
      </w:r>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w:t>
      </w:r>
      <w:r>
        <w:t xml:space="preserve"> </w:t>
      </w:r>
      <w:r>
        <w:rPr>
          <w:i/>
        </w:rPr>
        <w:t xml:space="preserve">et al.</w:t>
      </w:r>
      <w:r>
        <w:t xml:space="preserve"> </w:t>
      </w:r>
      <w:r>
        <w:t xml:space="preserve">2020, 2015)</w:t>
      </w:r>
      <w:r>
        <w:t xml:space="preserve"> </w:t>
      </w:r>
      <w:r>
        <w:t xml:space="preserve">、 MiDeca</w:t>
      </w:r>
      <w:r>
        <w:t xml:space="preserve"> </w:t>
      </w:r>
      <w:r>
        <w:t xml:space="preserve">(Komai</w:t>
      </w:r>
      <w:r>
        <w:t xml:space="preserve"> </w:t>
      </w:r>
      <w:r>
        <w:rPr>
          <w:i/>
        </w:rPr>
        <w:t xml:space="preserve">et al.</w:t>
      </w:r>
      <w:r>
        <w:t xml:space="preserve"> </w:t>
      </w:r>
      <w:r>
        <w:t xml:space="preserve">2019)</w:t>
      </w:r>
      <w:r>
        <w:t xml:space="preserve"> </w:t>
      </w:r>
      <w:r>
        <w:t xml:space="preserve">、MiMammal</w:t>
      </w:r>
      <w:r>
        <w:t xml:space="preserve"> </w:t>
      </w:r>
      <w:r>
        <w:t xml:space="preserve">(Ushio</w:t>
      </w:r>
      <w:r>
        <w:t xml:space="preserve"> </w:t>
      </w:r>
      <w:r>
        <w:rPr>
          <w:i/>
        </w:rPr>
        <w:t xml:space="preserve">et al.</w:t>
      </w:r>
      <w:r>
        <w:t xml:space="preserve"> </w:t>
      </w:r>
      <w:r>
        <w:t xml:space="preserve">2017)</w:t>
      </w:r>
      <w:r>
        <w:t xml:space="preserve"> </w:t>
      </w:r>
      <w:r>
        <w:t xml:space="preserve">、MiBird</w:t>
      </w:r>
      <w:r>
        <w:t xml:space="preserve"> </w:t>
      </w:r>
      <w:r>
        <w:t xml:space="preserve">(Ushio</w:t>
      </w:r>
      <w:r>
        <w:t xml:space="preserve"> </w:t>
      </w:r>
      <w:r>
        <w:rPr>
          <w:i/>
        </w:rPr>
        <w:t xml:space="preserve">et al.</w:t>
      </w:r>
      <w:r>
        <w:t xml:space="preserve"> </w:t>
      </w:r>
      <w:r>
        <w:t xml:space="preserve">2018b)</w:t>
      </w:r>
      <w:r>
        <w:t xml:space="preserve"> </w:t>
      </w:r>
      <w:r>
        <w:t xml:space="preserve">、Amph16S</w:t>
      </w:r>
      <w:r>
        <w:t xml:space="preserve"> </w:t>
      </w:r>
      <w:r>
        <w:t xml:space="preserve">(Sakata</w:t>
      </w:r>
      <w:r>
        <w:t xml:space="preserve"> </w:t>
      </w:r>
      <w:r>
        <w:rPr>
          <w:i/>
        </w:rPr>
        <w:t xml:space="preserve">et al.</w:t>
      </w:r>
      <w:r>
        <w:t xml:space="preserve"> </w:t>
      </w:r>
      <w:r>
        <w:t xml:space="preserve">2022)</w:t>
      </w:r>
      <w:r>
        <w:t xml:space="preserve"> </w:t>
      </w:r>
      <w:r>
        <w:t xml:space="preserve">、MtInsects-16S</w:t>
      </w:r>
      <w:r>
        <w:t xml:space="preserve"> </w:t>
      </w:r>
      <w:r>
        <w:t xml:space="preserve">(Takenaka</w:t>
      </w:r>
      <w:r>
        <w:t xml:space="preserve"> </w:t>
      </w:r>
      <w:r>
        <w:rPr>
          <w:i/>
        </w:rPr>
        <w:t xml:space="preserve">et al.</w:t>
      </w:r>
      <w:r>
        <w:t xml:space="preserve"> </w:t>
      </w:r>
      <w:r>
        <w:t xml:space="preserve">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w:t>
      </w:r>
      <w:r>
        <w:t xml:space="preserve">を6個程度付加することがよくあります。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w:t>
      </w:r>
      <w:r>
        <w:t xml:space="preserve">のほとんどが</w:t>
      </w:r>
      <w:r>
        <w:rPr>
          <w:rStyle w:val="VerbatimChar"/>
        </w:rPr>
        <w:t xml:space="preserve">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numPr>
          <w:ilvl w:val="0"/>
          <w:numId w:val="1011"/>
        </w:numPr>
        <w:pStyle w:val="Compact"/>
      </w:pPr>
      <w:hyperlink r:id="rId27">
        <w:r>
          <w:rPr>
            <w:rStyle w:val="Hyperlink"/>
          </w:rPr>
          <w:t xml:space="preserve">https://github.com/astanabe/TruSeqStyleIndexPrimers</w:t>
        </w:r>
      </w:hyperlink>
    </w:p>
    <w:p>
      <w:pPr>
        <w:numPr>
          <w:ilvl w:val="0"/>
          <w:numId w:val="1011"/>
        </w:numPr>
        <w:pStyle w:val="Compact"/>
      </w:pPr>
      <w:hyperlink r:id="rId28">
        <w:r>
          <w:rPr>
            <w:rStyle w:val="Hyperlink"/>
          </w:rPr>
          <w:t xml:space="preserve">https://github.com/astanabe/NexteraStyleIndexPrimers</w:t>
        </w:r>
      </w:hyperlink>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どの位置でもACとGTの比が1:1に近いことが望ましいとされています。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S1に掲載されています。</w:t>
      </w:r>
    </w:p>
    <w:p>
      <w:pPr>
        <w:pStyle w:val="Heading3"/>
      </w:pPr>
      <w:bookmarkStart w:id="29" w:name="claidentにおけるサンプルidについて"/>
      <w:r>
        <w:t xml:space="preserve">Claidentにおける「サンプルID」について</w:t>
      </w:r>
      <w:bookmarkEnd w:id="29"/>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複数の異なるシーケンスランでシーケンスしたり、同一のサンプルの異なる複数のプライマーの増幅産物を同一のシーケンスランで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反復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などと付加することで、反復であることがわかるようにしておくのが良いでしょう。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30" w:name="otuとasvについて"/>
      <w:r>
        <w:t xml:space="preserve">OTUとASVについて</w:t>
      </w:r>
      <w:bookmarkEnd w:id="30"/>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Claidentの中ではほとんどの場合OTUはASVになりますが、この先、OTUがASVでない可能性がある処理ではOTUと記述することがあります。</w:t>
      </w:r>
    </w:p>
    <w:p>
      <w:pPr>
        <w:pStyle w:val="Heading3"/>
      </w:pPr>
      <w:bookmarkStart w:id="31" w:name="必要なファイル群とディレクトリ構造"/>
      <w:r>
        <w:t xml:space="preserve">必要なファイル群とディレクトリ構造</w:t>
      </w:r>
      <w:bookmarkEnd w:id="31"/>
    </w:p>
    <w:p>
      <w:pPr>
        <w:pStyle w:val="FirstParagraph"/>
      </w:pPr>
      <w:r>
        <w:t xml:space="preserve">ここでは、解析の前に用意する必要のあるファイル群を説明します。</w:t>
      </w:r>
      <w:r>
        <w:t xml:space="preserve"> </w:t>
      </w:r>
      <w:r>
        <w:t xml:space="preserve">ファイル名は任意ですが、後述するコマンドの中で仮定しているファイル名を記してあります。</w:t>
      </w:r>
    </w:p>
    <w:p>
      <w:pPr>
        <w:pStyle w:val="Heading4"/>
      </w:pPr>
      <w:bookmarkStart w:id="32" w:name="ブランクリストblanklist.txt"/>
      <w:r>
        <w:t xml:space="preserve">ブランクリスト(blanklist.txt)</w:t>
      </w:r>
      <w:bookmarkEnd w:id="32"/>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p>
    <w:p>
      <w:pPr>
        <w:pStyle w:val="Heading4"/>
      </w:pPr>
      <w:bookmarkStart w:id="33" w:name="濾過水量表watervoltable.tsv"/>
      <w:r>
        <w:t xml:space="preserve">濾過水量表(watervoltable.tsv)</w:t>
      </w:r>
      <w:bookmarkEnd w:id="33"/>
    </w:p>
    <w:p>
      <w:pPr>
        <w:pStyle w:val="FirstParagraph"/>
      </w:pPr>
      <w:r>
        <w:t xml:space="preserve">1行に一つのサンプルIDとタブ文字で区切って濾過水量の数値を記述したタブ区切りテキストファイルです。</w:t>
      </w:r>
      <w:r>
        <w:t xml:space="preserve"> </w:t>
      </w:r>
      <w:r>
        <w:t xml:space="preserve">濾過フィルターが複数あって区別して記述したい場合、タブ文字で区切って複数記述します(濃度推定時は合算して処理されます)。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34" w:name="抽出dna溶液量表solutionvoltable.tsv"/>
      <w:r>
        <w:t xml:space="preserve">抽出DNA溶液量表(solutionvoltable.tsv)</w:t>
      </w:r>
      <w:bookmarkEnd w:id="34"/>
    </w:p>
    <w:p>
      <w:pPr>
        <w:pStyle w:val="FirstParagraph"/>
      </w:pPr>
      <w:r>
        <w:t xml:space="preserve">1行に一つのサンプル・ブランクIDとタブ文字で区切って抽出したDNA溶液量の数値を記述したタブ区切りテキストファイルです。</w:t>
      </w:r>
      <w:r>
        <w:t xml:space="preserve"> </w:t>
      </w:r>
      <w:r>
        <w:t xml:space="preserve">濾過フィルターが複数あり、抽出後のDNA溶液も複数あって区別して記述したい場合、タブ文字で区切って複数記述します(濃度推定時は合算して処理されます)。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BodyText"/>
      </w:pPr>
      <w:r>
        <w:t xml:space="preserve">なお、「DNA抽出で回収できた液量」ではなく、「DNA溶出に使用した液量」であることに注意して下さい。</w:t>
      </w:r>
      <w:r>
        <w:t xml:space="preserve"> </w:t>
      </w:r>
      <w:r>
        <w:t xml:space="preserve">つまり、スピンカラムや磁気ビーズに200 μLの溶出バッファーを添加して、最終的に得られたDNA抽出液が190 μLだった場合、回収できなかっただけで実際にはさらに10 μLのDNA抽出液が存在するので、ここには200 μLと書くのが正しいことになります。</w:t>
      </w:r>
      <w:r>
        <w:t xml:space="preserve"> </w:t>
      </w:r>
      <w:r>
        <w:t xml:space="preserve">ただし、DNAの溶出前に使用したウォッシュバッファーは完全に除去したと仮定しています。</w:t>
      </w:r>
    </w:p>
    <w:p>
      <w:pPr>
        <w:pStyle w:val="Heading4"/>
      </w:pPr>
      <w:bookmarkStart w:id="35" w:name="内部標準dna塩基配列standard.fasta"/>
      <w:r>
        <w:t xml:space="preserve">内部標準DNA塩基配列(standard.fasta)</w:t>
      </w:r>
      <w:bookmarkEnd w:id="35"/>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塩基配列は、合成サービスに対して注文時に使用したものと同一、つまりプライマーのアニールする部位を含んでいても構いませんし、含んでいなくても(つまり、インサートであっても)構いません。</w:t>
      </w:r>
      <w:r>
        <w:t xml:space="preserve"> </w:t>
      </w:r>
      <w:r>
        <w:t xml:space="preserve">内部標準DNAの配列名は、後述する内部標準DNA濃度表と一致している必要があります。</w:t>
      </w:r>
    </w:p>
    <w:p>
      <w:pPr>
        <w:pStyle w:val="Heading4"/>
      </w:pPr>
      <w:bookmarkStart w:id="36" w:name="内部標準dna濃度表stdconctable.tsv"/>
      <w:r>
        <w:t xml:space="preserve">内部標準DNA濃度表(stdconctable.tsv)</w:t>
      </w:r>
      <w:bookmarkEnd w:id="36"/>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したがって、サンプルDNA溶液の2倍の内部標準DNA溶液を添加した場合は数値を2倍に、サンプルDNA溶液を10倍希釈して希釈液と等量の内部標準DNA溶液を添加した場合は数値を10倍にします。</w:t>
      </w:r>
      <w:r>
        <w:t xml:space="preserve"> </w:t>
      </w:r>
      <w:r>
        <w:t xml:space="preserve">内部標準DNAの名前は、前述の内部標準DNA塩基配列の名前と一致している必要があります。</w:t>
      </w:r>
    </w:p>
    <w:p>
      <w:pPr>
        <w:pStyle w:val="Heading4"/>
      </w:pPr>
      <w:bookmarkStart w:id="37" w:name="X6f92aa88758fb857af311a69c3667a1203ce354"/>
      <w:r>
        <w:t xml:space="preserve">シーケンサの読み始めになる部分配列(forwardprimer.fasta・reverseprimer.fasta)</w:t>
      </w:r>
      <w:bookmarkEnd w:id="37"/>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塩基配列には、RやYやMやKやNなどの、縮重塩基コードを使用可能です。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8" w:name="X4f4f21bef0b7ceaf74a559b150bea30b3b97810"/>
      <w:r>
        <w:t xml:space="preserve">インデックスとして読まれる部分配列(index1.fasta・index2.fasta)</w:t>
      </w:r>
      <w:bookmarkEnd w:id="38"/>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Illumina社シーケンサで使用される「</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Heading4"/>
      </w:pPr>
      <w:bookmarkStart w:id="39" w:name="undemultiplexed-fastq"/>
      <w:r>
        <w:t xml:space="preserve">undemultiplexed FASTQ</w:t>
      </w:r>
      <w:bookmarkEnd w:id="39"/>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 Convertというプログラムをインストールし、シーケンサのランデータからインデックス配列を含むデマルチプレックスしていないFASTQ (undemultiplexed FASTQ)を生成する必要があります。</w:t>
      </w:r>
      <w:r>
        <w:t xml:space="preserve"> </w:t>
      </w:r>
      <w:r>
        <w:t xml:space="preserve">以下の作業における作業ディレクトリは、高速なSSDに設置することを強くお勧めします。</w:t>
      </w:r>
    </w:p>
    <w:p>
      <w:pPr>
        <w:pStyle w:val="BodyText"/>
      </w:pPr>
      <w:r>
        <w:t xml:space="preserve">BCL Convertは下記URLからダウンロードできます。</w:t>
      </w:r>
    </w:p>
    <w:p>
      <w:pPr>
        <w:numPr>
          <w:ilvl w:val="0"/>
          <w:numId w:val="1012"/>
        </w:numPr>
        <w:pStyle w:val="Compact"/>
      </w:pPr>
      <w:hyperlink r:id="rId40">
        <w:r>
          <w:rPr>
            <w:rStyle w:val="Hyperlink"/>
          </w:rPr>
          <w:t xml:space="preserve">https://jp.support.illumina.com/sequencing/sequencing_software/bcl-convert.html</w:t>
        </w:r>
      </w:hyperlink>
    </w:p>
    <w:p>
      <w:pPr>
        <w:pStyle w:val="FirstParagraph"/>
      </w:pPr>
      <w:r>
        <w:t xml:space="preserve">執筆時点での最新版はv4.2.4です。</w:t>
      </w:r>
      <w:r>
        <w:t xml:space="preserve"> </w:t>
      </w:r>
      <w:r>
        <w:t xml:space="preserve">Debian・Ubuntu・Linux MintおよびWindows上にインストールしたUbuntuの場合、(Oracle 8)と書かれている配布ファイルをダウンロードして作業ディレクトリ「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 pstack</w:t>
      </w:r>
      <w:r>
        <w:br/>
      </w:r>
      <w:r>
        <w:rPr>
          <w:rStyle w:val="NormalTok"/>
        </w:rPr>
        <w:t xml:space="preserve">cd workingdirectory</w:t>
      </w:r>
      <w:r>
        <w:br/>
      </w:r>
      <w:r>
        <w:rPr>
          <w:rStyle w:val="NormalTok"/>
        </w:rPr>
        <w:t xml:space="preserve">mkdir temporary</w:t>
      </w:r>
      <w:r>
        <w:br/>
      </w:r>
      <w:r>
        <w:rPr>
          <w:rStyle w:val="NormalTok"/>
        </w:rPr>
        <w:t xml:space="preserve">cd temporary</w:t>
      </w:r>
      <w:r>
        <w:br/>
      </w:r>
      <w:r>
        <w:rPr>
          <w:rStyle w:val="NormalTok"/>
        </w:rPr>
        <w:t xml:space="preserve">rpm2cpio ../bcl-convert-4.2.4-2.el8.x86_64.rpm | cpio  -id</w:t>
      </w:r>
      <w:r>
        <w:br/>
      </w:r>
      <w:r>
        <w:rPr>
          <w:rStyle w:val="NormalTok"/>
        </w:rPr>
        <w:t xml:space="preserve">sudo mkdir -p /usr/local/bin</w:t>
      </w:r>
      <w:r>
        <w:br/>
      </w:r>
      <w:r>
        <w:rPr>
          <w:rStyle w:val="NormalTok"/>
        </w:rPr>
        <w:t xml:space="preserve">sudo cp usr/bin/bcl-convert /usr/local/bin/</w:t>
      </w:r>
      <w:r>
        <w:br/>
      </w:r>
      <w:r>
        <w:rPr>
          <w:rStyle w:val="NormalTok"/>
        </w:rPr>
        <w:t xml:space="preserve">sudo mkdir -p /var/log/bcl-convert</w:t>
      </w:r>
      <w:r>
        <w:br/>
      </w:r>
      <w:r>
        <w:rPr>
          <w:rStyle w:val="NormalTok"/>
        </w:rPr>
        <w:t xml:space="preserve">sudo chmod 777 /var/log/bcl-convert</w:t>
      </w:r>
      <w:r>
        <w:br/>
      </w:r>
      <w:r>
        <w:rPr>
          <w:rStyle w:val="NormalTok"/>
        </w:rPr>
        <w:t xml:space="preserve">cd ..</w:t>
      </w:r>
      <w:r>
        <w:br/>
      </w:r>
      <w:r>
        <w:rPr>
          <w:rStyle w:val="NormalTok"/>
        </w:rPr>
        <w:t xml:space="preserve">rm -rf temporary bcl-convert-4.2.4-2.el8.x86_64.rpm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macOS上で実行するには、仮想マシンプログラムをインストールして仮想マシン上にLinuxをインストールし、そのLinux上にBCL Convertをインストールする必要があります。</w:t>
      </w:r>
    </w:p>
    <w:p>
      <w:pPr>
        <w:pStyle w:val="BodyText"/>
      </w:pPr>
      <w:r>
        <w:t xml:space="preserve">BCL Convertでundemultiplexed FASTQを生成するには、下記の内容の「</w:t>
      </w:r>
      <w:r>
        <w:rPr>
          <w:rStyle w:val="VerbatimChar"/>
        </w:rPr>
        <w:t xml:space="preserve">Dummy.csv</w:t>
      </w:r>
      <w:r>
        <w:t xml:space="preserve">」をテキストエディタで作成します。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w:t>
      </w:r>
    </w:p>
    <w:p>
      <w:pPr>
        <w:pStyle w:val="FirstParagraph"/>
      </w:pPr>
      <w:r>
        <w:t xml:space="preserve">ターミナルで下記のコマンドを実行すれば、テキストエディタがなくても「</w:t>
      </w:r>
      <w:r>
        <w:rPr>
          <w:rStyle w:val="VerbatimChar"/>
        </w:rPr>
        <w:t xml:space="preserve">Dummy.csv</w:t>
      </w:r>
      <w:r>
        <w:t xml:space="preserve">」を作成できます。</w:t>
      </w:r>
    </w:p>
    <w:p>
      <w:pPr>
        <w:pStyle w:val="SourceCode"/>
      </w:pPr>
      <w:r>
        <w:rPr>
          <w:rStyle w:val="NormalTok"/>
        </w:rPr>
        <w:t xml:space="preserve">echo '[Header]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 &gt; Dummy.csv</w:t>
      </w:r>
    </w:p>
    <w:p>
      <w:pPr>
        <w:pStyle w:val="FirstParagraph"/>
      </w:pPr>
      <w:r>
        <w:t xml:space="preserve">これは、8塩基長のデュアルインデックスでフォワード側151サイクル(末尾1塩基破棄)、リバース側151サイクル(末尾1塩基破棄)の場合の設定ファイルですので、インデックス長やサイクル数が異なる場合は適宜変更する必要があります。</w:t>
      </w:r>
      <w:r>
        <w:t xml:space="preserve"> </w:t>
      </w:r>
      <w:r>
        <w:t xml:space="preserve">ダミーのサンプルとして、index1およびindex2が共に</w:t>
      </w:r>
      <w:r>
        <w:rPr>
          <w:rStyle w:val="VerbatimChar"/>
        </w:rPr>
        <w:t xml:space="preserve">CCCCCCCC</w:t>
      </w:r>
      <w:r>
        <w:t xml:space="preserve">の</w:t>
      </w:r>
      <w:r>
        <w:rPr>
          <w:rStyle w:val="VerbatimChar"/>
        </w:rPr>
        <w:t xml:space="preserve">Dummy</w:t>
      </w:r>
      <w:r>
        <w:t xml:space="preserve">というサンプルの行があります。</w:t>
      </w:r>
      <w:r>
        <w:t xml:space="preserve"> </w:t>
      </w:r>
      <w:r>
        <w:t xml:space="preserve">サンプル行が一つもないとエラーになるため、このような行を作成する必要があります。</w:t>
      </w:r>
      <w:r>
        <w:t xml:space="preserve"> </w:t>
      </w:r>
      <w:r>
        <w:t xml:space="preserve">万が一、index1およびindex2が共に</w:t>
      </w:r>
      <w:r>
        <w:rPr>
          <w:rStyle w:val="VerbatimChar"/>
        </w:rPr>
        <w:t xml:space="preserve">CCCCCCCC</w:t>
      </w:r>
      <w:r>
        <w:t xml:space="preserve">のサンプル、index1が</w:t>
      </w:r>
      <w:r>
        <w:rPr>
          <w:rStyle w:val="VerbatimChar"/>
        </w:rPr>
        <w:t xml:space="preserve">CCCCCCCC</w:t>
      </w:r>
      <w:r>
        <w:t xml:space="preserve">のサンプル、index2が</w:t>
      </w:r>
      <w:r>
        <w:rPr>
          <w:rStyle w:val="VerbatimChar"/>
        </w:rPr>
        <w:t xml:space="preserve">CCCCCCCC</w:t>
      </w:r>
      <w:r>
        <w:t xml:space="preserve">のサンプルの</w:t>
      </w:r>
      <w:r>
        <w:rPr>
          <w:b/>
        </w:rPr>
        <w:t xml:space="preserve">いずれか</w:t>
      </w:r>
      <w:r>
        <w:t xml:space="preserve">が実在する場合は適当な配列に書き換えて下さい。</w:t>
      </w:r>
      <w:r>
        <w:t xml:space="preserve"> </w:t>
      </w:r>
      <w:r>
        <w:t xml:space="preserve">index1およびindex2が共に</w:t>
      </w:r>
      <w:r>
        <w:rPr>
          <w:rStyle w:val="VerbatimChar"/>
        </w:rPr>
        <w:t xml:space="preserve">CCCCCCCC</w:t>
      </w:r>
      <w:r>
        <w:t xml:space="preserve">のサンプルが実在しないのにサンプル</w:t>
      </w:r>
      <w:r>
        <w:rPr>
          <w:rStyle w:val="VerbatimChar"/>
        </w:rPr>
        <w:t xml:space="preserve">Dummy</w:t>
      </w:r>
      <w:r>
        <w:t xml:space="preserve">のFASTQにいくらかデータが出力されることがありますが、index1およびindex2が共に</w:t>
      </w:r>
      <w:r>
        <w:rPr>
          <w:rStyle w:val="VerbatimChar"/>
        </w:rPr>
        <w:t xml:space="preserve">CCCCCCCC</w:t>
      </w:r>
      <w:r>
        <w:t xml:space="preserve">のサンプルが本当に実在しないのなら、シーケンスエラーによるものなので問題はありません。</w:t>
      </w:r>
      <w:r>
        <w:t xml:space="preserve"> </w:t>
      </w:r>
      <w:r>
        <w:t xml:space="preserve">なお、インデックスの長さが8塩基ではない場合は、</w:t>
      </w:r>
      <w:r>
        <w:rPr>
          <w:rStyle w:val="VerbatimChar"/>
        </w:rPr>
        <w:t xml:space="preserve">OverrideCycles</w:t>
      </w:r>
      <w:r>
        <w:t xml:space="preserve">の行と</w:t>
      </w:r>
      <w:r>
        <w:rPr>
          <w:rStyle w:val="VerbatimChar"/>
        </w:rPr>
        <w:t xml:space="preserve">CCCCCCCC</w:t>
      </w:r>
      <w:r>
        <w:t xml:space="preserve">は書き換える必要があります。</w:t>
      </w:r>
      <w:r>
        <w:t xml:space="preserve"> </w:t>
      </w:r>
      <w:r>
        <w:t xml:space="preserve">例えば10塩基長のデュアルインデックスでフォワード側301サイクル(末尾1塩基破棄)、リバース側301サイクル(末尾1塩基破棄)の場合、</w:t>
      </w:r>
      <w:r>
        <w:rPr>
          <w:rStyle w:val="VerbatimChar"/>
        </w:rPr>
        <w:t xml:space="preserve">OverrideCycles,Y300N1;I10;I10;Y300N1</w:t>
      </w:r>
      <w:r>
        <w:t xml:space="preserve">および</w:t>
      </w:r>
      <w:r>
        <w:rPr>
          <w:rStyle w:val="VerbatimChar"/>
        </w:rPr>
        <w:t xml:space="preserve">CCCCCCCCCC</w:t>
      </w:r>
      <w:r>
        <w:t xml:space="preserve">とします。</w:t>
      </w:r>
    </w:p>
    <w:p>
      <w:pPr>
        <w:pStyle w:val="BodyText"/>
      </w:pPr>
      <w:r>
        <w:t xml:space="preserve">FASTQ生成の際にこのファイルを</w:t>
      </w:r>
      <w:r>
        <w:rPr>
          <w:rStyle w:val="VerbatimChar"/>
        </w:rPr>
        <w:t xml:space="preserve">--sample-sheet</w:t>
      </w:r>
      <w:r>
        <w:t xml:space="preserve">に指定することで、BCL Convertに内蔵されているデマルチプレックス機能を無効化し、undemultiplexed FASTQを作成することができます。</w:t>
      </w:r>
      <w:r>
        <w:t xml:space="preserve"> </w:t>
      </w:r>
      <w:r>
        <w:t xml:space="preserve">以下のコマンドでは、undemultiplexed FASTQを「</w:t>
      </w:r>
      <w:r>
        <w:rPr>
          <w:rStyle w:val="VerbatimChar"/>
        </w:rPr>
        <w:t xml:space="preserve">01_undemultiplexed</w:t>
      </w:r>
      <w:r>
        <w:t xml:space="preserve">」ディレクトリに出力することができます。</w:t>
      </w:r>
    </w:p>
    <w:p>
      <w:pPr>
        <w:pStyle w:val="SourceCode"/>
      </w:pPr>
      <w:r>
        <w:rPr>
          <w:rStyle w:val="NormalTok"/>
        </w:rPr>
        <w:t xml:space="preserve">bcl-convert \</w:t>
      </w:r>
      <w:r>
        <w:br/>
      </w:r>
      <w:r>
        <w:rPr>
          <w:rStyle w:val="NormalTok"/>
        </w:rPr>
        <w:t xml:space="preserve">--sample-sheet Dummy.csv \</w:t>
      </w:r>
      <w:r>
        <w:br/>
      </w:r>
      <w:r>
        <w:rPr>
          <w:rStyle w:val="NormalTok"/>
        </w:rPr>
        <w:t xml:space="preserve">--bcl-input-directory RunDataDirectory \</w:t>
      </w:r>
      <w:r>
        <w:br/>
      </w:r>
      <w:r>
        <w:rPr>
          <w:rStyle w:val="NormalTok"/>
        </w:rPr>
        <w:t xml:space="preserve">--output-directory 01_undemultiplexed</w:t>
      </w:r>
    </w:p>
    <w:p>
      <w:pPr>
        <w:pStyle w:val="FirstParagraph"/>
      </w:pPr>
      <w:r>
        <w:t xml:space="preserve">ここで、RunDataDirectoryは、シーケンサ本体、またはシーケンサに付属の解析マシンに保存されている、シーケンスランのデータが保存されているディレクトリです。</w:t>
      </w:r>
      <w:r>
        <w:t xml:space="preserve"> </w:t>
      </w:r>
      <w:r>
        <w:t xml:space="preserve">通常は「</w:t>
      </w:r>
      <w:r>
        <w:rPr>
          <w:rStyle w:val="VerbatimChar"/>
        </w:rPr>
        <w:t xml:space="preserve">Data</w:t>
      </w:r>
      <w:r>
        <w:t xml:space="preserve">」というディレクトリが含まれているはずです。</w:t>
      </w:r>
      <w:r>
        <w:t xml:space="preserve"> </w:t>
      </w:r>
      <w:r>
        <w:t xml:space="preserve">このディレクトリを予めBCL Convertをインストールしたマシンにコピーしておく必要があります。</w:t>
      </w:r>
      <w:r>
        <w:t xml:space="preserve"> </w:t>
      </w:r>
      <w:r>
        <w:t xml:space="preserve">なお、使用するCPU数はデフォルトで自動的に決定されます(搭載されている全CPUを使用します)。</w:t>
      </w:r>
    </w:p>
    <w:p>
      <w:pPr>
        <w:pStyle w:val="BodyText"/>
      </w:pPr>
      <w:r>
        <w:t xml:space="preserve">上記の例ではレーンが一つしかない機種を想定しています。</w:t>
      </w:r>
      <w:r>
        <w:t xml:space="preserve"> </w:t>
      </w:r>
      <w:r>
        <w:t xml:space="preserve">レーンが複数ある機種のデータを扱う場合、</w:t>
      </w:r>
      <w:r>
        <w:rPr>
          <w:rStyle w:val="VerbatimChar"/>
        </w:rPr>
        <w:t xml:space="preserve">--bcl-only-lane</w:t>
      </w:r>
      <w:r>
        <w:t xml:space="preserve">オプションを使用することで、特定のレーンのみのデータからundemultiplexed FASTQを生成できます。</w:t>
      </w:r>
      <w:r>
        <w:t xml:space="preserve"> </w:t>
      </w:r>
      <w:r>
        <w:t xml:space="preserve">1番目のレーンのデータだけをundemultiplexed FASTQにする場合、</w:t>
      </w:r>
      <w:r>
        <w:rPr>
          <w:rStyle w:val="VerbatimChar"/>
        </w:rPr>
        <w:t xml:space="preserve">--bcl-only-lane 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上述の通りにBCL Convertを実行すると、サンプル</w:t>
      </w:r>
      <w:r>
        <w:rPr>
          <w:rStyle w:val="VerbatimChar"/>
        </w:rPr>
        <w:t xml:space="preserve">Dummy</w:t>
      </w:r>
      <w:r>
        <w:t xml:space="preserve">のファイル以外に以下の4ファイルが生成されます(1レーンのみ出力した場合)。</w:t>
      </w:r>
    </w:p>
    <w:p>
      <w:pPr>
        <w:pStyle w:val="DefinitionTerm"/>
      </w:pPr>
      <w:r>
        <w:t xml:space="preserve">Undetermined_S0_L001_I1_001.fastq.gz</w:t>
      </w:r>
    </w:p>
    <w:p>
      <w:pPr>
        <w:pStyle w:val="Definition"/>
      </w:pPr>
      <w:r>
        <w:t xml:space="preserve">index1のundemultiplexed FASTQ (長さ8塩基)</w:t>
      </w:r>
    </w:p>
    <w:p>
      <w:pPr>
        <w:pStyle w:val="DefinitionTerm"/>
      </w:pPr>
      <w:r>
        <w:t xml:space="preserve">Undetermined_S0_L001_I2_001.fastq.gz</w:t>
      </w:r>
    </w:p>
    <w:p>
      <w:pPr>
        <w:pStyle w:val="Definition"/>
      </w:pPr>
      <w:r>
        <w:t xml:space="preserve">index2のundemultiplexed FASTQ (長さ8塩基)</w:t>
      </w:r>
    </w:p>
    <w:p>
      <w:pPr>
        <w:pStyle w:val="DefinitionTerm"/>
      </w:pPr>
      <w:r>
        <w:t xml:space="preserve">Undetermined_S0_L001_R1_001.fastq.gz</w:t>
      </w:r>
    </w:p>
    <w:p>
      <w:pPr>
        <w:pStyle w:val="Definition"/>
      </w:pPr>
      <w:r>
        <w:t xml:space="preserve">インサートのフォワード側リードのundemultiplexed FASTQ (長さ150塩基)</w:t>
      </w:r>
    </w:p>
    <w:p>
      <w:pPr>
        <w:pStyle w:val="DefinitionTerm"/>
      </w:pPr>
      <w:r>
        <w:t xml:space="preserve">Undetermined_S0_L001_R2_001.fastq.gz</w:t>
      </w:r>
    </w:p>
    <w:p>
      <w:pPr>
        <w:pStyle w:val="Definition"/>
      </w:pPr>
      <w:r>
        <w:t xml:space="preserve">インサートのリバース側リードのundemultiplexed FASTQ (長さ150塩基)</w:t>
      </w:r>
    </w:p>
    <w:p>
      <w:pPr>
        <w:pStyle w:val="Heading4"/>
      </w:pPr>
      <w:bookmarkStart w:id="41" w:name="ディレクトリ構造"/>
      <w:r>
        <w:t xml:space="preserve">ディレクトリ構造</w:t>
      </w:r>
      <w:bookmarkEnd w:id="41"/>
    </w:p>
    <w:p>
      <w:pPr>
        <w:pStyle w:val="FirstParagraph"/>
      </w:pPr>
      <w:r>
        <w:t xml:space="preserve">Claidentでの解析開始前の作業ディレクトリ内のファイルとディレクトリは以下の通りです。</w:t>
      </w:r>
    </w:p>
    <w:p>
      <w:pPr>
        <w:numPr>
          <w:ilvl w:val="0"/>
          <w:numId w:val="1013"/>
        </w:numPr>
        <w:pStyle w:val="Compact"/>
      </w:pPr>
      <w:r>
        <w:t xml:space="preserve">作業ディレクトリ</w:t>
      </w:r>
    </w:p>
    <w:p>
      <w:pPr>
        <w:numPr>
          <w:ilvl w:val="1"/>
          <w:numId w:val="1014"/>
        </w:numPr>
        <w:pStyle w:val="Compact"/>
      </w:pPr>
      <w:r>
        <w:t xml:space="preserve">blanklist.txt</w:t>
      </w:r>
    </w:p>
    <w:p>
      <w:pPr>
        <w:numPr>
          <w:ilvl w:val="1"/>
          <w:numId w:val="1014"/>
        </w:numPr>
        <w:pStyle w:val="Compact"/>
      </w:pPr>
      <w:r>
        <w:t xml:space="preserve">watervoltable.tsv</w:t>
      </w:r>
    </w:p>
    <w:p>
      <w:pPr>
        <w:numPr>
          <w:ilvl w:val="1"/>
          <w:numId w:val="1014"/>
        </w:numPr>
        <w:pStyle w:val="Compact"/>
      </w:pPr>
      <w:r>
        <w:t xml:space="preserve">solutionvoltable.tsv</w:t>
      </w:r>
    </w:p>
    <w:p>
      <w:pPr>
        <w:numPr>
          <w:ilvl w:val="1"/>
          <w:numId w:val="1014"/>
        </w:numPr>
        <w:pStyle w:val="Compact"/>
      </w:pPr>
      <w:r>
        <w:t xml:space="preserve">standard.fasta</w:t>
      </w:r>
    </w:p>
    <w:p>
      <w:pPr>
        <w:numPr>
          <w:ilvl w:val="1"/>
          <w:numId w:val="1014"/>
        </w:numPr>
        <w:pStyle w:val="Compact"/>
      </w:pPr>
      <w:r>
        <w:t xml:space="preserve">stdconctable.tsv</w:t>
      </w:r>
    </w:p>
    <w:p>
      <w:pPr>
        <w:numPr>
          <w:ilvl w:val="1"/>
          <w:numId w:val="1014"/>
        </w:numPr>
        <w:pStyle w:val="Compact"/>
      </w:pPr>
      <w:r>
        <w:t xml:space="preserve">forwardprimer.fasta</w:t>
      </w:r>
    </w:p>
    <w:p>
      <w:pPr>
        <w:numPr>
          <w:ilvl w:val="1"/>
          <w:numId w:val="1014"/>
        </w:numPr>
        <w:pStyle w:val="Compact"/>
      </w:pPr>
      <w:r>
        <w:t xml:space="preserve">reverseprimer.fasta</w:t>
      </w:r>
    </w:p>
    <w:p>
      <w:pPr>
        <w:numPr>
          <w:ilvl w:val="1"/>
          <w:numId w:val="1014"/>
        </w:numPr>
        <w:pStyle w:val="Compact"/>
      </w:pPr>
      <w:r>
        <w:t xml:space="preserve">index1.fasta</w:t>
      </w:r>
    </w:p>
    <w:p>
      <w:pPr>
        <w:numPr>
          <w:ilvl w:val="1"/>
          <w:numId w:val="1014"/>
        </w:numPr>
        <w:pStyle w:val="Compact"/>
      </w:pPr>
      <w:r>
        <w:t xml:space="preserve">index2.fasta</w:t>
      </w:r>
    </w:p>
    <w:p>
      <w:pPr>
        <w:numPr>
          <w:ilvl w:val="1"/>
          <w:numId w:val="1014"/>
        </w:numPr>
        <w:pStyle w:val="Compact"/>
      </w:pPr>
      <w:r>
        <w:t xml:space="preserve">01_undemultiplexed (ディレクトリ)</w:t>
      </w:r>
    </w:p>
    <w:p>
      <w:pPr>
        <w:numPr>
          <w:ilvl w:val="2"/>
          <w:numId w:val="1015"/>
        </w:numPr>
        <w:pStyle w:val="Compact"/>
      </w:pPr>
      <w:r>
        <w:t xml:space="preserve">Undetermined_S0_L001_I1_001.fastq.gz</w:t>
      </w:r>
    </w:p>
    <w:p>
      <w:pPr>
        <w:numPr>
          <w:ilvl w:val="2"/>
          <w:numId w:val="1015"/>
        </w:numPr>
        <w:pStyle w:val="Compact"/>
      </w:pPr>
      <w:r>
        <w:t xml:space="preserve">Undetermined_S0_L001_I2_001.fastq.gz</w:t>
      </w:r>
    </w:p>
    <w:p>
      <w:pPr>
        <w:numPr>
          <w:ilvl w:val="2"/>
          <w:numId w:val="1015"/>
        </w:numPr>
        <w:pStyle w:val="Compact"/>
      </w:pPr>
      <w:r>
        <w:t xml:space="preserve">Undetermined_S0_L001_R1_001.fastq.gz</w:t>
      </w:r>
    </w:p>
    <w:p>
      <w:pPr>
        <w:numPr>
          <w:ilvl w:val="2"/>
          <w:numId w:val="1015"/>
        </w:numPr>
        <w:pStyle w:val="Compact"/>
      </w:pPr>
      <w:r>
        <w:t xml:space="preserve">Undetermined_S0_L001_R2_001.fastq.gz</w:t>
      </w:r>
    </w:p>
    <w:p>
      <w:pPr>
        <w:pStyle w:val="Heading2"/>
      </w:pPr>
      <w:bookmarkStart w:id="42" w:name="塩基配列データ処理"/>
      <w:r>
        <w:t xml:space="preserve">塩基配列データ処理</w:t>
      </w:r>
      <w:bookmarkEnd w:id="42"/>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w:t>
      </w:r>
      <w:r>
        <w:rPr>
          <w:rStyle w:val="VerbatimChar"/>
        </w:rPr>
        <w:t xml:space="preserve">NumberOfCPUcores</w:t>
      </w:r>
      <w:r>
        <w:t xml:space="preserve">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そのため、作業ディレクトリは高速なSSDに設置することを強くお勧めします。</w:t>
      </w:r>
    </w:p>
    <w:p>
      <w:pPr>
        <w:pStyle w:val="Heading3"/>
      </w:pPr>
      <w:bookmarkStart w:id="43" w:name="clsplitseqによるデマルチプレクシング"/>
      <w:r>
        <w:t xml:space="preserve">clsplitseqによるデマルチプレクシング</w:t>
      </w:r>
      <w:bookmarkEnd w:id="43"/>
    </w:p>
    <w:p>
      <w:pPr>
        <w:pStyle w:val="FirstParagraph"/>
      </w:pPr>
      <w:r>
        <w:t xml:space="preserve">デマルチプレクシングを行うには、以下のコマンドを実行します。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01_undemultiplexed/Undetermined_S0_L001_R1_001.fastq.gz \</w:t>
      </w:r>
      <w:r>
        <w:br/>
      </w:r>
      <w:r>
        <w:rPr>
          <w:rStyle w:val="NormalTok"/>
        </w:rPr>
        <w:t xml:space="preserve">01_undemultiplexed/Undetermined_S0_L001_I1_001.fastq.gz \</w:t>
      </w:r>
      <w:r>
        <w:br/>
      </w:r>
      <w:r>
        <w:rPr>
          <w:rStyle w:val="NormalTok"/>
        </w:rPr>
        <w:t xml:space="preserve">01_undemultiplexed/Undetermined_S0_L001_I2_001.fastq.gz \</w:t>
      </w:r>
      <w:r>
        <w:br/>
      </w:r>
      <w:r>
        <w:rPr>
          <w:rStyle w:val="NormalTok"/>
        </w:rPr>
        <w:t xml:space="preserve">01_undemultiplexed/Undetermined_S0_L001_R2_001.fastq.gz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プライマー配列の一致度を算出する際にプライマー配列先頭の</w:t>
      </w:r>
      <w:r>
        <w:rPr>
          <w:rStyle w:val="VerbatimChar"/>
        </w:rPr>
        <w:t xml:space="preserve">N</w:t>
      </w:r>
      <w:r>
        <w:t xml:space="preserve">群を除外するか否か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塩基配列名の形式(ILLUMINA | MGI | OTHER | NOCHANGEから選択)</w:t>
      </w:r>
    </w:p>
    <w:p>
      <w:pPr>
        <w:pStyle w:val="FirstParagraph"/>
      </w:pPr>
      <w:r>
        <w:t xml:space="preserve">コマンドラインオプション後に入力ファイル群、出力フォルダ名を与えます。</w:t>
      </w:r>
    </w:p>
    <w:p>
      <w:pPr>
        <w:pStyle w:val="BodyText"/>
      </w:pPr>
      <w:r>
        <w:t xml:space="preserve">なお、入力ファイルは以下の順で指定します。</w:t>
      </w:r>
    </w:p>
    <w:p>
      <w:pPr>
        <w:numPr>
          <w:ilvl w:val="0"/>
          <w:numId w:val="1016"/>
        </w:numPr>
        <w:pStyle w:val="Compact"/>
      </w:pPr>
      <w:r>
        <w:t xml:space="preserve">インサートのフォワード側リードのundemultiplexed FASTQ</w:t>
      </w:r>
    </w:p>
    <w:p>
      <w:pPr>
        <w:numPr>
          <w:ilvl w:val="0"/>
          <w:numId w:val="1016"/>
        </w:numPr>
        <w:pStyle w:val="Compact"/>
      </w:pPr>
      <w:r>
        <w:t xml:space="preserve">index1のundemultiplexed FASTQ</w:t>
      </w:r>
    </w:p>
    <w:p>
      <w:pPr>
        <w:numPr>
          <w:ilvl w:val="0"/>
          <w:numId w:val="1016"/>
        </w:numPr>
        <w:pStyle w:val="Compact"/>
      </w:pPr>
      <w:r>
        <w:t xml:space="preserve">index2のundemultiplexed FASTQ</w:t>
      </w:r>
    </w:p>
    <w:p>
      <w:pPr>
        <w:numPr>
          <w:ilvl w:val="0"/>
          <w:numId w:val="1016"/>
        </w:numPr>
        <w:pStyle w:val="Compact"/>
      </w:pPr>
      <w:r>
        <w:t xml:space="preserve">インサートのリバース側リードのundemultiplexed FASTQ</w:t>
      </w:r>
    </w:p>
    <w:p>
      <w:pPr>
        <w:pStyle w:val="FirstParagraph"/>
      </w:pPr>
      <w:r>
        <w:t xml:space="preserve">これは、Illumina社シーケンサが解読する順になっています。</w:t>
      </w:r>
    </w:p>
    <w:p>
      <w:pPr>
        <w:pStyle w:val="BodyText"/>
      </w:pPr>
      <w:r>
        <w:t xml:space="preserve">このコマンドでは、インデックス配列だけでなくプライマー配列も使用してデマルチプレックスを行うため、インデックス配列のみを使う場合よりも細かくデマルチプレックスすることが可能です。</w:t>
      </w:r>
      <w:r>
        <w:t xml:space="preserve"> </w:t>
      </w:r>
      <w:r>
        <w:t xml:space="preserve">したがって、他のプライマーの増幅産物が混入しているデータでも、プライマー配列が十分異なっていればそれらを分けることができます。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出力されたファイルからは、プライマー配列のマッチした部分は除去されています。</w:t>
      </w:r>
      <w:r>
        <w:t xml:space="preserve"> </w:t>
      </w:r>
      <w:r>
        <w:t xml:space="preserve">これは、その部分はプライマーの塩基配列であって、実際の生物の塩基配列ではないからです。</w:t>
      </w:r>
    </w:p>
    <w:p>
      <w:pPr>
        <w:pStyle w:val="BodyText"/>
      </w:pPr>
      <w:r>
        <w:t xml:space="preserve">データサイズが大きいと、この処理は非常に長い時間がかかります。</w:t>
      </w:r>
    </w:p>
    <w:p>
      <w:pPr>
        <w:pStyle w:val="Heading3"/>
      </w:pPr>
      <w:bookmarkStart w:id="44" w:name="clconcatpairvによるペアエンド配列の連結"/>
      <w:r>
        <w:t xml:space="preserve">clconcatpairvによるペアエンド配列の連結</w:t>
      </w:r>
      <w:bookmarkEnd w:id="44"/>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Paired-Endなのか(OVL | NONから選択)</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45" w:name="clfilterseqvによる低品質配列の除去"/>
      <w:r>
        <w:t xml:space="preserve">clfilterseqvによる低品質配列の除去</w:t>
      </w:r>
      <w:bookmarkEnd w:id="45"/>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&amp;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BodyText"/>
      </w:pP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46" w:name="cldenoiseseqdによるデノイジング"/>
      <w:r>
        <w:t xml:space="preserve">cldenoiseseqdによるデノイジング</w:t>
      </w:r>
      <w:bookmarkEnd w:id="46"/>
    </w:p>
    <w:p>
      <w:pPr>
        <w:pStyle w:val="FirstParagraph"/>
      </w:pPr>
      <w:r>
        <w:t xml:space="preserve">以下のコマンドでDADA2</w:t>
      </w:r>
      <w:r>
        <w:t xml:space="preserve"> </w:t>
      </w:r>
      <w:r>
        <w:t xml:space="preserve">(Callahan</w:t>
      </w:r>
      <w:r>
        <w:t xml:space="preserve"> </w:t>
      </w:r>
      <w:r>
        <w:rPr>
          <w:i/>
        </w:rPr>
        <w:t xml:space="preserve">et al.</w:t>
      </w:r>
      <w:r>
        <w:t xml:space="preserve"> </w:t>
      </w:r>
      <w:r>
        <w:t xml:space="preserve">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無効化すればデノイジング効率が低下してしまうため、DADA2開発者が用意しているPseudo-pooling法をここでは使用しています(Priorは使用していません)。</w:t>
      </w:r>
      <w:r>
        <w:t xml:space="preserve"> </w:t>
      </w:r>
      <w:r>
        <w:t xml:space="preserve">Pseudo-pooling法に関してはDADA2の公式Webサイトをご参照下さい。</w:t>
      </w:r>
    </w:p>
    <w:p>
      <w:pPr>
        <w:pStyle w:val="Heading3"/>
      </w:pPr>
      <w:bookmarkStart w:id="47" w:name="clremovechimevによる参照配列データベースを用いないキメラ除去"/>
      <w:r>
        <w:t xml:space="preserve">clremovechimevによる参照配列データベースを用いないキメラ除去</w:t>
      </w:r>
      <w:bookmarkEnd w:id="47"/>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に実装されているUCHIME3アルゴリズム</w:t>
      </w:r>
      <w:r>
        <w:t xml:space="preserve"> </w:t>
      </w:r>
      <w:r>
        <w:t xml:space="preserve">(Edgar 2016)</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--mode=denovo \</w:t>
      </w:r>
      <w:r>
        <w:br/>
      </w:r>
      <w:r>
        <w:rPr>
          <w:rStyle w:val="NormalTok"/>
        </w:rPr>
        <w:t xml:space="preserve">--uchimedenovo=3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--uchimedenovo</w:t>
      </w:r>
    </w:p>
    <w:p>
      <w:pPr>
        <w:pStyle w:val="Definition"/>
      </w:pPr>
      <w:r>
        <w:t xml:space="preserve">UCHIME de novoのバージョンを指定(1 | 2 | 3から選択)</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--mode=denovo</w:t>
      </w:r>
      <w:r>
        <w:t xml:space="preserve">というのは参照配列データベースを用いないキメラ除去モードのことを指します。</w:t>
      </w:r>
      <w:r>
        <w:t xml:space="preserve"> </w:t>
      </w:r>
      <w:r>
        <w:t xml:space="preserve">UCHIME de novoは多少内容の異なる3つのバージョンがありますが、デノイジングした塩基配列に対して最適化されているのはUCHIME3なので、それを選択しています。</w:t>
      </w:r>
    </w:p>
    <w:p>
      <w:pPr>
        <w:pStyle w:val="Heading3"/>
      </w:pPr>
      <w:bookmarkStart w:id="48" w:name="clclusterstdvによる内部標準配列クラスタリング"/>
      <w:r>
        <w:t xml:space="preserve">clclusterstdvによる内部標準配列クラスタリング</w:t>
      </w:r>
      <w:bookmarkEnd w:id="48"/>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判断が難しい場合は、値を0.90～0.97の範囲で0.01間隔で変化させ、内部標準DNAと判定されるリード数が急激に変化するところを探し、変化点の小さい方に設定します。</w:t>
      </w:r>
      <w:r>
        <w:t xml:space="preserve"> </w:t>
      </w:r>
      <w:r>
        <w:t xml:space="preserve">内部標準DNAと判定されるリード数が急激に変化するところが見つからない場合、内部標準DNAの合成エラー率が非常に高い、または内部標準配列に似た配列を持った生物の配列が含まれている、またはその両方であり定量は不可能と考えられるため、内部標準DNAの合成を業者に依頼するところから全てやり直す必要があります。</w:t>
      </w:r>
      <w:r>
        <w:t xml:space="preserve"> </w:t>
      </w:r>
      <w:r>
        <w:t xml:space="preserve">合成された内部標準DNAと生物のDNAの区別ができないので、非定量メタバーコーディングとしてもデータを使用することはできません。</w:t>
      </w:r>
    </w:p>
    <w:p>
      <w:pPr>
        <w:pStyle w:val="Heading3"/>
      </w:pPr>
      <w:bookmarkStart w:id="49" w:name="clremovechimevによる参照配列データベースを用いたキメラ除去"/>
      <w:r>
        <w:t xml:space="preserve">clremovechimevによる参照配列データベースを用いたキメラ除去</w:t>
      </w:r>
      <w:bookmarkEnd w:id="49"/>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に実装されているUCHIMEアルゴリズム</w:t>
      </w:r>
      <w:r>
        <w:t xml:space="preserve"> </w:t>
      </w:r>
      <w:r>
        <w:t xml:space="preserve">(Edgar</w:t>
      </w:r>
      <w:r>
        <w:t xml:space="preserve"> </w:t>
      </w:r>
      <w:r>
        <w:rPr>
          <w:i/>
        </w:rPr>
        <w:t xml:space="preserve">et al.</w:t>
      </w:r>
      <w:r>
        <w:t xml:space="preserve"> </w:t>
      </w:r>
      <w:r>
        <w:t xml:space="preserve">2011)</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Claidentのインストーラで自動インストールされる参照配列データベースは以下の通りです。</w:t>
      </w:r>
    </w:p>
    <w:p>
      <w:pPr>
        <w:pStyle w:val="DefinitionTerm"/>
      </w:pPr>
      <w:r>
        <w:t xml:space="preserve">rdpgoldv9</w:t>
      </w:r>
    </w:p>
    <w:p>
      <w:pPr>
        <w:pStyle w:val="Definition"/>
      </w:pPr>
      <w:r>
        <w:t xml:space="preserve">細菌16S用</w:t>
      </w:r>
    </w:p>
    <w:p>
      <w:pPr>
        <w:pStyle w:val="DefinitionTerm"/>
      </w:pPr>
      <w:r>
        <w:t xml:space="preserve">dairydb3.0.0</w:t>
      </w:r>
    </w:p>
    <w:p>
      <w:pPr>
        <w:pStyle w:val="Definition"/>
      </w:pPr>
      <w:r>
        <w:t xml:space="preserve">細菌16S用</w:t>
      </w:r>
    </w:p>
    <w:p>
      <w:pPr>
        <w:pStyle w:val="DefinitionTerm"/>
      </w:pPr>
      <w:r>
        <w:t xml:space="preserve">unite20170628, unite20170628untrim, unite20170628its1, unite20170628its2</w:t>
      </w:r>
    </w:p>
    <w:p>
      <w:pPr>
        <w:pStyle w:val="Definition"/>
      </w:pPr>
      <w:r>
        <w:t xml:space="preserve">真菌ITS用</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キメラ除去用参照配列データベースは「</w:t>
      </w:r>
      <w:r>
        <w:rPr>
          <w:rStyle w:val="VerbatimChar"/>
        </w:rPr>
        <w:t xml:space="preserve">インストール先/share/claident/uchimedb</w:t>
      </w:r>
      <w:r>
        <w:t xml:space="preserve">」にあるため、このフォルダの内容を見ればインストールされている参照配列データベースがわかります。</w:t>
      </w:r>
    </w:p>
    <w:p>
      <w:pPr>
        <w:pStyle w:val="BodyText"/>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r>
        <w:t xml:space="preserve"> </w:t>
      </w: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」に含まれている)を参照配列に追加することで、キメラの検出力向上を狙っています。</w:t>
      </w:r>
      <w:r>
        <w:t xml:space="preserve"> </w:t>
      </w:r>
      <w:r>
        <w:t xml:space="preserve">「</w:t>
      </w:r>
      <w:r>
        <w:rPr>
          <w:rStyle w:val="VerbatimChar"/>
        </w:rPr>
        <w:t xml:space="preserve">standard.fasta</w:t>
      </w:r>
      <w:r>
        <w:t xml:space="preserve">」 (合成業者に依頼した際の配列、すなわち合成エラーを一切含まない配列)ではなく「</w:t>
      </w:r>
      <w:r>
        <w:rPr>
          <w:rStyle w:val="VerbatimChar"/>
        </w:rPr>
        <w:t xml:space="preserve">07_stdclustered/stdvariations.fasta</w:t>
      </w:r>
      <w:r>
        <w:t xml:space="preserve">」 (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Heading3"/>
      </w:pPr>
      <w:bookmarkStart w:id="50" w:name="clremovecontamによるインデックスホッピング除去"/>
      <w:r>
        <w:t xml:space="preserve">clremovecontamによるインデックスホッピング除去</w:t>
      </w:r>
      <w:bookmarkEnd w:id="50"/>
    </w:p>
    <w:p>
      <w:pPr>
        <w:pStyle w:val="FirstParagraph"/>
      </w:pPr>
      <w:r>
        <w:t xml:space="preserve">以下のコマンドで、</w:t>
      </w:r>
      <w:r>
        <w:t xml:space="preserve"> </w:t>
      </w:r>
      <w:r>
        <w:t xml:space="preserve">Esling</w:t>
      </w:r>
      <w:r>
        <w:t xml:space="preserve"> </w:t>
      </w:r>
      <w:r>
        <w:rPr>
          <w:i/>
        </w:rPr>
        <w:t xml:space="preserve">et al.</w:t>
      </w:r>
      <w:r>
        <w:t xml:space="preserve"> </w:t>
      </w:r>
      <w:r>
        <w:t xml:space="preserve">(2015)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Heading3"/>
      </w:pPr>
      <w:bookmarkStart w:id="51" w:name="Xa289b86ea08d3f3d275e124ff6c56b49de31ee7"/>
      <w:r>
        <w:t xml:space="preserve">clremovecontamとネガティブコントロールを利用したデコンタミネーション</w:t>
      </w:r>
      <w:bookmarkEnd w:id="51"/>
    </w:p>
    <w:p>
      <w:pPr>
        <w:pStyle w:val="FirstParagraph"/>
      </w:pPr>
      <w:r>
        <w:t xml:space="preserve">以下のコマンドでは、サンプルとフィールドブランクにおける環境水中の各ASVのDNA濃度を算出し、サンプルにおけるDNA濃度が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ブランクのサンプルIDリストを記したテキストファイル</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52" w:name="分子同定"/>
      <w:r>
        <w:t xml:space="preserve">分子同定</w:t>
      </w:r>
      <w:bookmarkEnd w:id="52"/>
    </w:p>
    <w:p>
      <w:pPr>
        <w:pStyle w:val="FirstParagraph"/>
      </w:pPr>
      <w:r>
        <w:t xml:space="preserve">ここでは、QCauto法と95%-3NN法</w:t>
      </w:r>
      <w:r>
        <w:t xml:space="preserve"> </w:t>
      </w:r>
      <w:r>
        <w:t xml:space="preserve">(Tanabe &amp;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53" w:name="分子同定用参照配列データベース"/>
      <w:r>
        <w:t xml:space="preserve">分子同定用参照配列データベース</w:t>
      </w:r>
      <w:bookmarkEnd w:id="53"/>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animals_COX1</w:t>
      </w:r>
    </w:p>
    <w:p>
      <w:pPr>
        <w:pStyle w:val="Definition"/>
      </w:pPr>
      <w:r>
        <w:t xml:space="preserve">動物COX1(COI)</w:t>
      </w:r>
    </w:p>
    <w:p>
      <w:pPr>
        <w:pStyle w:val="DefinitionTerm"/>
      </w:pPr>
      <w:r>
        <w:t xml:space="preserve">animals_mt</w:t>
      </w:r>
    </w:p>
    <w:p>
      <w:pPr>
        <w:pStyle w:val="Definition"/>
      </w:pPr>
      <w:r>
        <w:t xml:space="preserve">動物ミトコンドリアゲノム</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植物葉緑体ゲノム</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分子同定用参照配列データベースは「</w:t>
      </w:r>
      <w:r>
        <w:rPr>
          <w:rStyle w:val="VerbatimChar"/>
        </w:rPr>
        <w:t xml:space="preserve">インストール先/share/claident/blastdb</w:t>
      </w:r>
      <w:r>
        <w:t xml:space="preserve">」にあるため、このフォルダの内容を見ればインストールされている参照配列データベースがわかります。</w:t>
      </w:r>
    </w:p>
    <w:p>
      <w:pPr>
        <w:pStyle w:val="BodyText"/>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MiFishによるメタバーコーディングを日本の淡水域や日本近海のサンプルで行う場合、動物以外の配列やミトコンドリアゲノム以外の配列も同定したいなら、overall_species_wspを推奨します。</w:t>
      </w:r>
      <w:r>
        <w:t xml:space="preserve"> </w:t>
      </w:r>
      <w:r>
        <w:t xml:space="preserve">しかし、overall系データベースは巨大で、搭載しているメモリが少ないマシンではメモリ不足になってしまいます。</w:t>
      </w:r>
      <w:r>
        <w:t xml:space="preserve"> </w:t>
      </w:r>
      <w:r>
        <w:t xml:space="preserve">そのような場合、動物以外の配列やミトコンドリアゲノム以外の配列は同定できなくなりますが、animals_mt_species_wspが良いでしょう。</w:t>
      </w:r>
      <w:r>
        <w:t xml:space="preserve"> </w:t>
      </w:r>
      <w:r>
        <w:t xml:space="preserve">真菌や細菌などで属レベルの同定が非常に重要なケースでは、～_species_wsp_manを使うと良いかもしれません。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54" w:name="clmakecachedbによるキャッシュデータベースの生成"/>
      <w:r>
        <w:t xml:space="preserve">clmakecachedbによるキャッシュデータベースの生成</w:t>
      </w:r>
      <w:bookmarkEnd w:id="54"/>
    </w:p>
    <w:p>
      <w:pPr>
        <w:pStyle w:val="FirstParagraph"/>
      </w:pPr>
      <w:r>
        <w:t xml:space="preserve">最初に、以下のコマンドで分子同定に用いるキャッシュデータベースの生成を行います。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55" w:name="qcauto法による分子同定"/>
      <w:r>
        <w:t xml:space="preserve">QCauto法による分子同定</w:t>
      </w:r>
      <w:bookmarkEnd w:id="55"/>
    </w:p>
    <w:p>
      <w:pPr>
        <w:pStyle w:val="Heading4"/>
      </w:pPr>
      <w:bookmarkStart w:id="56" w:name="clidentseqによる近隣配列群の取得"/>
      <w:r>
        <w:t xml:space="preserve">clidentseqによる近隣配列群の取得</w:t>
      </w:r>
      <w:bookmarkEnd w:id="56"/>
    </w:p>
    <w:p>
      <w:pPr>
        <w:pStyle w:val="FirstParagraph"/>
      </w:pPr>
      <w:r>
        <w:t xml:space="preserve">以下のコマンドで、QCauto法に基づいて近隣配列をキャッシュデータベースから取得します。</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11_taxonomy/neighborhoods_qcauto_species_wsp.txt</w:t>
      </w:r>
    </w:p>
    <w:p>
      <w:pPr>
        <w:pStyle w:val="FirstParagraph"/>
      </w:pPr>
      <w:r>
        <w:t xml:space="preserve">コマンドラインオプションの意味は以下の通りです。</w:t>
      </w:r>
    </w:p>
    <w:p>
      <w:pPr>
        <w:pStyle w:val="DefinitionTerm"/>
      </w:pPr>
      <w:r>
        <w:rPr>
          <w:rStyle w:val="VerbatimChar"/>
        </w:rPr>
        <w:t xml:space="preserve">--method</w:t>
      </w:r>
    </w:p>
    <w:p>
      <w:pPr>
        <w:pStyle w:val="Definition"/>
      </w:pPr>
      <w:r>
        <w:t xml:space="preserve">使用する分子同定アルゴリズム</w:t>
      </w:r>
    </w:p>
    <w:p>
      <w:pPr>
        <w:pStyle w:val="DefinitionTerm"/>
      </w:pPr>
      <w:r>
        <w:rPr>
          <w:rStyle w:val="VerbatimChar"/>
        </w:rPr>
        <w:t xml:space="preserve">--blastdb</w:t>
      </w:r>
    </w:p>
    <w:p>
      <w:pPr>
        <w:pStyle w:val="Definition"/>
      </w:pPr>
      <w:r>
        <w:t xml:space="preserve">使用する分子同定用参照配列データベースまたはキャッシュデータベース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コマンドラインオプションに引き続いて、入力ファイル、出力ファイルを指定します。</w:t>
      </w:r>
    </w:p>
    <w:p>
      <w:pPr>
        <w:pStyle w:val="Heading4"/>
      </w:pPr>
      <w:bookmarkStart w:id="57" w:name="classigntaxによる分類群の割り当て"/>
      <w:r>
        <w:t xml:space="preserve">classigntaxによる分類群の割り当て</w:t>
      </w:r>
      <w:bookmarkEnd w:id="57"/>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11_taxonomy/neighborhoods_qcauto_species_wsp.txt \</w:t>
      </w:r>
      <w:r>
        <w:br/>
      </w:r>
      <w:r>
        <w:rPr>
          <w:rStyle w:val="NormalTok"/>
        </w:rPr>
        <w:t xml:space="preserve">11_taxonomy/taxonomy_qcauto_species_wsp.tsv</w:t>
      </w:r>
    </w:p>
    <w:p>
      <w:pPr>
        <w:pStyle w:val="FirstParagraph"/>
      </w:pPr>
      <w:r>
        <w:t xml:space="preserve">コマンドラインオプションの意味は以下の通りです。</w:t>
      </w:r>
    </w:p>
    <w:p>
      <w:pPr>
        <w:pStyle w:val="DefinitionTerm"/>
      </w:pPr>
      <w:r>
        <w:rPr>
          <w:rStyle w:val="VerbatimChar"/>
        </w:rPr>
        <w:t xml:space="preserve">--taxdb</w:t>
      </w:r>
    </w:p>
    <w:p>
      <w:pPr>
        <w:pStyle w:val="Definition"/>
      </w:pPr>
      <w:r>
        <w:t xml:space="preserve">使用する参照配列の同定情報データベース(</w:t>
      </w:r>
      <w:r>
        <w:rPr>
          <w:rStyle w:val="VerbatimChar"/>
        </w:rPr>
        <w:t xml:space="preserve">clmakecachedb</w:t>
      </w:r>
      <w:r>
        <w:t xml:space="preserve">の</w:t>
      </w:r>
      <w:r>
        <w:rPr>
          <w:rStyle w:val="VerbatimChar"/>
        </w:rPr>
        <w:t xml:space="preserve">--blastdb</w:t>
      </w:r>
      <w:r>
        <w:t xml:space="preserve">と一致させる)</w:t>
      </w:r>
    </w:p>
    <w:p>
      <w:pPr>
        <w:pStyle w:val="FirstParagraph"/>
      </w:pPr>
      <w:r>
        <w:t xml:space="preserve">コマンドラインオプションに引き続いて、入力ファイル、出力ファイルを指定します。</w:t>
      </w:r>
    </w:p>
    <w:p>
      <w:pPr>
        <w:pStyle w:val="BodyText"/>
      </w:pPr>
      <w:r>
        <w:t xml:space="preserve">出力ファイルは、OTUごとに1行の同定結果を記録したタブ区切りテキストになっています。</w:t>
      </w:r>
    </w:p>
    <w:p>
      <w:pPr>
        <w:pStyle w:val="Heading3"/>
      </w:pPr>
      <w:bookmarkStart w:id="58" w:name="nn法による分子同定"/>
      <w:r>
        <w:t xml:space="preserve">95%-3NN法による分子同定</w:t>
      </w:r>
      <w:bookmarkEnd w:id="58"/>
    </w:p>
    <w:p>
      <w:pPr>
        <w:pStyle w:val="Heading4"/>
      </w:pPr>
      <w:bookmarkStart w:id="59" w:name="clidentseqによる近隣配列群の取得-1"/>
      <w:r>
        <w:t xml:space="preserve">clidentseqによる近隣配列群の取得</w:t>
      </w:r>
      <w:bookmarkEnd w:id="59"/>
    </w:p>
    <w:p>
      <w:pPr>
        <w:pStyle w:val="FirstParagraph"/>
      </w:pPr>
      <w:r>
        <w:t xml:space="preserve">以下のコマンドで、95%-3NN法に基づいて近隣配列をキャッシュデータベースから取得します。</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11_taxonomy/neighborhoods_95p3nn_species_wsp.txt</w:t>
      </w:r>
    </w:p>
    <w:p>
      <w:pPr>
        <w:pStyle w:val="Heading4"/>
      </w:pPr>
      <w:bookmarkStart w:id="60" w:name="classigntaxによる分類群の割当"/>
      <w:r>
        <w:t xml:space="preserve">classigntaxによる分類群の割当</w:t>
      </w:r>
      <w:bookmarkEnd w:id="60"/>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--minnsupporter=1 \</w:t>
      </w:r>
      <w:r>
        <w:br/>
      </w:r>
      <w:r>
        <w:rPr>
          <w:rStyle w:val="NormalTok"/>
        </w:rPr>
        <w:t xml:space="preserve">11_taxonomy/neighborhoods_95p3nn_species_wsp.txt \</w:t>
      </w:r>
      <w:r>
        <w:br/>
      </w:r>
      <w:r>
        <w:rPr>
          <w:rStyle w:val="NormalTok"/>
        </w:rPr>
        <w:t xml:space="preserve">11_taxonomy/taxonomy_95p3nn_species_wsp.tsv</w:t>
      </w:r>
    </w:p>
    <w:p>
      <w:pPr>
        <w:pStyle w:val="FirstParagraph"/>
      </w:pPr>
      <w:r>
        <w:t xml:space="preserve">コマンドラインオプションの意味は以下の通りです。</w:t>
      </w:r>
    </w:p>
    <w:p>
      <w:pPr>
        <w:pStyle w:val="DefinitionTerm"/>
      </w:pPr>
      <w:r>
        <w:rPr>
          <w:rStyle w:val="VerbatimChar"/>
        </w:rPr>
        <w:t xml:space="preserve">--minnsupporter</w:t>
      </w:r>
    </w:p>
    <w:p>
      <w:pPr>
        <w:pStyle w:val="Definition"/>
      </w:pPr>
      <w:r>
        <w:t xml:space="preserve">結果を支持する近隣配列数の下限</w:t>
      </w:r>
    </w:p>
    <w:p>
      <w:pPr>
        <w:pStyle w:val="FirstParagraph"/>
      </w:pPr>
      <w:r>
        <w:t xml:space="preserve">この方法では、OTUの塩基配列が95%以上一致する参照配列を類似度上位3位タイまで取得して近隣配列とし、LCAアルゴリズム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を用いて各OTUに分類群を割り当てていますが、95%以上一致する参照配列が1～2本であっても結果を採用するように指定しています(当然、誤同定は生じやすくなります)。</w:t>
      </w:r>
    </w:p>
    <w:p>
      <w:pPr>
        <w:pStyle w:val="Heading3"/>
      </w:pPr>
      <w:bookmarkStart w:id="61" w:name="clmakeidentdbによる分子同定結果の再利用"/>
      <w:r>
        <w:t xml:space="preserve">clmakeidentdbによる分子同定結果の再利用</w:t>
      </w:r>
      <w:bookmarkEnd w:id="61"/>
    </w:p>
    <w:p>
      <w:pPr>
        <w:pStyle w:val="FirstParagraph"/>
      </w:pPr>
      <w:r>
        <w:t xml:space="preserve">以下のコマンドを使用してQCauto法による分子同定結果データベースを作成することができます。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11_taxonomy/neighborhoods_qcauto_species_wsp.txt \</w:t>
      </w:r>
      <w:r>
        <w:br/>
      </w:r>
      <w:r>
        <w:rPr>
          <w:rStyle w:val="NormalTok"/>
        </w:rPr>
        <w:t xml:space="preserve">11_taxonomy/qcauto_species_wsp.identdb</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11_taxonomy/neighborhoods_95p3nn_species_wsp.txt \</w:t>
      </w:r>
      <w:r>
        <w:br/>
      </w:r>
      <w:r>
        <w:rPr>
          <w:rStyle w:val="NormalTok"/>
        </w:rPr>
        <w:t xml:space="preserve">11_taxonomy/95p3nn_species_wsp.identdb</w:t>
      </w:r>
    </w:p>
    <w:p>
      <w:pPr>
        <w:pStyle w:val="FirstParagraph"/>
      </w:pPr>
      <w:r>
        <w:t xml:space="preserve">コマンドラインオプションの意味は以下の通りです。</w:t>
      </w:r>
    </w:p>
    <w:p>
      <w:pPr>
        <w:pStyle w:val="DefinitionTerm"/>
      </w:pPr>
      <w:r>
        <w:rPr>
          <w:rStyle w:val="VerbatimChar"/>
        </w:rPr>
        <w:t xml:space="preserve">--append</w:t>
      </w:r>
    </w:p>
    <w:p>
      <w:pPr>
        <w:pStyle w:val="Definition"/>
      </w:pPr>
      <w:r>
        <w:t xml:space="preserve">出力ファイルが既に存在している場合は結果を追加する</w:t>
      </w:r>
    </w:p>
    <w:p>
      <w:pPr>
        <w:pStyle w:val="FirstParagraph"/>
      </w:pPr>
      <w:r>
        <w:t xml:space="preserve">コマンドラインオプションに引き続いて、入力ファイル、出力ファイルを指定します。</w:t>
      </w:r>
    </w:p>
    <w:p>
      <w:pPr>
        <w:pStyle w:val="BodyText"/>
      </w:pPr>
      <w:r>
        <w:t xml:space="preserve">出力ファイル内には分子同定結果(実際には</w:t>
      </w:r>
      <w:r>
        <w:rPr>
          <w:rStyle w:val="VerbatimChar"/>
        </w:rPr>
        <w:t xml:space="preserve">clidentseq</w:t>
      </w:r>
      <w:r>
        <w:t xml:space="preserve">の結果)が記録されており、</w:t>
      </w:r>
      <w:r>
        <w:rPr>
          <w:rStyle w:val="VerbatimChar"/>
        </w:rPr>
        <w:t xml:space="preserve">clmakecachedb</w:t>
      </w:r>
      <w:r>
        <w:t xml:space="preserve">と</w:t>
      </w:r>
      <w:r>
        <w:rPr>
          <w:rStyle w:val="VerbatimChar"/>
        </w:rPr>
        <w:t xml:space="preserve">clidentseq</w:t>
      </w:r>
      <w:r>
        <w:t xml:space="preserve">の実行時に</w:t>
      </w:r>
      <w:r>
        <w:rPr>
          <w:rStyle w:val="VerbatimChar"/>
        </w:rPr>
        <w:t xml:space="preserve">--identdb</w:t>
      </w:r>
      <w:r>
        <w:t xml:space="preserve">オプションで指定することで、このデータベース内に結果が既にあるOTUにおいて参照配列データベースの検索を飛ばし、無駄な計算を省きます。</w:t>
      </w:r>
      <w:r>
        <w:t xml:space="preserve"> </w:t>
      </w:r>
      <w:r>
        <w:t xml:space="preserve">なお、手法やデータベースが異なれば分子同定結果は当然ながら異なり得ます。</w:t>
      </w:r>
      <w:r>
        <w:t xml:space="preserve"> </w:t>
      </w:r>
      <w:r>
        <w:t xml:space="preserve">したがって、</w:t>
      </w:r>
      <w:r>
        <w:rPr>
          <w:rStyle w:val="VerbatimChar"/>
        </w:rPr>
        <w:t xml:space="preserve">clmakeidentdb</w:t>
      </w:r>
      <w:r>
        <w:t xml:space="preserve">を</w:t>
      </w:r>
      <w:r>
        <w:rPr>
          <w:rStyle w:val="VerbatimChar"/>
        </w:rPr>
        <w:t xml:space="preserve">--append</w:t>
      </w:r>
      <w:r>
        <w:t xml:space="preserve">付きで実行する際は同定手法やデータベースの異なる分子同定結果を混ぜてしまわないように注意が必要です(コマンド側で検証はしていません)。</w:t>
      </w:r>
      <w:r>
        <w:t xml:space="preserve"> </w:t>
      </w:r>
      <w:r>
        <w:rPr>
          <w:rStyle w:val="VerbatimChar"/>
        </w:rPr>
        <w:t xml:space="preserve">clmakecachedb</w:t>
      </w:r>
      <w:r>
        <w:t xml:space="preserve">で</w:t>
      </w:r>
      <w:r>
        <w:rPr>
          <w:rStyle w:val="VerbatimChar"/>
        </w:rPr>
        <w:t xml:space="preserve">--identdb</w:t>
      </w:r>
      <w:r>
        <w:t xml:space="preserve">が指定されると、既に結果が存在するかどうかの確認にしか使用されませんが、</w:t>
      </w:r>
      <w:r>
        <w:rPr>
          <w:rStyle w:val="VerbatimChar"/>
        </w:rPr>
        <w:t xml:space="preserve">clidentseq</w:t>
      </w:r>
      <w:r>
        <w:t xml:space="preserve">で</w:t>
      </w:r>
      <w:r>
        <w:rPr>
          <w:rStyle w:val="VerbatimChar"/>
        </w:rPr>
        <w:t xml:space="preserve">--identdb</w:t>
      </w:r>
      <w:r>
        <w:t xml:space="preserve">が指定された場合、その分子同定結果データベース内の結果が使用されるため、同定手法やデータベースが一致していなくてはなりません(コマンド側で検証はしていません)。</w:t>
      </w:r>
    </w:p>
    <w:p>
      <w:pPr>
        <w:pStyle w:val="Heading3"/>
      </w:pPr>
      <w:bookmarkStart w:id="62" w:name="clmergeassignによる複数の分子同定結果のマージ"/>
      <w:r>
        <w:t xml:space="preserve">clmergeassignによる複数の分子同定結果のマージ</w:t>
      </w:r>
      <w:bookmarkEnd w:id="62"/>
    </w:p>
    <w:p>
      <w:pPr>
        <w:pStyle w:val="FirstParagraph"/>
      </w:pPr>
      <w:r>
        <w:t xml:space="preserve">ここまでの解析によって、OTUごとに少なくともQCauto法による分子同定結果と95%-3NN法による分子同定結果が得られているはずです。</w:t>
      </w:r>
      <w:r>
        <w:t xml:space="preserve"> </w:t>
      </w:r>
      <w:r>
        <w:t xml:space="preserve">複数のデータベースでそれぞれ分子同定を行い、同一のOTUに対してより多くの分子同定結果が得られている場合もあるでしょう。</w:t>
      </w:r>
      <w:r>
        <w:t xml:space="preserve"> </w:t>
      </w:r>
      <w:r>
        <w:t xml:space="preserve">そのような場合、それらの結果からOTUごとに「最も低レベルの分類階層まで同定できているものを採用する」という形で同定結果をマージすることができます。</w:t>
      </w:r>
      <w:r>
        <w:t xml:space="preserve"> </w:t>
      </w:r>
      <w:r>
        <w:t xml:space="preserve">下記コマンドを実行すると、より保守的で誤同定が少ないと考えられるQCauto法の結果を優先しつつ、95%-3NN法でQCauto法の結果と矛盾せず、より低レベルの分類階層まで同定できていたら採用する、という形で結果をマージできます(95%-3NN法の結果がより低レベルの分類階層まで同定できていても、QCauto法の結果と矛盾するなら却下します)。</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11_taxonomy/taxonomy_qcauto_species_wsp.tsv \</w:t>
      </w:r>
      <w:r>
        <w:br/>
      </w:r>
      <w:r>
        <w:rPr>
          <w:rStyle w:val="NormalTok"/>
        </w:rPr>
        <w:t xml:space="preserve">11_taxonomy/taxonomy_95p3nn_species_wsp.tsv \</w:t>
      </w:r>
      <w:r>
        <w:br/>
      </w:r>
      <w:r>
        <w:rPr>
          <w:rStyle w:val="NormalTok"/>
        </w:rPr>
        <w:t xml:space="preserve">11_taxonomy/taxonomy_merged.tsv</w:t>
      </w:r>
    </w:p>
    <w:p>
      <w:pPr>
        <w:pStyle w:val="FirstParagraph"/>
      </w:pPr>
      <w:r>
        <w:t xml:space="preserve">コマンドラインオプションの意味は以下の通りです。</w:t>
      </w:r>
    </w:p>
    <w:p>
      <w:pPr>
        <w:pStyle w:val="DefinitionTerm"/>
      </w:pPr>
      <w:r>
        <w:rPr>
          <w:rStyle w:val="VerbatimChar"/>
        </w:rPr>
        <w:t xml:space="preserve">--preferlower</w:t>
      </w:r>
    </w:p>
    <w:p>
      <w:pPr>
        <w:pStyle w:val="Definition"/>
      </w:pPr>
      <w:r>
        <w:t xml:space="preserve">より低レベルの分類階層まで同定できている結果を優先的に採用する</w:t>
      </w:r>
    </w:p>
    <w:p>
      <w:pPr>
        <w:pStyle w:val="DefinitionTerm"/>
      </w:pPr>
      <w:r>
        <w:rPr>
          <w:rStyle w:val="VerbatimChar"/>
        </w:rPr>
        <w:t xml:space="preserve">--priority</w:t>
      </w:r>
    </w:p>
    <w:p>
      <w:pPr>
        <w:pStyle w:val="Definition"/>
      </w:pPr>
      <w:r>
        <w:t xml:space="preserve">入力ファイルの優先順位(ASCEND | DESCEND | EQUAL | 式による指定から選択)</w:t>
      </w:r>
    </w:p>
    <w:p>
      <w:pPr>
        <w:pStyle w:val="Definition"/>
      </w:pPr>
      <w:r>
        <w:t xml:space="preserve">式は、入力ファイルに0から始まる数値を割り振り、「</w:t>
      </w:r>
      <w:r>
        <w:rPr>
          <w:rStyle w:val="VerbatimChar"/>
        </w:rPr>
        <w:t xml:space="preserve">0&lt;1=2&lt;3&lt;4</w:t>
      </w:r>
      <w:r>
        <w:t xml:space="preserve">」という風に指定します。</w:t>
      </w:r>
    </w:p>
    <w:p>
      <w:pPr>
        <w:pStyle w:val="Definition"/>
      </w:pPr>
      <w:r>
        <w:t xml:space="preserve">この優先順位は</w:t>
      </w:r>
      <w:r>
        <w:rPr>
          <w:rStyle w:val="VerbatimChar"/>
        </w:rPr>
        <w:t xml:space="preserve">--preferlower</w:t>
      </w:r>
      <w:r>
        <w:t xml:space="preserve">よりも優先されます</w:t>
      </w:r>
    </w:p>
    <w:p>
      <w:pPr>
        <w:pStyle w:val="FirstParagraph"/>
      </w:pPr>
      <w:r>
        <w:t xml:space="preserve">コマンドラインオプションに引き続いて、入力ファイル群、出力ファイルを指定します。</w:t>
      </w:r>
    </w:p>
    <w:p>
      <w:pPr>
        <w:pStyle w:val="BodyText"/>
      </w:pPr>
      <w:r>
        <w:rPr>
          <w:rStyle w:val="VerbatimChar"/>
        </w:rPr>
        <w:t xml:space="preserve">--priority=descend</w:t>
      </w:r>
      <w:r>
        <w:t xml:space="preserve">を指定している場合、入力ファイル群は後の方よりも最初の方が優先されます。</w:t>
      </w:r>
    </w:p>
    <w:p>
      <w:pPr>
        <w:pStyle w:val="Heading3"/>
      </w:pPr>
      <w:bookmarkStart w:id="63" w:name="clfillassignによる分子同定結果の穴埋め"/>
      <w:r>
        <w:t xml:space="preserve">clfillassignによる分子同定結果の穴埋め</w:t>
      </w:r>
      <w:bookmarkEnd w:id="63"/>
    </w:p>
    <w:p>
      <w:pPr>
        <w:pStyle w:val="FirstParagraph"/>
      </w:pPr>
      <w:r>
        <w:rPr>
          <w:rStyle w:val="VerbatimChar"/>
        </w:rPr>
        <w:t xml:space="preserve">classigntax</w:t>
      </w:r>
      <w:r>
        <w:t xml:space="preserve">の出力は、そのままでは同定情報のない分類階層は空欄のままとなっています。</w:t>
      </w:r>
      <w:r>
        <w:t xml:space="preserve"> </w:t>
      </w:r>
      <w:r>
        <w:t xml:space="preserve">そこで、以下のコマンドでそのような空欄を全て埋めることができます。</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コマンドラインオプションの意味は以下の通りです。</w:t>
      </w:r>
    </w:p>
    <w:p>
      <w:pPr>
        <w:pStyle w:val="DefinitionTerm"/>
      </w:pPr>
      <w:r>
        <w:rPr>
          <w:rStyle w:val="VerbatimChar"/>
        </w:rPr>
        <w:t xml:space="preserve">--fullfill</w:t>
      </w:r>
    </w:p>
    <w:p>
      <w:pPr>
        <w:pStyle w:val="Definition"/>
      </w:pPr>
      <w:r>
        <w:t xml:space="preserve">ファイル中に存在しない分類階層も含めてClaidentがサポートしている全分類階層を穴埋めするか否か(ENABLE | DISABLEから選択)</w:t>
      </w:r>
    </w:p>
    <w:p>
      <w:pPr>
        <w:pStyle w:val="FirstParagraph"/>
      </w:pPr>
      <w:r>
        <w:t xml:space="preserve">コマンドラインオプションに引き続いて、入力ファイル、出力ファイルを指定します。</w:t>
      </w:r>
    </w:p>
    <w:p>
      <w:pPr>
        <w:pStyle w:val="BodyText"/>
      </w:pPr>
      <w:r>
        <w:t xml:space="preserve">穴埋めは、より低レベルの分類階層の結果が存在する場合はその値で、より低レベルの分類階層の結果が存在しない場合は最も低レベルの分類階層の結果に「</w:t>
      </w:r>
      <w:r>
        <w:rPr>
          <w:rStyle w:val="VerbatimChar"/>
        </w:rPr>
        <w:t xml:space="preserve">unidentified</w:t>
      </w:r>
      <w:r>
        <w:t xml:space="preserve">」を付加たもので行います。</w:t>
      </w:r>
      <w:r>
        <w:t xml:space="preserve"> </w:t>
      </w:r>
      <w:r>
        <w:t xml:space="preserve">つまり、orderが「</w:t>
      </w:r>
      <w:r>
        <w:rPr>
          <w:rStyle w:val="VerbatimChar"/>
        </w:rPr>
        <w:t xml:space="preserve">Foo</w:t>
      </w:r>
      <w:r>
        <w:t xml:space="preserve">」でinfraorderが「</w:t>
      </w:r>
      <w:r>
        <w:rPr>
          <w:rStyle w:val="VerbatimChar"/>
        </w:rPr>
        <w:t xml:space="preserve">Bar</w:t>
      </w:r>
      <w:r>
        <w:t xml:space="preserve">」、その中間のsuborderが空欄の場合、suborderは「</w:t>
      </w:r>
      <w:r>
        <w:rPr>
          <w:rStyle w:val="VerbatimChar"/>
        </w:rPr>
        <w:t xml:space="preserve">Bar</w:t>
      </w:r>
      <w:r>
        <w:t xml:space="preserve">」になり、parvorder以下の分類階層が全て空欄ならそれらは「</w:t>
      </w:r>
      <w:r>
        <w:rPr>
          <w:rStyle w:val="VerbatimChar"/>
        </w:rPr>
        <w:t xml:space="preserve">unidentified Bar</w:t>
      </w:r>
      <w:r>
        <w:t xml:space="preserve">」となります。</w:t>
      </w:r>
    </w:p>
    <w:p>
      <w:pPr>
        <w:pStyle w:val="Heading2"/>
      </w:pPr>
      <w:bookmarkStart w:id="64" w:name="otu組成表の作成"/>
      <w:r>
        <w:t xml:space="preserve">OTU組成表の作成</w:t>
      </w:r>
      <w:bookmarkEnd w:id="64"/>
    </w:p>
    <w:p>
      <w:pPr>
        <w:pStyle w:val="FirstParagraph"/>
      </w:pPr>
      <w:r>
        <w:t xml:space="preserve">ここで言うOTU組成表とは、各サンプルにおける各OTUのリード数の表のことを指します。</w:t>
      </w:r>
      <w:r>
        <w:t xml:space="preserve"> </w:t>
      </w:r>
      <w:r>
        <w:t xml:space="preserve">以下のような形式で表せるものです。</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この表を元データとして、統計的な解析を行うことになります。</w:t>
      </w:r>
      <w:r>
        <w:t xml:space="preserve"> </w:t>
      </w:r>
      <w:r>
        <w:t xml:space="preserve">ここでは、実際に統計的な解析に入る前に必要な前処理について説明します。</w:t>
      </w:r>
    </w:p>
    <w:p>
      <w:pPr>
        <w:pStyle w:val="BodyText"/>
      </w:pPr>
      <w:r>
        <w:t xml:space="preserve">その前に、以下のコマンドで作業ディレクトリにOTU組成表の出力ディレクトリを作成しておきます。</w:t>
      </w:r>
    </w:p>
    <w:p>
      <w:pPr>
        <w:pStyle w:val="SourceCode"/>
      </w:pPr>
      <w:r>
        <w:rPr>
          <w:rStyle w:val="NormalTok"/>
        </w:rPr>
        <w:t xml:space="preserve">mkdir 12_community</w:t>
      </w:r>
    </w:p>
    <w:p>
      <w:pPr>
        <w:pStyle w:val="FirstParagraph"/>
      </w:pPr>
      <w:r>
        <w:t xml:space="preserve">また、加工の出発点となるOTU組成表は実は既に「</w:t>
      </w:r>
      <w:r>
        <w:rPr>
          <w:rStyle w:val="VerbatimChar"/>
        </w:rPr>
        <w:t xml:space="preserve">10_decontaminated/decontaminated.tsv</w:t>
      </w:r>
      <w:r>
        <w:t xml:space="preserve">」として存在しているため、以下のコマンドでこれを先程作成したディレクトリにコピーしておきます。</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5" w:name="clfiltersumによるotu組成表の加工"/>
      <w:r>
        <w:t xml:space="preserve">clfiltersumによるOTU組成表の加工</w:t>
      </w:r>
      <w:bookmarkEnd w:id="65"/>
    </w:p>
    <w:p>
      <w:pPr>
        <w:pStyle w:val="FirstParagraph"/>
      </w:pPr>
      <w:r>
        <w:t xml:space="preserve">以下のコマンドで、内部標準OTUのみの表を作成することができます(他のOTUは除外される)。</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コマンドラインオプションの意味は以下の通りです。</w:t>
      </w:r>
    </w:p>
    <w:p>
      <w:pPr>
        <w:pStyle w:val="DefinitionTerm"/>
      </w:pPr>
      <w:r>
        <w:rPr>
          <w:rStyle w:val="VerbatimChar"/>
        </w:rPr>
        <w:t xml:space="preserve">--otuseq</w:t>
      </w:r>
    </w:p>
    <w:p>
      <w:pPr>
        <w:pStyle w:val="Definition"/>
      </w:pPr>
      <w:r>
        <w:t xml:space="preserve">指定したFASTA配列ファイルに含まれる配列名と一致するOTUのデータを取り出す</w:t>
      </w:r>
    </w:p>
    <w:p>
      <w:pPr>
        <w:pStyle w:val="FirstParagraph"/>
      </w:pPr>
      <w:r>
        <w:t xml:space="preserve">コマンドラインオプションに引き続いて、入力ファイル、出力ファイルを指定します。</w:t>
      </w:r>
    </w:p>
    <w:p>
      <w:pPr>
        <w:pStyle w:val="BodyText"/>
      </w:pPr>
      <w:r>
        <w:t xml:space="preserve">以下のコマンドを実行すると、分子同定結果に基づいて、</w:t>
      </w:r>
      <w:r>
        <w:rPr>
          <w:rStyle w:val="VerbatimChar"/>
        </w:rPr>
        <w:t xml:space="preserve">--includetaxa</w:t>
      </w:r>
      <w:r>
        <w:t xml:space="preserve">で指定した分類群(ここでは魚類)のOTUの表を作成することができます。</w:t>
      </w:r>
    </w:p>
    <w:p>
      <w:pPr>
        <w:pStyle w:val="SourceCode"/>
      </w:pPr>
      <w:r>
        <w:rPr>
          <w:rStyle w:val="NormalTok"/>
        </w:rPr>
        <w:t xml:space="preserve">clfiltersum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--includetaxa</w:t>
      </w:r>
    </w:p>
    <w:p>
      <w:pPr>
        <w:pStyle w:val="Definition"/>
      </w:pPr>
      <w:r>
        <w:t xml:space="preserve">該当する分類群名のOTUのデータを取り出す</w:t>
      </w:r>
    </w:p>
    <w:p>
      <w:pPr>
        <w:pStyle w:val="Definition"/>
      </w:pPr>
      <w:r>
        <w:t xml:space="preserve">分類群名を検索する分類階層を限定することも可能</w:t>
      </w:r>
    </w:p>
    <w:p>
      <w:pPr>
        <w:pStyle w:val="Definition"/>
      </w:pPr>
      <w:r>
        <w:t xml:space="preserve">複数指定可能</w:t>
      </w:r>
    </w:p>
    <w:p>
      <w:pPr>
        <w:pStyle w:val="FirstParagraph"/>
      </w:pPr>
      <w:r>
        <w:t xml:space="preserve">下記のように</w:t>
      </w:r>
      <w:r>
        <w:rPr>
          <w:rStyle w:val="VerbatimChar"/>
        </w:rPr>
        <w:t xml:space="preserve">--includetaxa</w:t>
      </w:r>
      <w:r>
        <w:t xml:space="preserve">を</w:t>
      </w:r>
      <w:r>
        <w:rPr>
          <w:rStyle w:val="VerbatimChar"/>
        </w:rPr>
        <w:t xml:space="preserve">--excludetaxa</w:t>
      </w:r>
      <w:r>
        <w:t xml:space="preserve">に置き換えることで、魚類以外のOTUの表を作成できます。</w:t>
      </w:r>
    </w:p>
    <w:p>
      <w:pPr>
        <w:pStyle w:val="SourceCode"/>
      </w:pPr>
      <w:r>
        <w:rPr>
          <w:rStyle w:val="NormalTok"/>
        </w:rPr>
        <w:t xml:space="preserve">clfiltersum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同じことを別のやり方でやってみます。</w:t>
      </w:r>
      <w:r>
        <w:t xml:space="preserve"> </w:t>
      </w:r>
      <w:r>
        <w:t xml:space="preserve">下記のコマンドでは、魚類のOTUの表からOTU名だけを取り出して「</w:t>
      </w:r>
      <w:r>
        <w:rPr>
          <w:rStyle w:val="VerbatimChar"/>
        </w:rPr>
        <w:t xml:space="preserve">12_community/fishotus.txt</w:t>
      </w:r>
      <w:r>
        <w:t xml:space="preserve">」に保存しています。</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rPr>
          <w:rStyle w:val="VerbatimChar"/>
        </w:rPr>
        <w:t xml:space="preserve">clfiltersum</w:t>
      </w:r>
      <w:r>
        <w:t xml:space="preserve">には、与えたテキストファイルに名前が含まれていないOTUを取り出すオプションがあるので、先程作成したファイルを使用して下記のように魚類以外のOTUの表を作成することができます。</w:t>
      </w:r>
    </w:p>
    <w:p>
      <w:pPr>
        <w:pStyle w:val="SourceCode"/>
      </w:pPr>
      <w:r>
        <w:rPr>
          <w:rStyle w:val="NormalTok"/>
        </w:rPr>
        <w:t xml:space="preserve">clfiltersum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コマンドラインオプションの意味は以下の通りです。</w:t>
      </w:r>
    </w:p>
    <w:p>
      <w:pPr>
        <w:pStyle w:val="DefinitionTerm"/>
      </w:pPr>
      <w:r>
        <w:rPr>
          <w:rStyle w:val="VerbatimChar"/>
        </w:rPr>
        <w:t xml:space="preserve">--negativeotulist</w:t>
      </w:r>
    </w:p>
    <w:p>
      <w:pPr>
        <w:pStyle w:val="Definition"/>
      </w:pPr>
      <w:r>
        <w:t xml:space="preserve">除外するOTU名のリストを記したテキストファイル</w:t>
      </w:r>
    </w:p>
    <w:p>
      <w:pPr>
        <w:pStyle w:val="Heading3"/>
      </w:pPr>
      <w:bookmarkStart w:id="66" w:name="clrarefysumによるotu組成表のカバレッジベースレアファクション"/>
      <w:r>
        <w:t xml:space="preserve">clrarefysumによるOTU組成表のカバレッジベースレアファクション</w:t>
      </w:r>
      <w:bookmarkEnd w:id="66"/>
    </w:p>
    <w:p>
      <w:pPr>
        <w:pStyle w:val="FirstParagraph"/>
      </w:pPr>
      <w:r>
        <w:t xml:space="preserve">OTU組成表があれば群集生態学解析はできますが、このままではサンプル間のカバレッジ(サンプリング調査の網羅具合)にばらつきがあるため、本来種数の少ない高カバレッジのサンプルの方が本当は種数が多い低カバレッジのサンプルよりも種数が多いと誤判定してしまいかねません。</w:t>
      </w:r>
      <w:r>
        <w:t xml:space="preserve"> </w:t>
      </w:r>
      <w:r>
        <w:t xml:space="preserve">そこで、サンプル間でカバレッジを揃えることで、このような問題を回避する処理がカバレッジベースレアファクションです</w:t>
      </w:r>
      <w:r>
        <w:t xml:space="preserve"> </w:t>
      </w:r>
      <w:r>
        <w:t xml:space="preserve">(Chao &amp; Jost 2012)</w:t>
      </w:r>
      <w:r>
        <w:t xml:space="preserve"> </w:t>
      </w:r>
      <w:r>
        <w:t xml:space="preserve">。</w:t>
      </w:r>
      <w:r>
        <w:t xml:space="preserve"> </w:t>
      </w:r>
      <w:r>
        <w:t xml:space="preserve">なお、レアファクションが「レアファクションしたOTU組成表を得る」ことを指す場合と「レアファクションカーブを得る」ことを指す場合がありますが、本章では前者を指すものとお考え下さい。</w:t>
      </w:r>
    </w:p>
    <w:p>
      <w:pPr>
        <w:pStyle w:val="BodyText"/>
      </w:pPr>
      <w:r>
        <w:t xml:space="preserve">カバレッジベースレアファクションを行う手法としては、「そのサンプルで一度しか観測されていないOTU (シングルトン)の数」と「そのサンプルで二度しか観測されていないOTU (ダブルトン)の数」に基づいてカバレッジを推定して行う方法があります</w:t>
      </w:r>
      <w:r>
        <w:t xml:space="preserve"> </w:t>
      </w:r>
      <w:r>
        <w:t xml:space="preserve">(Chao &amp; Jost 2012)</w:t>
      </w:r>
      <w:r>
        <w:t xml:space="preserve"> </w:t>
      </w:r>
      <w:r>
        <w:t xml:space="preserve">。</w:t>
      </w:r>
      <w:r>
        <w:t xml:space="preserve"> </w:t>
      </w:r>
      <w:r>
        <w:t xml:space="preserve">しかし、メタバーコードデータではシーケンスエラーが大量に存在するために、これらの数が十分信用できるものとは考えられていません</w:t>
      </w:r>
      <w:r>
        <w:t xml:space="preserve"> </w:t>
      </w:r>
      <w:r>
        <w:t xml:space="preserve">(Chiu &amp; Chao 2016)</w:t>
      </w:r>
      <w:r>
        <w:t xml:space="preserve"> </w:t>
      </w:r>
      <w:r>
        <w:t xml:space="preserve">。</w:t>
      </w:r>
      <w:r>
        <w:t xml:space="preserve"> </w:t>
      </w:r>
      <w:r>
        <w:t xml:space="preserve">デノイジングしたデータなら問題ないのではとも思えるかもしれませんが、その証拠も十分でないのが現状です。</w:t>
      </w:r>
      <w:r>
        <w:t xml:space="preserve"> </w:t>
      </w:r>
      <w:r>
        <w:t xml:space="preserve">Chiu &amp; Chao (2016)</w:t>
      </w:r>
      <w:r>
        <w:t xml:space="preserve"> </w:t>
      </w:r>
      <w:r>
        <w:t xml:space="preserve">はそのようなシーケンスエラーのあるデータでもシングルトン数を修正する方法を提案しており、metagMiscというRパッケージの</w:t>
      </w:r>
      <w:r>
        <w:rPr>
          <w:rStyle w:val="VerbatimChar"/>
        </w:rPr>
        <w:t xml:space="preserve">phyloseq_coverage_raref()</w:t>
      </w:r>
      <w:r>
        <w:t xml:space="preserve">関数で</w:t>
      </w:r>
      <w:r>
        <w:rPr>
          <w:rStyle w:val="VerbatimChar"/>
        </w:rPr>
        <w:t xml:space="preserve">correct_singletons</w:t>
      </w:r>
      <w:r>
        <w:t xml:space="preserve">を有効にしてレアファクションすることで、この方法が適用できます。</w:t>
      </w:r>
    </w:p>
    <w:p>
      <w:pPr>
        <w:pStyle w:val="BodyText"/>
      </w:pPr>
      <w:r>
        <w:t xml:space="preserve">ただし、</w:t>
      </w:r>
      <w:r>
        <w:t xml:space="preserve"> </w:t>
      </w:r>
      <w:r>
        <w:t xml:space="preserve">Chiu &amp; Chao (2016)</w:t>
      </w:r>
      <w:r>
        <w:t xml:space="preserve"> </w:t>
      </w:r>
      <w:r>
        <w:t xml:space="preserve">の方法は未デノイジングデータを前提とした方法です。</w:t>
      </w:r>
      <w:r>
        <w:t xml:space="preserve"> </w:t>
      </w:r>
      <w:r>
        <w:t xml:space="preserve">デノイジングを適用すると、シングルトンを含むリード数の少ないASVは、捨てられたり近隣のリード数がより大きいASVのシーケンスエラー由来とみなされ、未デノイジングデータから激減します。</w:t>
      </w:r>
      <w:r>
        <w:t xml:space="preserve"> </w:t>
      </w:r>
      <w:r>
        <w:t xml:space="preserve">このため、</w:t>
      </w:r>
      <w:r>
        <w:t xml:space="preserve"> </w:t>
      </w:r>
      <w:r>
        <w:t xml:space="preserve">Chiu &amp; Chao (2016)</w:t>
      </w:r>
      <w:r>
        <w:t xml:space="preserve"> </w:t>
      </w:r>
      <w:r>
        <w:t xml:space="preserve">の方法はそのまま適用することは問題があると考えられます。</w:t>
      </w:r>
    </w:p>
    <w:p>
      <w:pPr>
        <w:pStyle w:val="BodyText"/>
      </w:pPr>
      <w:r>
        <w:t xml:space="preserve">ここで、</w:t>
      </w:r>
      <w:r>
        <w:t xml:space="preserve"> </w:t>
      </w:r>
      <m:oMath>
        <m:r>
          <m:t>(</m:t>
        </m:r>
        <m:r>
          <m:t>1</m:t>
        </m:r>
        <m:r>
          <m:t>−</m:t>
        </m:r>
        <m:r>
          <m:t>レ</m:t>
        </m:r>
        <m:r>
          <m:t>ア</m:t>
        </m:r>
        <m:r>
          <m:t>フ</m:t>
        </m:r>
        <m:r>
          <m:t>ァ</m:t>
        </m:r>
        <m:r>
          <m:t>ク</m:t>
        </m:r>
        <m:r>
          <m:t>シ</m:t>
        </m:r>
        <m:r>
          <m:t>ョ</m:t>
        </m:r>
        <m:r>
          <m:t>ン</m:t>
        </m:r>
        <m:r>
          <m:t>カ</m:t>
        </m:r>
        <m:r>
          <m:t>ー</m:t>
        </m:r>
        <m:r>
          <m:t>ブ</m:t>
        </m:r>
        <m:r>
          <m:t>の</m:t>
        </m:r>
        <m:r>
          <m:t>傾</m:t>
        </m:r>
        <m:r>
          <m:t>き</m:t>
        </m:r>
        <m:r>
          <m:t>)</m:t>
        </m:r>
      </m:oMath>
      <w:r>
        <w:t xml:space="preserve"> </w:t>
      </w:r>
      <w:r>
        <w:t xml:space="preserve">はカバレッジそのものと捉えることができます</w:t>
      </w:r>
      <w:r>
        <w:t xml:space="preserve"> </w:t>
      </w:r>
      <w:r>
        <w:t xml:space="preserve">(Chao &amp; Jost 2012)</w:t>
      </w:r>
      <w:r>
        <w:t xml:space="preserve"> </w:t>
      </w:r>
      <w:r>
        <w:t xml:space="preserve">。</w:t>
      </w:r>
      <w:r>
        <w:t xml:space="preserve"> </w:t>
      </w:r>
      <w:r>
        <w:t xml:space="preserve">これに基づいて、Claidentではレアファクションカーブの端点の傾きをサンプル間で揃えるレアファクションをサポートしています。</w:t>
      </w:r>
      <w:r>
        <w:t xml:space="preserve"> </w:t>
      </w:r>
      <w:r>
        <w:t xml:space="preserve">シングルトン数の影響が薄くなるレアファクションカーブの傾きを使用しているため、シングルトン数とダブルトン数からカバレッジを推定する方法よりもシーケンスエラーに対して頑健であると期待できます。</w:t>
      </w:r>
      <w:r>
        <w:t xml:space="preserve"> </w:t>
      </w:r>
      <w:r>
        <w:t xml:space="preserve">ただし計算量は多くなるため、並列化と黄金分割探索法を用いた最適化を行っています。</w:t>
      </w:r>
    </w:p>
    <w:p>
      <w:pPr>
        <w:pStyle w:val="BodyText"/>
      </w:pPr>
      <w:r>
        <w:t xml:space="preserve">以下のコマンドは、リード数1000未満のサンプルを除去し、残ったサンプルでそれぞれカバレッジを計算し、カバレッジが最も低いサンプルと同じカバレッジに揃うように全サンプルでレアファクションを行います。</w:t>
      </w:r>
      <w:r>
        <w:t xml:space="preserve"> </w:t>
      </w:r>
      <w:r>
        <w:t xml:space="preserve">ただし、カバレッジが最も低いサンプルのカバレッジが0.99未満だった場合は0.99に揃え、カバレッジが0.99未満のサンプルは除去します。</w:t>
      </w:r>
      <w:r>
        <w:t xml:space="preserve"> </w:t>
      </w:r>
      <w:r>
        <w:t xml:space="preserve">レアファクションの際には無作為にリードを捨てることになるため、反復すれば結果が変動する可能性があります。</w:t>
      </w:r>
      <w:r>
        <w:t xml:space="preserve"> </w:t>
      </w:r>
      <w:r>
        <w:t xml:space="preserve">そこで、レアファクションを10反復行い、それぞれ結果を保存します。</w:t>
      </w:r>
    </w:p>
    <w:p>
      <w:pPr>
        <w:pStyle w:val="SourceCode"/>
      </w:pPr>
      <w:r>
        <w:rPr>
          <w:rStyle w:val="NormalTok"/>
        </w:rPr>
        <w:t xml:space="preserve">clrarefysum \</w:t>
      </w:r>
      <w:r>
        <w:br/>
      </w:r>
      <w:r>
        <w:rPr>
          <w:rStyle w:val="NormalTok"/>
        </w:rPr>
        <w:t xml:space="preserve">--minpcov=0.99 \</w:t>
      </w:r>
      <w:r>
        <w:br/>
      </w:r>
      <w:r>
        <w:rPr>
          <w:rStyle w:val="NormalTok"/>
        </w:rPr>
        <w:t xml:space="preserve">--minntotalseqsample=1000 \</w:t>
      </w:r>
      <w:r>
        <w:br/>
      </w:r>
      <w:r>
        <w:rPr>
          <w:rStyle w:val="NormalTok"/>
        </w:rPr>
        <w:t xml:space="preserve">--nreplicate=10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コマンドラインオプションの意味は以下の通りです。</w:t>
      </w:r>
    </w:p>
    <w:p>
      <w:pPr>
        <w:pStyle w:val="DefinitionTerm"/>
      </w:pPr>
      <w:r>
        <w:rPr>
          <w:rStyle w:val="VerbatimChar"/>
        </w:rPr>
        <w:t xml:space="preserve">--minpcov</w:t>
      </w:r>
    </w:p>
    <w:p>
      <w:pPr>
        <w:pStyle w:val="Definition"/>
      </w:pPr>
      <w:r>
        <w:t xml:space="preserve">揃えるカバレッジの下限(下回るサンプルは捨てる)</w:t>
      </w:r>
    </w:p>
    <w:p>
      <w:pPr>
        <w:pStyle w:val="DefinitionTerm"/>
      </w:pPr>
      <w:r>
        <w:rPr>
          <w:rStyle w:val="VerbatimChar"/>
        </w:rPr>
        <w:t xml:space="preserve">--minntotalseqsample</w:t>
      </w:r>
    </w:p>
    <w:p>
      <w:pPr>
        <w:pStyle w:val="Definition"/>
      </w:pPr>
      <w:r>
        <w:t xml:space="preserve">レアファクション前のリード数下限(下回るサンプルは捨てる)</w:t>
      </w:r>
    </w:p>
    <w:p>
      <w:pPr>
        <w:pStyle w:val="DefinitionTerm"/>
      </w:pPr>
      <w:r>
        <w:rPr>
          <w:rStyle w:val="VerbatimChar"/>
        </w:rPr>
        <w:t xml:space="preserve">--nreplicate</w:t>
      </w:r>
    </w:p>
    <w:p>
      <w:pPr>
        <w:pStyle w:val="Definition"/>
      </w:pPr>
      <w:r>
        <w:t xml:space="preserve">レアファクションの反復数</w:t>
      </w:r>
    </w:p>
    <w:p>
      <w:pPr>
        <w:pStyle w:val="FirstParagraph"/>
      </w:pPr>
      <w:r>
        <w:t xml:space="preserve">コマンドラインオプションに引き続いて、入力ファイル、出力ファイルの接頭辞を指定します。</w:t>
      </w:r>
    </w:p>
    <w:p>
      <w:pPr>
        <w:pStyle w:val="BodyText"/>
      </w:pPr>
      <w:r>
        <w:t xml:space="preserve">実行後に生成される出力ファイルは以下の通りです。</w:t>
      </w:r>
    </w:p>
    <w:p>
      <w:pPr>
        <w:pStyle w:val="DefinitionTerm"/>
      </w:pPr>
      <w:r>
        <w:rPr>
          <w:rStyle w:val="VerbatimChar"/>
        </w:rPr>
        <w:t xml:space="preserve">出力ファイルの接頭辞-r数字.tsv</w:t>
      </w:r>
    </w:p>
    <w:p>
      <w:pPr>
        <w:pStyle w:val="Definition"/>
      </w:pPr>
      <w:r>
        <w:t xml:space="preserve">レアファクションされたOTU組成表のタブ区切りテキスト</w:t>
      </w:r>
    </w:p>
    <w:p>
      <w:pPr>
        <w:pStyle w:val="DefinitionTerm"/>
      </w:pPr>
      <w:r>
        <w:rPr>
          <w:rStyle w:val="VerbatimChar"/>
        </w:rPr>
        <w:t xml:space="preserve">出力ファイルの接頭辞_inputpcov.tsv</w:t>
      </w:r>
    </w:p>
    <w:p>
      <w:pPr>
        <w:pStyle w:val="Definition"/>
      </w:pPr>
      <w:r>
        <w:t xml:space="preserve">入力された各サンプルのカバレッジ推定値のタブ区切りテキスト</w:t>
      </w:r>
    </w:p>
    <w:p>
      <w:pPr>
        <w:pStyle w:val="DefinitionTerm"/>
      </w:pPr>
      <w:r>
        <w:rPr>
          <w:rStyle w:val="VerbatimChar"/>
        </w:rPr>
        <w:t xml:space="preserve">出力ファイルの接頭辞_outputpcov.tsv</w:t>
      </w:r>
    </w:p>
    <w:p>
      <w:pPr>
        <w:pStyle w:val="Definition"/>
      </w:pPr>
      <w:r>
        <w:t xml:space="preserve">出力された各サンプルのカバレッジ値のタブ区切りテキスト</w:t>
      </w:r>
    </w:p>
    <w:p>
      <w:pPr>
        <w:pStyle w:val="DefinitionTerm"/>
      </w:pPr>
      <w:r>
        <w:rPr>
          <w:rStyle w:val="VerbatimChar"/>
        </w:rPr>
        <w:t xml:space="preserve">出力ファイルの接頭辞_outputnseq.tsv</w:t>
      </w:r>
    </w:p>
    <w:p>
      <w:pPr>
        <w:pStyle w:val="Definition"/>
      </w:pPr>
      <w:r>
        <w:t xml:space="preserve">出力された各サンプルの合計リード数のタブ区切りテキスト</w:t>
      </w:r>
    </w:p>
    <w:p>
      <w:pPr>
        <w:pStyle w:val="FirstParagraph"/>
      </w:pPr>
      <w:r>
        <w:t xml:space="preserve">レアファクションが終わったら、以下のコマンドにより10反復全てで内部標準OTUのみを取り出します。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12_community/sample_otu_matrix_all_rarefied-r$n.tsv \</w:t>
      </w:r>
      <w:r>
        <w:br/>
      </w:r>
      <w:r>
        <w:rPr>
          <w:rStyle w:val="NormalTok"/>
        </w:rPr>
        <w:t xml:space="preserve">12_community/sample_otu_matrix_standard_rarefied-r$n.tsv</w:t>
      </w:r>
      <w:r>
        <w:br/>
      </w:r>
      <w:r>
        <w:rPr>
          <w:rStyle w:val="NormalTok"/>
        </w:rPr>
        <w:t xml:space="preserve">done</w:t>
      </w:r>
    </w:p>
    <w:p>
      <w:pPr>
        <w:pStyle w:val="FirstParagraph"/>
      </w:pPr>
      <w:r>
        <w:t xml:space="preserve">以下のコマンドでは魚類OTUのみを取り出します。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12_community/sample_otu_matrix_all_rarefied-r$n.tsv \</w:t>
      </w:r>
      <w:r>
        <w:br/>
      </w:r>
      <w:r>
        <w:rPr>
          <w:rStyle w:val="NormalTok"/>
        </w:rPr>
        <w:t xml:space="preserve">12_community/sample_otu_matrix_fishes_rarefied-r$n.tsv</w:t>
      </w:r>
      <w:r>
        <w:br/>
      </w:r>
      <w:r>
        <w:rPr>
          <w:rStyle w:val="NormalTok"/>
        </w:rPr>
        <w:t xml:space="preserve">done</w:t>
      </w:r>
    </w:p>
    <w:p>
      <w:pPr>
        <w:pStyle w:val="FirstParagraph"/>
      </w:pPr>
      <w:r>
        <w:t xml:space="preserve">以下のコマンドでは魚類以外のOTUを取り出します。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12_community/sample_otu_matrix_all_rarefied-r$n.tsv \</w:t>
      </w:r>
      <w:r>
        <w:br/>
      </w:r>
      <w:r>
        <w:rPr>
          <w:rStyle w:val="NormalTok"/>
        </w:rPr>
        <w:t xml:space="preserve">12_community/sample_otu_matrix_nonfishes_rarefied-r$n.tsv</w:t>
      </w:r>
      <w:r>
        <w:br/>
      </w:r>
      <w:r>
        <w:rPr>
          <w:rStyle w:val="NormalTok"/>
        </w:rPr>
        <w:t xml:space="preserve">done</w:t>
      </w:r>
    </w:p>
    <w:p>
      <w:pPr>
        <w:pStyle w:val="FirstParagraph"/>
      </w:pPr>
      <w:r>
        <w:t xml:space="preserve">上記の例では全分類群のOTU組成表を用いてカバレッジベースレアファクションを行い、レアファクション後に魚類OTUと魚類以外のOTUに分けていますが、最初から魚類以外に興味がない場合や、事前知識により魚類以外はコンタミネーションの可能性が高いと思われる場合、魚類のみのOTU組成表を用いてカバレッジベースレアファクションを行う方が良いかもしれません。</w:t>
      </w:r>
    </w:p>
    <w:p>
      <w:pPr>
        <w:pStyle w:val="BodyText"/>
      </w:pPr>
      <w:r>
        <w:t xml:space="preserve">metagMiscにしろClaidentにしろ、これらのカバレッジベースレアファクションで行えるのはあくまで「群集に対するシーケンシングカバレッジの均一化」に過ぎないことは注意が必要です。</w:t>
      </w:r>
      <w:r>
        <w:t xml:space="preserve"> </w:t>
      </w:r>
      <w:r>
        <w:t xml:space="preserve">「採水した水の、群集に対するカバレッジの均一化」や「濾過フィルター上に捕集したDNAの、群集に対するカバレッジの均一化」や「PCRに投入するDNA溶液の、群集に対するカバレッジの均一化」はなされていません。</w:t>
      </w:r>
      <w:r>
        <w:t xml:space="preserve"> </w:t>
      </w:r>
      <w:r>
        <w:t xml:space="preserve">メタバーコーディングではサンプリング、つまり「一部を取り出す」ステップが多数存在するため、均一性が問題になるのはシーケンシングカバレッジだけではありません。</w:t>
      </w:r>
      <w:r>
        <w:t xml:space="preserve"> </w:t>
      </w:r>
      <w:r>
        <w:t xml:space="preserve">しかし、それらは全て飽和している(カバレッジがほぼ1.0)という仮定のもとでこの先の解析は行われます。</w:t>
      </w:r>
      <w:r>
        <w:t xml:space="preserve"> </w:t>
      </w:r>
      <w:r>
        <w:t xml:space="preserve">もし何か異常な結果が得られた際には、この仮定が満たされていない可能性について検討すべきかもしれません。</w:t>
      </w:r>
    </w:p>
    <w:p>
      <w:pPr>
        <w:pStyle w:val="Heading3"/>
      </w:pPr>
      <w:bookmarkStart w:id="67" w:name="clestimateconcと内部標準dnaリード数を用いたdna濃度の推定"/>
      <w:r>
        <w:t xml:space="preserve">clestimateconcと内部標準DNAリード数を用いたDNA濃度の推定</w:t>
      </w:r>
      <w:bookmarkEnd w:id="67"/>
    </w:p>
    <w:p>
      <w:pPr>
        <w:pStyle w:val="FirstParagraph"/>
      </w:pPr>
      <w:r>
        <w:t xml:space="preserve">以下のコマンドでは、予め濃度がわかっている内部標準DNAリード数に基づいて他のOTUの環境水サンプル中のDNA濃度を推定します。</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12_community/sample_otu_matrix_fishes_concentration.tsv</w:t>
      </w:r>
    </w:p>
    <w:p>
      <w:pPr>
        <w:pStyle w:val="FirstParagraph"/>
      </w:pPr>
      <w:r>
        <w:t xml:space="preserve">コマンドラインオプションの意味は以下の通りです。</w:t>
      </w:r>
    </w:p>
    <w:p>
      <w:pPr>
        <w:pStyle w:val="DefinitionTerm"/>
      </w:pPr>
      <w:r>
        <w:rPr>
          <w:rStyle w:val="VerbatimChar"/>
        </w:rPr>
        <w:t xml:space="preserve">--stdtable</w:t>
      </w:r>
    </w:p>
    <w:p>
      <w:pPr>
        <w:pStyle w:val="Definition"/>
      </w:pPr>
      <w:r>
        <w:t xml:space="preserve">内部標準OTUリード数表のタブ区切りテキスト(入力ファイルに内部標準OTUリード数が含まれている場合は不要)</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コマンドラインオプションに引き続いて、入力ファイル、出力ファイルを指定します。</w:t>
      </w:r>
    </w:p>
    <w:p>
      <w:pPr>
        <w:pStyle w:val="BodyText"/>
      </w:pPr>
      <w:r>
        <w:t xml:space="preserve">10反復のレアファクションを行ったデータでもそれぞれDNA濃度を推定するには、以下のコマンドを実行します。</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--stdtable=12_community/sample_otu_matrix_standard_rarefied-r$n.tsv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12_community/sample_otu_matrix_fishes_rarefied-r$n.tsv \</w:t>
      </w:r>
      <w:r>
        <w:br/>
      </w:r>
      <w:r>
        <w:rPr>
          <w:rStyle w:val="NormalTok"/>
        </w:rPr>
        <w:t xml:space="preserve">12_community/sample_otu_matrix_fishes_rarefied-r$n_concentration.tsv</w:t>
      </w:r>
      <w:r>
        <w:br/>
      </w:r>
      <w:r>
        <w:rPr>
          <w:rStyle w:val="NormalTok"/>
        </w:rPr>
        <w:t xml:space="preserve">done</w:t>
      </w:r>
    </w:p>
    <w:p>
      <w:pPr>
        <w:pStyle w:val="FirstParagraph"/>
      </w:pPr>
      <w:r>
        <w:t xml:space="preserve">カバレッジの揃っていないデータでは、推定されるDNA濃度の信頼性がサンプル間でばらつきます。</w:t>
      </w:r>
      <w:r>
        <w:t xml:space="preserve"> </w:t>
      </w:r>
      <w:r>
        <w:t xml:space="preserve">DNA濃度情報しかないデータからは値の信頼性のばらつきを考慮した解析を行うことはできないので、DNA濃度を利用した分析の際にはレアファクションしてから推定したDNA濃度データを使用する方が良いことが多いのではないでしょうか。</w:t>
      </w:r>
      <w:r>
        <w:t xml:space="preserve"> </w:t>
      </w:r>
      <w:r>
        <w:t xml:space="preserve">ただ、分析方法によってはレアファクション前の元データから推定したDNA濃度データの方が適している場合もあるかもしれません。</w:t>
      </w:r>
    </w:p>
    <w:p>
      <w:pPr>
        <w:pStyle w:val="Heading3"/>
      </w:pPr>
      <w:bookmarkStart w:id="68" w:name="otu組成表からの種組成表の作成"/>
      <w:r>
        <w:t xml:space="preserve">OTU組成表からの種組成表の作成</w:t>
      </w:r>
      <w:bookmarkEnd w:id="68"/>
    </w:p>
    <w:p>
      <w:pPr>
        <w:pStyle w:val="FirstParagraph"/>
      </w:pPr>
      <w:r>
        <w:t xml:space="preserve">OTU組成表は群集生態学解析には適していますが、作図などの際には種組成表や属組成表の方がわかりやすいことがあるでしょう。</w:t>
      </w:r>
      <w:r>
        <w:t xml:space="preserve"> </w:t>
      </w:r>
      <w:r>
        <w:t xml:space="preserve">そのような場合、OTU組成表と分子同定結果から、種組成表や属組成表を作成することができます。</w:t>
      </w:r>
      <w:r>
        <w:t xml:space="preserve"> </w:t>
      </w:r>
      <w:r>
        <w:t xml:space="preserve">以下のコマンドでは、魚類のOTU組成表から種組成表を作成しています。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12_community/sample_otu_matrix_fishes.tsv \</w:t>
      </w:r>
      <w:r>
        <w:br/>
      </w:r>
      <w:r>
        <w:rPr>
          <w:rStyle w:val="NormalTok"/>
        </w:rPr>
        <w:t xml:space="preserve">12_community/sample_species_matrix_fishes.tsv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--targetrank</w:t>
      </w:r>
    </w:p>
    <w:p>
      <w:pPr>
        <w:pStyle w:val="Definition"/>
      </w:pPr>
      <w:r>
        <w:t xml:space="preserve">指定した分類階層の情報を使用する</w:t>
      </w:r>
    </w:p>
    <w:p>
      <w:pPr>
        <w:pStyle w:val="DefinitionTerm"/>
      </w:pPr>
      <w:r>
        <w:rPr>
          <w:rStyle w:val="VerbatimChar"/>
        </w:rPr>
        <w:t xml:space="preserve">--taxnamereplace</w:t>
      </w:r>
    </w:p>
    <w:p>
      <w:pPr>
        <w:pStyle w:val="Definition"/>
      </w:pPr>
      <w:r>
        <w:t xml:space="preserve">出力OTU名内で使用されているスペースやコロンをアンダーバーに置換(ENABLE | DISABLEから選択)</w:t>
      </w:r>
    </w:p>
    <w:p>
      <w:pPr>
        <w:pStyle w:val="DefinitionTerm"/>
      </w:pPr>
      <w:r>
        <w:rPr>
          <w:rStyle w:val="VerbatimChar"/>
        </w:rPr>
        <w:t xml:space="preserve">--fuseotu</w:t>
      </w:r>
    </w:p>
    <w:p>
      <w:pPr>
        <w:pStyle w:val="Definition"/>
      </w:pPr>
      <w:r>
        <w:t xml:space="preserve">分類群名が同じOTUをまとめるか否か(ENABLE | DISABLEから選択)</w:t>
      </w:r>
    </w:p>
    <w:p>
      <w:pPr>
        <w:pStyle w:val="Definition"/>
      </w:pPr>
      <w:r>
        <w:t xml:space="preserve">まとめない場合は出力OTU名を「</w:t>
      </w:r>
      <w:r>
        <w:rPr>
          <w:rStyle w:val="VerbatimChar"/>
        </w:rPr>
        <w:t xml:space="preserve">入力OTU名:分類群名</w:t>
      </w:r>
      <w:r>
        <w:t xml:space="preserve">」とし、組成の内容は維持する</w:t>
      </w:r>
    </w:p>
    <w:p>
      <w:pPr>
        <w:pStyle w:val="Definition"/>
      </w:pPr>
      <w:r>
        <w:t xml:space="preserve">ただし</w:t>
      </w:r>
      <w:r>
        <w:rPr>
          <w:rStyle w:val="VerbatimChar"/>
        </w:rPr>
        <w:t xml:space="preserve">--taxnamereplace</w:t>
      </w:r>
      <w:r>
        <w:t xml:space="preserve">が有効の場合は出力OTU名は「</w:t>
      </w:r>
      <w:r>
        <w:rPr>
          <w:rStyle w:val="VerbatimChar"/>
        </w:rPr>
        <w:t xml:space="preserve">入力OTU名_分類群名</w:t>
      </w:r>
      <w:r>
        <w:t xml:space="preserve">」となる</w:t>
      </w:r>
    </w:p>
    <w:p>
      <w:pPr>
        <w:pStyle w:val="DefinitionTerm"/>
      </w:pPr>
      <w:r>
        <w:rPr>
          <w:rStyle w:val="VerbatimChar"/>
        </w:rPr>
        <w:t xml:space="preserve">--numbering</w:t>
      </w:r>
    </w:p>
    <w:p>
      <w:pPr>
        <w:pStyle w:val="Definition"/>
      </w:pPr>
      <w:r>
        <w:t xml:space="preserve">出力OTU名にソート順で番号を接頭辞として付加するか否か(ENABLE | DISABLEから選択)</w:t>
      </w:r>
    </w:p>
    <w:p>
      <w:pPr>
        <w:pStyle w:val="Definition"/>
      </w:pPr>
      <w:r>
        <w:t xml:space="preserve">出力OTUが100ある場合は</w:t>
      </w:r>
      <w:r>
        <w:rPr>
          <w:rStyle w:val="VerbatimChar"/>
        </w:rPr>
        <w:t xml:space="preserve">001</w:t>
      </w:r>
      <w:r>
        <w:t xml:space="preserve">～</w:t>
      </w:r>
      <w:r>
        <w:rPr>
          <w:rStyle w:val="VerbatimChar"/>
        </w:rPr>
        <w:t xml:space="preserve">100</w:t>
      </w:r>
      <w:r>
        <w:t xml:space="preserve">という風に幅を揃えた番号をコロン「</w:t>
      </w:r>
      <w:r>
        <w:rPr>
          <w:rStyle w:val="VerbatimChar"/>
        </w:rPr>
        <w:t xml:space="preserve">:</w:t>
      </w:r>
      <w:r>
        <w:t xml:space="preserve">」で区切って付加する</w:t>
      </w:r>
    </w:p>
    <w:p>
      <w:pPr>
        <w:pStyle w:val="Definition"/>
      </w:pPr>
      <w:r>
        <w:rPr>
          <w:rStyle w:val="VerbatimChar"/>
        </w:rPr>
        <w:t xml:space="preserve">--taxnamereplace</w:t>
      </w:r>
      <w:r>
        <w:t xml:space="preserve">が有効の場合はコロンではなくアンダーバー「</w:t>
      </w:r>
      <w:r>
        <w:rPr>
          <w:rStyle w:val="VerbatimChar"/>
        </w:rPr>
        <w:t xml:space="preserve">_</w:t>
      </w:r>
      <w:r>
        <w:t xml:space="preserve">」で区切って付加する</w:t>
      </w:r>
    </w:p>
    <w:p>
      <w:pPr>
        <w:pStyle w:val="Definition"/>
      </w:pPr>
      <w:r>
        <w:rPr>
          <w:rStyle w:val="VerbatimChar"/>
        </w:rPr>
        <w:t xml:space="preserve">--fuseotu</w:t>
      </w:r>
      <w:r>
        <w:t xml:space="preserve">と</w:t>
      </w:r>
      <w:r>
        <w:rPr>
          <w:rStyle w:val="VerbatimChar"/>
        </w:rPr>
        <w:t xml:space="preserve">--taxnamereplace</w:t>
      </w:r>
      <w:r>
        <w:t xml:space="preserve">が有効の場合は「</w:t>
      </w:r>
      <w:r>
        <w:rPr>
          <w:rStyle w:val="VerbatimChar"/>
        </w:rPr>
        <w:t xml:space="preserve">番号_分類群名</w:t>
      </w:r>
      <w:r>
        <w:t xml:space="preserve">」となる</w:t>
      </w:r>
    </w:p>
    <w:p>
      <w:pPr>
        <w:pStyle w:val="Definition"/>
      </w:pPr>
      <w:r>
        <w:rPr>
          <w:rStyle w:val="VerbatimChar"/>
        </w:rPr>
        <w:t xml:space="preserve">--fuseotu</w:t>
      </w:r>
      <w:r>
        <w:t xml:space="preserve">が有効、</w:t>
      </w:r>
      <w:r>
        <w:rPr>
          <w:rStyle w:val="VerbatimChar"/>
        </w:rPr>
        <w:t xml:space="preserve">--taxnamereplace</w:t>
      </w:r>
      <w:r>
        <w:t xml:space="preserve">が無効の場合は「</w:t>
      </w:r>
      <w:r>
        <w:rPr>
          <w:rStyle w:val="VerbatimChar"/>
        </w:rPr>
        <w:t xml:space="preserve">番号:分類群名</w:t>
      </w:r>
      <w:r>
        <w:t xml:space="preserve">」となる</w:t>
      </w:r>
    </w:p>
    <w:p>
      <w:pPr>
        <w:pStyle w:val="Definition"/>
      </w:pPr>
      <w:r>
        <w:rPr>
          <w:rStyle w:val="VerbatimChar"/>
        </w:rPr>
        <w:t xml:space="preserve">--fuseotu</w:t>
      </w:r>
      <w:r>
        <w:t xml:space="preserve">が無効、</w:t>
      </w:r>
      <w:r>
        <w:rPr>
          <w:rStyle w:val="VerbatimChar"/>
        </w:rPr>
        <w:t xml:space="preserve">--taxnamereplace</w:t>
      </w:r>
      <w:r>
        <w:t xml:space="preserve">が有効の場合は「</w:t>
      </w:r>
      <w:r>
        <w:rPr>
          <w:rStyle w:val="VerbatimChar"/>
        </w:rPr>
        <w:t xml:space="preserve">番号_入力OTU名_分類群名</w:t>
      </w:r>
      <w:r>
        <w:t xml:space="preserve">」となる</w:t>
      </w:r>
    </w:p>
    <w:p>
      <w:pPr>
        <w:pStyle w:val="Definition"/>
      </w:pPr>
      <w:r>
        <w:rPr>
          <w:rStyle w:val="VerbatimChar"/>
        </w:rPr>
        <w:t xml:space="preserve">--fuseotu</w:t>
      </w:r>
      <w:r>
        <w:t xml:space="preserve">と</w:t>
      </w:r>
      <w:r>
        <w:rPr>
          <w:rStyle w:val="VerbatimChar"/>
        </w:rPr>
        <w:t xml:space="preserve">--taxnamereplace</w:t>
      </w:r>
      <w:r>
        <w:t xml:space="preserve">が無効の場合は「</w:t>
      </w:r>
      <w:r>
        <w:rPr>
          <w:rStyle w:val="VerbatimChar"/>
        </w:rPr>
        <w:t xml:space="preserve">番号:入力OTU名:分類群名</w:t>
      </w:r>
      <w:r>
        <w:t xml:space="preserve">」となる</w:t>
      </w:r>
    </w:p>
    <w:p>
      <w:pPr>
        <w:pStyle w:val="DefinitionTerm"/>
      </w:pPr>
      <w:r>
        <w:rPr>
          <w:rStyle w:val="VerbatimChar"/>
        </w:rPr>
        <w:t xml:space="preserve">--sortkey</w:t>
      </w:r>
    </w:p>
    <w:p>
      <w:pPr>
        <w:pStyle w:val="Definition"/>
      </w:pPr>
      <w:r>
        <w:t xml:space="preserve">ソート順を決めるキー(ABUNDANCE | RANKNAMEから選択)</w:t>
      </w:r>
    </w:p>
    <w:p>
      <w:pPr>
        <w:pStyle w:val="Definition"/>
      </w:pPr>
      <w:r>
        <w:t xml:space="preserve">RANKNAMEは「</w:t>
      </w:r>
      <w:r>
        <w:rPr>
          <w:rStyle w:val="VerbatimChar"/>
        </w:rPr>
        <w:t xml:space="preserve">familyname</w:t>
      </w:r>
      <w:r>
        <w:t xml:space="preserve">」、「</w:t>
      </w:r>
      <w:r>
        <w:rPr>
          <w:rStyle w:val="VerbatimChar"/>
        </w:rPr>
        <w:t xml:space="preserve">classname</w:t>
      </w:r>
      <w:r>
        <w:t xml:space="preserve">」、「</w:t>
      </w:r>
      <w:r>
        <w:rPr>
          <w:rStyle w:val="VerbatimChar"/>
        </w:rPr>
        <w:t xml:space="preserve">"species group name"</w:t>
      </w:r>
      <w:r>
        <w:t xml:space="preserve">」(スペースが含まれる場合はクォートする)などとする</w:t>
      </w:r>
    </w:p>
    <w:p>
      <w:pPr>
        <w:pStyle w:val="FirstParagraph"/>
      </w:pPr>
      <w:r>
        <w:t xml:space="preserve">コマンドラインオプションに引き続いて、入力ファイル、出力ファイルを指定します。</w:t>
      </w:r>
    </w:p>
    <w:p>
      <w:pPr>
        <w:pStyle w:val="BodyText"/>
      </w:pPr>
      <w:r>
        <w:t xml:space="preserve">以下のコマンドでは、DNA濃度を値とするOTU組成表から種組成表を作成しています。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--taxranknamereplace=enable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12_community/sample_otu_matrix_fishes_concentration.tsv \</w:t>
      </w:r>
      <w:r>
        <w:br/>
      </w:r>
      <w:r>
        <w:rPr>
          <w:rStyle w:val="NormalTok"/>
        </w:rPr>
        <w:t xml:space="preserve">12_community/sample_species_matrix_fishes_concentration.tsv</w:t>
      </w:r>
    </w:p>
    <w:p>
      <w:pPr>
        <w:pStyle w:val="FirstParagraph"/>
      </w:pPr>
      <w:r>
        <w:t xml:space="preserve">なお、</w:t>
      </w:r>
      <w:r>
        <w:rPr>
          <w:rStyle w:val="VerbatimChar"/>
        </w:rPr>
        <w:t xml:space="preserve">--fuseotu</w:t>
      </w:r>
      <w:r>
        <w:t xml:space="preserve">を有効化した場合、分類群名だけでOTUがまとめられてしまうため、</w:t>
      </w:r>
      <w:r>
        <w:rPr>
          <w:rStyle w:val="VerbatimChar"/>
        </w:rPr>
        <w:t xml:space="preserve">--targetrank=species</w:t>
      </w:r>
      <w:r>
        <w:t xml:space="preserve">であっても「</w:t>
      </w:r>
      <w:r>
        <w:rPr>
          <w:rStyle w:val="VerbatimChar"/>
        </w:rPr>
        <w:t xml:space="preserve">unidentified 高次分類群名</w:t>
      </w:r>
      <w:r>
        <w:t xml:space="preserve">」という種が存在し、これには多数の種がまとめられてしまう可能性があります。</w:t>
      </w:r>
      <w:r>
        <w:t xml:space="preserve"> </w:t>
      </w:r>
      <w:r>
        <w:t xml:space="preserve">これは、低レベルの分類階層が同定できなかったOTUを</w:t>
      </w:r>
      <w:r>
        <w:rPr>
          <w:rStyle w:val="VerbatimChar"/>
        </w:rPr>
        <w:t xml:space="preserve">clfillassign</w:t>
      </w:r>
      <w:r>
        <w:t xml:space="preserve">で「</w:t>
      </w:r>
      <w:r>
        <w:rPr>
          <w:rStyle w:val="VerbatimChar"/>
        </w:rPr>
        <w:t xml:space="preserve">unidentified 高次分類群名</w:t>
      </w:r>
      <w:r>
        <w:t xml:space="preserve">」としたためです。</w:t>
      </w:r>
      <w:r>
        <w:t xml:space="preserve"> </w:t>
      </w:r>
      <w:r>
        <w:t xml:space="preserve">したがって、複数の種が誤ってまとめられたOTUを含む種組成表となってしまいます。</w:t>
      </w:r>
      <w:r>
        <w:t xml:space="preserve"> </w:t>
      </w:r>
      <w:r>
        <w:t xml:space="preserve">このような種組成表は作図に使用することはできますが、統計的分析にはASVや配列の類似度に基づいてクラスタリングを行ったOTUを単位とするOTU組成表を使用するようにしましょう。</w:t>
      </w:r>
    </w:p>
    <w:p>
      <w:pPr>
        <w:pStyle w:val="Heading2"/>
      </w:pPr>
      <w:bookmarkStart w:id="69" w:name="otu組成表を用いた群集生態学解析に向けて"/>
      <w:r>
        <w:t xml:space="preserve">OTU組成表を用いた群集生態学解析に向けて</w:t>
      </w:r>
      <w:bookmarkEnd w:id="69"/>
    </w:p>
    <w:p>
      <w:pPr>
        <w:pStyle w:val="FirstParagraph"/>
      </w:pPr>
      <w:r>
        <w:t xml:space="preserve">ここまでの内容で群集生態学解析に必要なOTU組成表が得られますが、未レアファクションのリード数データ、レアファクション済リード数データ、未レアファクションのDNA濃度データ、レアファクション済DNA濃度データの少なくとも4種類があるはずです。</w:t>
      </w:r>
      <w:r>
        <w:t xml:space="preserve"> </w:t>
      </w:r>
      <w:r>
        <w:t xml:space="preserve">これらは目的や解析手法に応じて適宜使い分ける必要があります。</w:t>
      </w:r>
      <w:r>
        <w:t xml:space="preserve"> </w:t>
      </w:r>
      <w:r>
        <w:t xml:space="preserve">ここではOTU組成表を使用してR</w:t>
      </w:r>
      <w:r>
        <w:t xml:space="preserve"> </w:t>
      </w:r>
      <w:r>
        <w:t xml:space="preserve">(R Core Team 2023)</w:t>
      </w:r>
      <w:r>
        <w:t xml:space="preserve"> </w:t>
      </w:r>
      <w:r>
        <w:t xml:space="preserve">で群集生態学解析を行う際に役立つパッケージを簡単に紹介します。</w:t>
      </w:r>
    </w:p>
    <w:p>
      <w:pPr>
        <w:pStyle w:val="BodyText"/>
      </w:pPr>
      <w:r>
        <w:t xml:space="preserve">まず、レアファクションカーブやヒル数(有効種数)</w:t>
      </w:r>
      <w:r>
        <w:t xml:space="preserve"> </w:t>
      </w:r>
      <w:r>
        <w:t xml:space="preserve">(Chao</w:t>
      </w:r>
      <w:r>
        <w:t xml:space="preserve"> </w:t>
      </w:r>
      <w:r>
        <w:rPr>
          <w:i/>
        </w:rPr>
        <w:t xml:space="preserve">et al.</w:t>
      </w:r>
      <w:r>
        <w:t xml:space="preserve"> </w:t>
      </w:r>
      <w:r>
        <w:t xml:space="preserve">2014)</w:t>
      </w:r>
      <w:r>
        <w:t xml:space="preserve"> </w:t>
      </w:r>
      <w:r>
        <w:t xml:space="preserve">の推定・描画には未レアファクションのリード数データを用います。</w:t>
      </w:r>
      <w:r>
        <w:t xml:space="preserve"> </w:t>
      </w:r>
      <w:r>
        <w:t xml:space="preserve">以下のRパッケージが役に立つでしょう。</w:t>
      </w:r>
    </w:p>
    <w:p>
      <w:pPr>
        <w:numPr>
          <w:ilvl w:val="0"/>
          <w:numId w:val="1017"/>
        </w:numPr>
        <w:pStyle w:val="Compact"/>
      </w:pPr>
      <w:r>
        <w:t xml:space="preserve">vegan</w:t>
      </w:r>
      <w:r>
        <w:t xml:space="preserve"> </w:t>
      </w:r>
      <w:hyperlink r:id="rId70">
        <w:r>
          <w:rPr>
            <w:rStyle w:val="Hyperlink"/>
          </w:rPr>
          <w:t xml:space="preserve">https://github.com/vegandevs/vegan</w:t>
        </w:r>
      </w:hyperlink>
    </w:p>
    <w:p>
      <w:pPr>
        <w:numPr>
          <w:ilvl w:val="0"/>
          <w:numId w:val="1017"/>
        </w:numPr>
        <w:pStyle w:val="Compact"/>
      </w:pPr>
      <w:r>
        <w:t xml:space="preserve">iNEXT</w:t>
      </w:r>
      <w:r>
        <w:t xml:space="preserve"> </w:t>
      </w:r>
      <w:hyperlink r:id="rId71">
        <w:r>
          <w:rPr>
            <w:rStyle w:val="Hyperlink"/>
          </w:rPr>
          <w:t xml:space="preserve">https://github.com/JohnsonHsieh/iNEXT</w:t>
        </w:r>
      </w:hyperlink>
      <w:r>
        <w:t xml:space="preserve"> </w:t>
      </w:r>
      <w:r>
        <w:t xml:space="preserve">(Hsieh</w:t>
      </w:r>
      <w:r>
        <w:t xml:space="preserve"> </w:t>
      </w:r>
      <w:r>
        <w:rPr>
          <w:i/>
        </w:rPr>
        <w:t xml:space="preserve">et al.</w:t>
      </w:r>
      <w:r>
        <w:t xml:space="preserve"> </w:t>
      </w:r>
      <w:r>
        <w:t xml:space="preserve">2016)</w:t>
      </w:r>
    </w:p>
    <w:p>
      <w:pPr>
        <w:pStyle w:val="FirstParagraph"/>
      </w:pPr>
      <w:r>
        <w:t xml:space="preserve">レアファクション済リード数データはサンプル間での定量性を必要としないほとんどの分析(クラスター分析・NMDS・PerMANOVA・群集系統学解析)に利用できます。</w:t>
      </w:r>
      <w:r>
        <w:t xml:space="preserve"> </w:t>
      </w:r>
      <w:r>
        <w:t xml:space="preserve">以下のRパッケージについて調べることをお勧めします。</w:t>
      </w:r>
    </w:p>
    <w:p>
      <w:pPr>
        <w:numPr>
          <w:ilvl w:val="0"/>
          <w:numId w:val="1018"/>
        </w:numPr>
        <w:pStyle w:val="Compact"/>
      </w:pPr>
      <w:r>
        <w:t xml:space="preserve">vegan</w:t>
      </w:r>
      <w:r>
        <w:t xml:space="preserve"> </w:t>
      </w:r>
      <w:hyperlink r:id="rId70">
        <w:r>
          <w:rPr>
            <w:rStyle w:val="Hyperlink"/>
          </w:rPr>
          <w:t xml:space="preserve">https://github.com/vegandevs/vegan</w:t>
        </w:r>
      </w:hyperlink>
    </w:p>
    <w:p>
      <w:pPr>
        <w:numPr>
          <w:ilvl w:val="0"/>
          <w:numId w:val="1018"/>
        </w:numPr>
        <w:pStyle w:val="Compact"/>
      </w:pPr>
      <w:r>
        <w:t xml:space="preserve">picante</w:t>
      </w:r>
      <w:r>
        <w:t xml:space="preserve"> </w:t>
      </w:r>
      <w:hyperlink r:id="rId72">
        <w:r>
          <w:rPr>
            <w:rStyle w:val="Hyperlink"/>
          </w:rPr>
          <w:t xml:space="preserve">https://cran.r-project.org/web/packages/picante/</w:t>
        </w:r>
      </w:hyperlink>
      <w:r>
        <w:t xml:space="preserve"> </w:t>
      </w:r>
      <w:r>
        <w:t xml:space="preserve">(Kembel</w:t>
      </w:r>
      <w:r>
        <w:t xml:space="preserve"> </w:t>
      </w:r>
      <w:r>
        <w:rPr>
          <w:i/>
        </w:rPr>
        <w:t xml:space="preserve">et al.</w:t>
      </w:r>
      <w:r>
        <w:t xml:space="preserve"> </w:t>
      </w:r>
      <w:r>
        <w:t xml:space="preserve">2010)</w:t>
      </w:r>
    </w:p>
    <w:p>
      <w:pPr>
        <w:numPr>
          <w:ilvl w:val="0"/>
          <w:numId w:val="1018"/>
        </w:numPr>
        <w:pStyle w:val="Compact"/>
      </w:pPr>
      <w:r>
        <w:t xml:space="preserve">MicEco</w:t>
      </w:r>
      <w:r>
        <w:t xml:space="preserve"> </w:t>
      </w:r>
      <w:hyperlink r:id="rId73">
        <w:r>
          <w:rPr>
            <w:rStyle w:val="Hyperlink"/>
          </w:rPr>
          <w:t xml:space="preserve">https://github.com/Russel88/MicEco</w:t>
        </w:r>
      </w:hyperlink>
    </w:p>
    <w:p>
      <w:pPr>
        <w:numPr>
          <w:ilvl w:val="0"/>
          <w:numId w:val="1018"/>
        </w:numPr>
        <w:pStyle w:val="Compact"/>
      </w:pPr>
      <w:r>
        <w:t xml:space="preserve">iNEXT.beta3D</w:t>
      </w:r>
      <w:r>
        <w:t xml:space="preserve"> </w:t>
      </w:r>
      <w:hyperlink r:id="rId74">
        <w:r>
          <w:rPr>
            <w:rStyle w:val="Hyperlink"/>
          </w:rPr>
          <w:t xml:space="preserve">https://github.com/KaiHsiangHu/iNEXT.beta3D</w:t>
        </w:r>
      </w:hyperlink>
      <w:r>
        <w:t xml:space="preserve"> </w:t>
      </w:r>
      <w:r>
        <w:t xml:space="preserve">(Chao</w:t>
      </w:r>
      <w:r>
        <w:t xml:space="preserve"> </w:t>
      </w:r>
      <w:r>
        <w:rPr>
          <w:i/>
        </w:rPr>
        <w:t xml:space="preserve">et al.</w:t>
      </w:r>
      <w:r>
        <w:t xml:space="preserve"> </w:t>
      </w:r>
      <w:r>
        <w:t xml:space="preserve">2023)</w:t>
      </w:r>
    </w:p>
    <w:p>
      <w:pPr>
        <w:numPr>
          <w:ilvl w:val="0"/>
          <w:numId w:val="1018"/>
        </w:numPr>
        <w:pStyle w:val="Compact"/>
      </w:pPr>
      <w:r>
        <w:t xml:space="preserve">bipartite</w:t>
      </w:r>
      <w:r>
        <w:t xml:space="preserve"> </w:t>
      </w:r>
      <w:hyperlink r:id="rId75">
        <w:r>
          <w:rPr>
            <w:rStyle w:val="Hyperlink"/>
          </w:rPr>
          <w:t xml:space="preserve">https://github.com/biometry/bipartite</w:t>
        </w:r>
      </w:hyperlink>
    </w:p>
    <w:p>
      <w:pPr>
        <w:numPr>
          <w:ilvl w:val="0"/>
          <w:numId w:val="1018"/>
        </w:numPr>
        <w:pStyle w:val="Compact"/>
      </w:pPr>
      <w:r>
        <w:t xml:space="preserve">pvclust</w:t>
      </w:r>
      <w:r>
        <w:t xml:space="preserve"> </w:t>
      </w:r>
      <w:hyperlink r:id="rId76">
        <w:r>
          <w:rPr>
            <w:rStyle w:val="Hyperlink"/>
          </w:rPr>
          <w:t xml:space="preserve">https://github.com/shimo-lab/pvclust</w:t>
        </w:r>
      </w:hyperlink>
    </w:p>
    <w:p>
      <w:pPr>
        <w:numPr>
          <w:ilvl w:val="0"/>
          <w:numId w:val="1018"/>
        </w:numPr>
        <w:pStyle w:val="Compact"/>
      </w:pPr>
      <w:r>
        <w:t xml:space="preserve">mpmcorrelogram</w:t>
      </w:r>
      <w:r>
        <w:t xml:space="preserve"> </w:t>
      </w:r>
      <w:hyperlink r:id="rId77">
        <w:r>
          <w:rPr>
            <w:rStyle w:val="Hyperlink"/>
          </w:rPr>
          <w:t xml:space="preserve">https://cran.r-project.org/web/packages/mpmcorrelogram/</w:t>
        </w:r>
      </w:hyperlink>
    </w:p>
    <w:p>
      <w:pPr>
        <w:numPr>
          <w:ilvl w:val="0"/>
          <w:numId w:val="1018"/>
        </w:numPr>
        <w:pStyle w:val="Compact"/>
      </w:pPr>
      <w:r>
        <w:t xml:space="preserve">boral</w:t>
      </w:r>
      <w:r>
        <w:t xml:space="preserve"> </w:t>
      </w:r>
      <w:hyperlink r:id="rId78">
        <w:r>
          <w:rPr>
            <w:rStyle w:val="Hyperlink"/>
          </w:rPr>
          <w:t xml:space="preserve">https://cran.r-project.org/web/packages/boral/</w:t>
        </w:r>
      </w:hyperlink>
      <w:r>
        <w:t xml:space="preserve"> </w:t>
      </w:r>
      <w:r>
        <w:t xml:space="preserve">(Hui 2016)</w:t>
      </w:r>
    </w:p>
    <w:p>
      <w:pPr>
        <w:numPr>
          <w:ilvl w:val="0"/>
          <w:numId w:val="1018"/>
        </w:numPr>
        <w:pStyle w:val="Compact"/>
      </w:pPr>
      <w:r>
        <w:t xml:space="preserve">gllvm</w:t>
      </w:r>
      <w:r>
        <w:t xml:space="preserve"> </w:t>
      </w:r>
      <w:hyperlink r:id="rId79">
        <w:r>
          <w:rPr>
            <w:rStyle w:val="Hyperlink"/>
          </w:rPr>
          <w:t xml:space="preserve">https://github.com/JenniNiku/gllvm</w:t>
        </w:r>
      </w:hyperlink>
      <w:r>
        <w:t xml:space="preserve"> </w:t>
      </w:r>
      <w:r>
        <w:t xml:space="preserve">(Niku</w:t>
      </w:r>
      <w:r>
        <w:t xml:space="preserve"> </w:t>
      </w:r>
      <w:r>
        <w:rPr>
          <w:i/>
        </w:rPr>
        <w:t xml:space="preserve">et al.</w:t>
      </w:r>
      <w:r>
        <w:t xml:space="preserve"> </w:t>
      </w:r>
      <w:r>
        <w:t xml:space="preserve">2019)</w:t>
      </w:r>
    </w:p>
    <w:p>
      <w:pPr>
        <w:pStyle w:val="FirstParagraph"/>
      </w:pPr>
      <w:r>
        <w:t xml:space="preserve">DNA濃度データはサンプル間での定量性が必要な解析方法に使用することができます。</w:t>
      </w:r>
      <w:r>
        <w:t xml:space="preserve"> </w:t>
      </w:r>
      <w:r>
        <w:t xml:space="preserve">その代わり、整数値を要求する手法を適用することができません。</w:t>
      </w:r>
      <w:r>
        <w:t xml:space="preserve"> </w:t>
      </w:r>
      <w:r>
        <w:t xml:space="preserve">以下のRパッケージでは時系列因果推論を行うことができます。</w:t>
      </w:r>
    </w:p>
    <w:p>
      <w:pPr>
        <w:numPr>
          <w:ilvl w:val="0"/>
          <w:numId w:val="1019"/>
        </w:numPr>
        <w:pStyle w:val="Compact"/>
      </w:pPr>
      <w:r>
        <w:t xml:space="preserve">rEDM</w:t>
      </w:r>
      <w:r>
        <w:t xml:space="preserve"> </w:t>
      </w:r>
      <w:hyperlink r:id="rId80">
        <w:r>
          <w:rPr>
            <w:rStyle w:val="Hyperlink"/>
          </w:rPr>
          <w:t xml:space="preserve">https://ha0ye.github.io/rEDM/</w:t>
        </w:r>
      </w:hyperlink>
      <w:r>
        <w:t xml:space="preserve"> </w:t>
      </w:r>
      <w:r>
        <w:t xml:space="preserve">(Ye &amp; Sugihara 2016)</w:t>
      </w:r>
    </w:p>
    <w:p>
      <w:pPr>
        <w:numPr>
          <w:ilvl w:val="0"/>
          <w:numId w:val="1019"/>
        </w:numPr>
        <w:pStyle w:val="Compact"/>
      </w:pPr>
      <w:r>
        <w:t xml:space="preserve">rUIC</w:t>
      </w:r>
      <w:r>
        <w:t xml:space="preserve"> </w:t>
      </w:r>
      <w:hyperlink r:id="rId81">
        <w:r>
          <w:rPr>
            <w:rStyle w:val="Hyperlink"/>
          </w:rPr>
          <w:t xml:space="preserve">https://github.com/yutakaos/rUIC</w:t>
        </w:r>
      </w:hyperlink>
      <w:r>
        <w:t xml:space="preserve"> </w:t>
      </w:r>
      <w:r>
        <w:t xml:space="preserve">(Osada</w:t>
      </w:r>
      <w:r>
        <w:t xml:space="preserve"> </w:t>
      </w:r>
      <w:r>
        <w:rPr>
          <w:i/>
        </w:rPr>
        <w:t xml:space="preserve">et al.</w:t>
      </w:r>
      <w:r>
        <w:t xml:space="preserve"> </w:t>
      </w:r>
      <w:r>
        <w:t xml:space="preserve">2023)</w:t>
      </w:r>
    </w:p>
    <w:p>
      <w:pPr>
        <w:pStyle w:val="FirstParagraph"/>
      </w:pPr>
      <w:r>
        <w:t xml:space="preserve">空間を対象とした場合、結合種分布モデリング(Joint Species Distribution Modeling)によって多種の生息適地の同時推定や多様性の高い重要地域の推定が可能です。</w:t>
      </w:r>
      <w:r>
        <w:t xml:space="preserve"> </w:t>
      </w:r>
      <w:r>
        <w:t xml:space="preserve">下記のRパッケージではそのような複雑なモデルの当てはめに対応しています。</w:t>
      </w:r>
    </w:p>
    <w:p>
      <w:pPr>
        <w:numPr>
          <w:ilvl w:val="0"/>
          <w:numId w:val="1020"/>
        </w:numPr>
        <w:pStyle w:val="Compact"/>
      </w:pPr>
      <w:r>
        <w:t xml:space="preserve">jSDM</w:t>
      </w:r>
      <w:r>
        <w:t xml:space="preserve"> </w:t>
      </w:r>
      <w:hyperlink r:id="rId82">
        <w:r>
          <w:rPr>
            <w:rStyle w:val="Hyperlink"/>
          </w:rPr>
          <w:t xml:space="preserve">https://ecology.ghislainv.fr/jSDM/</w:t>
        </w:r>
      </w:hyperlink>
      <w:r>
        <w:t xml:space="preserve"> </w:t>
      </w:r>
      <w:r>
        <w:t xml:space="preserve">(Warton</w:t>
      </w:r>
      <w:r>
        <w:t xml:space="preserve"> </w:t>
      </w:r>
      <w:r>
        <w:rPr>
          <w:i/>
        </w:rPr>
        <w:t xml:space="preserve">et al.</w:t>
      </w:r>
      <w:r>
        <w:t xml:space="preserve"> </w:t>
      </w:r>
      <w:r>
        <w:t xml:space="preserve">2015)</w:t>
      </w:r>
    </w:p>
    <w:p>
      <w:pPr>
        <w:numPr>
          <w:ilvl w:val="0"/>
          <w:numId w:val="1020"/>
        </w:numPr>
        <w:pStyle w:val="Compact"/>
      </w:pPr>
      <w:r>
        <w:t xml:space="preserve">HMSC</w:t>
      </w:r>
      <w:r>
        <w:t xml:space="preserve"> </w:t>
      </w:r>
      <w:hyperlink r:id="rId83">
        <w:r>
          <w:rPr>
            <w:rStyle w:val="Hyperlink"/>
          </w:rPr>
          <w:t xml:space="preserve">https://github.com/hmsc-r/HMSC</w:t>
        </w:r>
      </w:hyperlink>
      <w:r>
        <w:t xml:space="preserve"> </w:t>
      </w:r>
      <w:r>
        <w:t xml:space="preserve">(Tikhonov</w:t>
      </w:r>
      <w:r>
        <w:t xml:space="preserve"> </w:t>
      </w:r>
      <w:r>
        <w:rPr>
          <w:i/>
        </w:rPr>
        <w:t xml:space="preserve">et al.</w:t>
      </w:r>
      <w:r>
        <w:t xml:space="preserve"> </w:t>
      </w:r>
      <w:r>
        <w:t xml:space="preserve">2020)</w:t>
      </w:r>
    </w:p>
    <w:p>
      <w:pPr>
        <w:pStyle w:val="FirstParagraph"/>
      </w:pPr>
      <w:r>
        <w:t xml:space="preserve">OTU組成からOTU間関係のネットワークを推定する手法も近年活発に開発されています。</w:t>
      </w:r>
      <w:r>
        <w:t xml:space="preserve"> </w:t>
      </w:r>
      <w:r>
        <w:t xml:space="preserve">下記はOTU間関係ネットワークの推定と描画をサポートしたRパッケージです。</w:t>
      </w:r>
    </w:p>
    <w:p>
      <w:pPr>
        <w:numPr>
          <w:ilvl w:val="0"/>
          <w:numId w:val="1021"/>
        </w:numPr>
        <w:pStyle w:val="Compact"/>
      </w:pPr>
      <w:r>
        <w:t xml:space="preserve">SpiecEasi</w:t>
      </w:r>
      <w:r>
        <w:t xml:space="preserve"> </w:t>
      </w:r>
      <w:hyperlink r:id="rId84">
        <w:r>
          <w:rPr>
            <w:rStyle w:val="Hyperlink"/>
          </w:rPr>
          <w:t xml:space="preserve">https://github.com/zdk123/SpiecEasi</w:t>
        </w:r>
      </w:hyperlink>
      <w:r>
        <w:t xml:space="preserve"> </w:t>
      </w:r>
      <w:r>
        <w:t xml:space="preserve">(Kurtz</w:t>
      </w:r>
      <w:r>
        <w:t xml:space="preserve"> </w:t>
      </w:r>
      <w:r>
        <w:rPr>
          <w:i/>
        </w:rPr>
        <w:t xml:space="preserve">et al.</w:t>
      </w:r>
      <w:r>
        <w:t xml:space="preserve"> </w:t>
      </w:r>
      <w:r>
        <w:t xml:space="preserve">2015)</w:t>
      </w:r>
    </w:p>
    <w:p>
      <w:pPr>
        <w:numPr>
          <w:ilvl w:val="0"/>
          <w:numId w:val="1021"/>
        </w:numPr>
        <w:pStyle w:val="Compact"/>
      </w:pPr>
      <w:r>
        <w:t xml:space="preserve">NetCoMi</w:t>
      </w:r>
      <w:r>
        <w:t xml:space="preserve"> </w:t>
      </w:r>
      <w:hyperlink r:id="rId85">
        <w:r>
          <w:rPr>
            <w:rStyle w:val="Hyperlink"/>
          </w:rPr>
          <w:t xml:space="preserve">https://github.com/stefpeschel/NetCoMi</w:t>
        </w:r>
      </w:hyperlink>
      <w:r>
        <w:t xml:space="preserve"> </w:t>
      </w:r>
      <w:r>
        <w:t xml:space="preserve">(Peschel</w:t>
      </w:r>
      <w:r>
        <w:t xml:space="preserve"> </w:t>
      </w:r>
      <w:r>
        <w:rPr>
          <w:i/>
        </w:rPr>
        <w:t xml:space="preserve">et al.</w:t>
      </w:r>
      <w:r>
        <w:t xml:space="preserve"> </w:t>
      </w:r>
      <w:r>
        <w:t xml:space="preserve">2021)</w:t>
      </w:r>
    </w:p>
    <w:p>
      <w:pPr>
        <w:numPr>
          <w:ilvl w:val="0"/>
          <w:numId w:val="1021"/>
        </w:numPr>
        <w:pStyle w:val="Compact"/>
      </w:pPr>
      <w:r>
        <w:t xml:space="preserve">ggClusterNet</w:t>
      </w:r>
      <w:r>
        <w:t xml:space="preserve"> </w:t>
      </w:r>
      <w:hyperlink r:id="rId86">
        <w:r>
          <w:rPr>
            <w:rStyle w:val="Hyperlink"/>
          </w:rPr>
          <w:t xml:space="preserve">https://github.com/taowenmicro/ggClusterNet</w:t>
        </w:r>
      </w:hyperlink>
      <w:r>
        <w:t xml:space="preserve"> </w:t>
      </w:r>
      <w:r>
        <w:t xml:space="preserve">(Wen</w:t>
      </w:r>
      <w:r>
        <w:t xml:space="preserve"> </w:t>
      </w:r>
      <w:r>
        <w:rPr>
          <w:i/>
        </w:rPr>
        <w:t xml:space="preserve">et al.</w:t>
      </w:r>
      <w:r>
        <w:t xml:space="preserve"> </w:t>
      </w:r>
      <w:r>
        <w:t xml:space="preserve">2022)</w:t>
      </w:r>
    </w:p>
    <w:p>
      <w:pPr>
        <w:pStyle w:val="FirstParagraph"/>
      </w:pPr>
      <w:r>
        <w:t xml:space="preserve">ここで紹介したRパッケージとそれらに実装されている手法は新しいものも多く、筆者も十分に把握できているとは言えません。</w:t>
      </w:r>
      <w:r>
        <w:t xml:space="preserve"> </w:t>
      </w:r>
      <w:r>
        <w:t xml:space="preserve">特に、それぞれの手法の前提として要求するデータの性質(在不在か、整数値か小数値か、サンプル内定量性やサンプル間定量性があるかなど)を論文やマニュアルでよく検討して使用するようにして下さい。</w:t>
      </w:r>
    </w:p>
    <w:p>
      <w:pPr>
        <w:pStyle w:val="BodyText"/>
      </w:pPr>
      <w:r>
        <w:t xml:space="preserve">最後に、</w:t>
      </w:r>
      <w:r>
        <w:t xml:space="preserve"> </w:t>
      </w:r>
      <w:r>
        <w:t xml:space="preserve">土居 ・ 岡村 (2011)</w:t>
      </w:r>
      <w:r>
        <w:t xml:space="preserve"> </w:t>
      </w:r>
      <w:r>
        <w:t xml:space="preserve">、</w:t>
      </w:r>
      <w:r>
        <w:t xml:space="preserve"> </w:t>
      </w:r>
      <w:r>
        <w:t xml:space="preserve">門脇 (2016)</w:t>
      </w:r>
      <w:r>
        <w:t xml:space="preserve"> </w:t>
      </w:r>
      <w:r>
        <w:t xml:space="preserve">および</w:t>
      </w:r>
      <w:r>
        <w:t xml:space="preserve"> </w:t>
      </w:r>
      <w:r>
        <w:t xml:space="preserve">Kadowaki (2023)</w:t>
      </w:r>
      <w:r>
        <w:t xml:space="preserve"> </w:t>
      </w:r>
      <w:r>
        <w:t xml:space="preserve">ではR上での群集生態学分析の入門的な解説がなされていますので、一読をお勧めします。</w:t>
      </w:r>
    </w:p>
    <w:p>
      <w:pPr>
        <w:pStyle w:val="Heading1"/>
      </w:pPr>
      <w:bookmarkStart w:id="87" w:name="引用文献"/>
      <w:r>
        <w:t xml:space="preserve">引用文献</w:t>
      </w:r>
      <w:bookmarkEnd w:id="87"/>
    </w:p>
    <w:bookmarkStart w:id="164" w:name="refs"/>
    <w:bookmarkStart w:id="89" w:name="X6de2a223c072cfc9bc041e5aa44c5820b8de666"/>
    <w:p>
      <w:pPr>
        <w:pStyle w:val="Bibliography"/>
      </w:pPr>
      <w:r>
        <w:t xml:space="preserve">Callahan, Benjamin J., McMurdie, Paul J., Rosen, Michael J., Han, Andrew W., Johnson, Amy Jo A. &amp; Holmes, Susan P. (2016) DADA2: High-resolution sample inference from Illumina amplicon data.</w:t>
      </w:r>
      <w:r>
        <w:t xml:space="preserve"> </w:t>
      </w:r>
      <w:r>
        <w:rPr>
          <w:i/>
        </w:rPr>
        <w:t xml:space="preserve">Nature Methods</w:t>
      </w:r>
      <w:r>
        <w:t xml:space="preserve"> </w:t>
      </w:r>
      <w:r>
        <w:t xml:space="preserve">13, 581–583.</w:t>
      </w:r>
      <w:r>
        <w:t xml:space="preserve"> </w:t>
      </w:r>
      <w:hyperlink r:id="rId88">
        <w:r>
          <w:rPr>
            <w:rStyle w:val="Hyperlink"/>
          </w:rPr>
          <w:t xml:space="preserve">https://doi.org/10.1038/nmeth.3869</w:t>
        </w:r>
      </w:hyperlink>
    </w:p>
    <w:bookmarkEnd w:id="89"/>
    <w:bookmarkStart w:id="91" w:name="ref-Chao2014RarefactionextrapolationHill"/>
    <w:p>
      <w:pPr>
        <w:pStyle w:val="Bibliography"/>
      </w:pPr>
      <w:r>
        <w:t xml:space="preserve">Chao, Anne, Gotelli, Nicholas J., Hsieh, T. C., Sander, Elizabeth L., Ma, K. H., Colwell, Robert K. &amp; Ellison, Aaron M. (2014) Rarefaction and extrapolation with Hill numbers: a framework for sampling and estimation in species diversity studies.</w:t>
      </w:r>
      <w:r>
        <w:t xml:space="preserve"> </w:t>
      </w:r>
      <w:r>
        <w:rPr>
          <w:i/>
        </w:rPr>
        <w:t xml:space="preserve">Ecological Monographs</w:t>
      </w:r>
      <w:r>
        <w:t xml:space="preserve"> </w:t>
      </w:r>
      <w:r>
        <w:t xml:space="preserve">84, 45–67.</w:t>
      </w:r>
      <w:r>
        <w:t xml:space="preserve"> </w:t>
      </w:r>
      <w:hyperlink r:id="rId90">
        <w:r>
          <w:rPr>
            <w:rStyle w:val="Hyperlink"/>
          </w:rPr>
          <w:t xml:space="preserve">https://doi.org/10.1890/13-0133.1</w:t>
        </w:r>
      </w:hyperlink>
    </w:p>
    <w:bookmarkEnd w:id="91"/>
    <w:bookmarkStart w:id="93" w:name="X3be505009a62da157b8323bcfd4b2c20524613f"/>
    <w:p>
      <w:pPr>
        <w:pStyle w:val="Bibliography"/>
      </w:pPr>
      <w:r>
        <w:t xml:space="preserve">Chao, Anne &amp; Jost, Lou (2012) Coverage-based rarefaction and extrapolation: standardizing samples by completeness rather than size.</w:t>
      </w:r>
      <w:r>
        <w:t xml:space="preserve"> </w:t>
      </w:r>
      <w:r>
        <w:rPr>
          <w:i/>
        </w:rPr>
        <w:t xml:space="preserve">Ecology</w:t>
      </w:r>
      <w:r>
        <w:t xml:space="preserve"> </w:t>
      </w:r>
      <w:r>
        <w:t xml:space="preserve">93, 2533–2547.</w:t>
      </w:r>
      <w:r>
        <w:t xml:space="preserve"> </w:t>
      </w:r>
      <w:hyperlink r:id="rId92">
        <w:r>
          <w:rPr>
            <w:rStyle w:val="Hyperlink"/>
          </w:rPr>
          <w:t xml:space="preserve">https://doi.org/10.1890/11-1952.1</w:t>
        </w:r>
      </w:hyperlink>
    </w:p>
    <w:bookmarkEnd w:id="93"/>
    <w:bookmarkStart w:id="95" w:name="ref-Chao2023Rarefactionextrapolationbeta"/>
    <w:p>
      <w:pPr>
        <w:pStyle w:val="Bibliography"/>
      </w:pPr>
      <w:r>
        <w:t xml:space="preserve">Chao, Anne, Thorn, Simon, Chiu, Chun-Huo, Moyes, Faye, Hu, Kai-Hsiang, Chazdon, Robin L., Wu, Jessie, Magnago, Luiz Fernando S., Dornelas, Maria, Zelený, David, Colwell, Robert K. &amp; Magurran, Anne E. (2023) Rarefaction and extrapolation with beta diversity under a framework of Hill numbers: The iNEXT.beta3D standardization.</w:t>
      </w:r>
      <w:r>
        <w:t xml:space="preserve"> </w:t>
      </w:r>
      <w:r>
        <w:rPr>
          <w:i/>
        </w:rPr>
        <w:t xml:space="preserve">Ecological Monographs</w:t>
      </w:r>
      <w:r>
        <w:t xml:space="preserve"> </w:t>
      </w:r>
      <w:r>
        <w:t xml:space="preserve">93, e1588.</w:t>
      </w:r>
      <w:r>
        <w:t xml:space="preserve"> </w:t>
      </w:r>
      <w:hyperlink r:id="rId94">
        <w:r>
          <w:rPr>
            <w:rStyle w:val="Hyperlink"/>
          </w:rPr>
          <w:t xml:space="preserve">https://doi.org/10.1002/ecm.1588</w:t>
        </w:r>
      </w:hyperlink>
    </w:p>
    <w:bookmarkEnd w:id="95"/>
    <w:bookmarkStart w:id="97" w:name="ref-Chiu2016Estimatingcomparingmicrobial"/>
    <w:p>
      <w:pPr>
        <w:pStyle w:val="Bibliography"/>
      </w:pPr>
      <w:r>
        <w:t xml:space="preserve">Chiu, Chun-Huo &amp; Chao, Anne (2016) Estimating and comparing microbial diversity in the presence of sequencing errors.</w:t>
      </w:r>
      <w:r>
        <w:t xml:space="preserve"> </w:t>
      </w:r>
      <w:r>
        <w:rPr>
          <w:i/>
        </w:rPr>
        <w:t xml:space="preserve">PeerJ</w:t>
      </w:r>
      <w:r>
        <w:t xml:space="preserve"> </w:t>
      </w:r>
      <w:r>
        <w:t xml:space="preserve">4, e1634.</w:t>
      </w:r>
      <w:r>
        <w:t xml:space="preserve"> </w:t>
      </w:r>
      <w:hyperlink r:id="rId96">
        <w:r>
          <w:rPr>
            <w:rStyle w:val="Hyperlink"/>
          </w:rPr>
          <w:t xml:space="preserve">https://doi.org/10.7717/peerj.1634</w:t>
        </w:r>
      </w:hyperlink>
    </w:p>
    <w:bookmarkEnd w:id="97"/>
    <w:bookmarkStart w:id="99" w:name="ref-Edgar2010Searchclusteringorders"/>
    <w:p>
      <w:pPr>
        <w:pStyle w:val="Bibliography"/>
      </w:pPr>
      <w:r>
        <w:t xml:space="preserve">Edgar, Robert C. (2010) Search and clustering orders of magnitude faster than BLAST.</w:t>
      </w:r>
      <w:r>
        <w:t xml:space="preserve"> </w:t>
      </w:r>
      <w:r>
        <w:rPr>
          <w:i/>
        </w:rPr>
        <w:t xml:space="preserve">Bioinformatics</w:t>
      </w:r>
      <w:r>
        <w:t xml:space="preserve"> </w:t>
      </w:r>
      <w:r>
        <w:t xml:space="preserve">26, 2460–2461.</w:t>
      </w:r>
      <w:r>
        <w:t xml:space="preserve"> </w:t>
      </w:r>
      <w:hyperlink r:id="rId98">
        <w:r>
          <w:rPr>
            <w:rStyle w:val="Hyperlink"/>
          </w:rPr>
          <w:t xml:space="preserve">https://doi.org/10.1093/bioinformatics/btq461</w:t>
        </w:r>
      </w:hyperlink>
    </w:p>
    <w:bookmarkEnd w:id="99"/>
    <w:bookmarkStart w:id="100" w:name="ref-Edgar2016UCHIME2improvedchimera"/>
    <w:p>
      <w:pPr>
        <w:pStyle w:val="Bibliography"/>
      </w:pPr>
      <w:r>
        <w:t xml:space="preserve">Edgar, Robert C. (2016) UCHIME2: improved chimera prediction for amplicon sequencing., 074252.</w:t>
      </w:r>
    </w:p>
    <w:bookmarkEnd w:id="100"/>
    <w:bookmarkStart w:id="102" w:name="ref-Edgar2015Errorfilteringpair"/>
    <w:p>
      <w:pPr>
        <w:pStyle w:val="Bibliography"/>
      </w:pPr>
      <w:r>
        <w:t xml:space="preserve">Edgar, Robert C. &amp; Flyvbjerg, Henrik (2015) Error filtering, pair assembly and error correction for next-generation sequencing reads.</w:t>
      </w:r>
      <w:r>
        <w:t xml:space="preserve"> </w:t>
      </w:r>
      <w:r>
        <w:rPr>
          <w:i/>
        </w:rPr>
        <w:t xml:space="preserve">Bioinformatics</w:t>
      </w:r>
      <w:r>
        <w:t xml:space="preserve"> </w:t>
      </w:r>
      <w:r>
        <w:t xml:space="preserve">31, 3476–3482.</w:t>
      </w:r>
      <w:r>
        <w:t xml:space="preserve"> </w:t>
      </w:r>
      <w:hyperlink r:id="rId101">
        <w:r>
          <w:rPr>
            <w:rStyle w:val="Hyperlink"/>
          </w:rPr>
          <w:t xml:space="preserve">https://doi.org/10.1093/bioinformatics/btv401</w:t>
        </w:r>
      </w:hyperlink>
    </w:p>
    <w:bookmarkEnd w:id="102"/>
    <w:bookmarkStart w:id="104" w:name="ref-Edgar2011UCHIMEimprovessensitivity"/>
    <w:p>
      <w:pPr>
        <w:pStyle w:val="Bibliography"/>
      </w:pPr>
      <w:r>
        <w:t xml:space="preserve">Edgar, Robert C., Haas, Brian J., Clemente, Jose C., Quince, Christopher &amp; Knight, Rob (2011) UCHIME improves sensitivity and speed of chimera detection.</w:t>
      </w:r>
      <w:r>
        <w:t xml:space="preserve"> </w:t>
      </w:r>
      <w:r>
        <w:rPr>
          <w:i/>
        </w:rPr>
        <w:t xml:space="preserve">Bioinformatics</w:t>
      </w:r>
      <w:r>
        <w:t xml:space="preserve"> </w:t>
      </w:r>
      <w:r>
        <w:t xml:space="preserve">27, 2194–2200.</w:t>
      </w:r>
      <w:r>
        <w:t xml:space="preserve"> </w:t>
      </w:r>
      <w:hyperlink r:id="rId103">
        <w:r>
          <w:rPr>
            <w:rStyle w:val="Hyperlink"/>
          </w:rPr>
          <w:t xml:space="preserve">https://doi.org/10.1093/bioinformatics/btr381</w:t>
        </w:r>
      </w:hyperlink>
    </w:p>
    <w:bookmarkEnd w:id="104"/>
    <w:bookmarkStart w:id="106" w:name="X7b30066f7ad789bde3b87197594d92104dbe379"/>
    <w:p>
      <w:pPr>
        <w:pStyle w:val="Bibliography"/>
      </w:pPr>
      <w:r>
        <w:t xml:space="preserve">Esling, Philippe, Lejzerowicz, Franck &amp; Pawlowski, Jan (2015) Accurate multiplexing and filtering for high-throughput amplicon-sequencing.</w:t>
      </w:r>
      <w:r>
        <w:t xml:space="preserve"> </w:t>
      </w:r>
      <w:r>
        <w:rPr>
          <w:i/>
        </w:rPr>
        <w:t xml:space="preserve">Nucleic Acids Research</w:t>
      </w:r>
      <w:r>
        <w:t xml:space="preserve"> </w:t>
      </w:r>
      <w:r>
        <w:t xml:space="preserve">43, 2513–2524.</w:t>
      </w:r>
      <w:r>
        <w:t xml:space="preserve"> </w:t>
      </w:r>
      <w:hyperlink r:id="rId105">
        <w:r>
          <w:rPr>
            <w:rStyle w:val="Hyperlink"/>
          </w:rPr>
          <w:t xml:space="preserve">https://doi.org/10.1093/nar/gkv107</w:t>
        </w:r>
      </w:hyperlink>
    </w:p>
    <w:bookmarkEnd w:id="106"/>
    <w:bookmarkStart w:id="108" w:name="ref-Hsieh2016iNEXTpackagerarefaction"/>
    <w:p>
      <w:pPr>
        <w:pStyle w:val="Bibliography"/>
      </w:pPr>
      <w:r>
        <w:t xml:space="preserve">Hsieh, T. C., Ma, K. H. &amp; Chao, Anne (2016) iNEXT: an R package for rarefaction and extrapolation of species diversity (Hill numbers).</w:t>
      </w:r>
      <w:r>
        <w:t xml:space="preserve"> </w:t>
      </w:r>
      <w:r>
        <w:rPr>
          <w:i/>
        </w:rPr>
        <w:t xml:space="preserve">Methods in Ecology and Evolution</w:t>
      </w:r>
      <w:r>
        <w:t xml:space="preserve"> </w:t>
      </w:r>
      <w:r>
        <w:t xml:space="preserve">7, 1451–1456.</w:t>
      </w:r>
      <w:r>
        <w:t xml:space="preserve"> </w:t>
      </w:r>
      <w:hyperlink r:id="rId107">
        <w:r>
          <w:rPr>
            <w:rStyle w:val="Hyperlink"/>
          </w:rPr>
          <w:t xml:space="preserve">https://doi.org/10.1111/2041-210X.12613</w:t>
        </w:r>
      </w:hyperlink>
    </w:p>
    <w:bookmarkEnd w:id="108"/>
    <w:bookmarkStart w:id="110" w:name="ref-Hui2016boralBayesianOrdination"/>
    <w:p>
      <w:pPr>
        <w:pStyle w:val="Bibliography"/>
      </w:pPr>
      <w:r>
        <w:t xml:space="preserve">Hui, Francis K. C. (2016) boral – Bayesian Ordination and Regression Analysis of Multivariate Abundance Data in r.</w:t>
      </w:r>
      <w:r>
        <w:t xml:space="preserve"> </w:t>
      </w:r>
      <w:r>
        <w:rPr>
          <w:i/>
        </w:rPr>
        <w:t xml:space="preserve">Methods in Ecology and Evolution</w:t>
      </w:r>
      <w:r>
        <w:t xml:space="preserve"> </w:t>
      </w:r>
      <w:r>
        <w:t xml:space="preserve">7, 744–750.</w:t>
      </w:r>
      <w:r>
        <w:t xml:space="preserve"> </w:t>
      </w:r>
      <w:hyperlink r:id="rId109">
        <w:r>
          <w:rPr>
            <w:rStyle w:val="Hyperlink"/>
          </w:rPr>
          <w:t xml:space="preserve">https://doi.org/10.1111/2041-210X.12514</w:t>
        </w:r>
      </w:hyperlink>
    </w:p>
    <w:bookmarkEnd w:id="110"/>
    <w:bookmarkStart w:id="112" w:name="ref-Huson2007MEGANanalysismetagenomic"/>
    <w:p>
      <w:pPr>
        <w:pStyle w:val="Bibliography"/>
      </w:pPr>
      <w:r>
        <w:t xml:space="preserve">Huson, Daniel H., Auch, Alexander F., Qi, Ji &amp; Schuster, Stephan C. (2007) MEGAN analysis of metagenomic data.</w:t>
      </w:r>
      <w:r>
        <w:t xml:space="preserve"> </w:t>
      </w:r>
      <w:r>
        <w:rPr>
          <w:i/>
        </w:rPr>
        <w:t xml:space="preserve">Genome Research</w:t>
      </w:r>
      <w:r>
        <w:t xml:space="preserve"> </w:t>
      </w:r>
      <w:r>
        <w:t xml:space="preserve">17, 377–386.</w:t>
      </w:r>
      <w:r>
        <w:t xml:space="preserve"> </w:t>
      </w:r>
      <w:hyperlink r:id="rId111">
        <w:r>
          <w:rPr>
            <w:rStyle w:val="Hyperlink"/>
          </w:rPr>
          <w:t xml:space="preserve">https://doi.org/10.1101/gr.5969107</w:t>
        </w:r>
      </w:hyperlink>
    </w:p>
    <w:bookmarkEnd w:id="112"/>
    <w:bookmarkStart w:id="114" w:name="ref-Kadowaki2023primercommunityecology"/>
    <w:p>
      <w:pPr>
        <w:pStyle w:val="Bibliography"/>
      </w:pPr>
      <w:r>
        <w:t xml:space="preserve">Kadowaki, Kohmei (2023) A primer of community ecology using the R language.</w:t>
      </w:r>
      <w:r>
        <w:t xml:space="preserve"> </w:t>
      </w:r>
      <w:r>
        <w:rPr>
          <w:i/>
        </w:rPr>
        <w:t xml:space="preserve">Population Ecology</w:t>
      </w:r>
      <w:r>
        <w:t xml:space="preserve"> </w:t>
      </w:r>
      <w:r>
        <w:t xml:space="preserve">65, 240–256.</w:t>
      </w:r>
      <w:r>
        <w:t xml:space="preserve"> </w:t>
      </w:r>
      <w:hyperlink r:id="rId113">
        <w:r>
          <w:rPr>
            <w:rStyle w:val="Hyperlink"/>
          </w:rPr>
          <w:t xml:space="preserve">https://doi.org/10.1002/1438-390X.12158</w:t>
        </w:r>
      </w:hyperlink>
    </w:p>
    <w:bookmarkEnd w:id="114"/>
    <w:bookmarkStart w:id="116" w:name="ref-Kembel2010Picantetoolsintegrating"/>
    <w:p>
      <w:pPr>
        <w:pStyle w:val="Bibliography"/>
      </w:pPr>
      <w:r>
        <w:t xml:space="preserve">Kembel, Steven W., Cowan, Peter D., Helmus, Matthew R., Cornwell, William K., Morlon, Helene, Ackerly, David D., Blomberg, Simon P. &amp; Webb, Campbell O. (2010) Picante: R tools for integrating phylogenies and ecology.</w:t>
      </w:r>
      <w:r>
        <w:t xml:space="preserve"> </w:t>
      </w:r>
      <w:r>
        <w:rPr>
          <w:i/>
        </w:rPr>
        <w:t xml:space="preserve">Bioinformatics</w:t>
      </w:r>
      <w:r>
        <w:t xml:space="preserve"> </w:t>
      </w:r>
      <w:r>
        <w:t xml:space="preserve">26, 1463–1464.</w:t>
      </w:r>
      <w:r>
        <w:t xml:space="preserve"> </w:t>
      </w:r>
      <w:hyperlink r:id="rId115">
        <w:r>
          <w:rPr>
            <w:rStyle w:val="Hyperlink"/>
          </w:rPr>
          <w:t xml:space="preserve">https://doi.org/10.1093/bioinformatics/btq166</w:t>
        </w:r>
      </w:hyperlink>
    </w:p>
    <w:bookmarkEnd w:id="116"/>
    <w:bookmarkStart w:id="118" w:name="ref-Komai2019Developmentnewset"/>
    <w:p>
      <w:pPr>
        <w:pStyle w:val="Bibliography"/>
      </w:pPr>
      <w:r>
        <w:t xml:space="preserve">Komai, Tomoyuki, Gotoh, Ryo O., Sado, Tetsuya &amp; Miya, Masaki (2019) Development of a new set of PCR primers for eDNA metabarcoding decapod crustaceans.</w:t>
      </w:r>
      <w:r>
        <w:t xml:space="preserve"> </w:t>
      </w:r>
      <w:r>
        <w:rPr>
          <w:i/>
        </w:rPr>
        <w:t xml:space="preserve">Metabarcoding and Metagenomics</w:t>
      </w:r>
      <w:r>
        <w:t xml:space="preserve"> </w:t>
      </w:r>
      <w:r>
        <w:t xml:space="preserve">3, e33835.</w:t>
      </w:r>
      <w:r>
        <w:t xml:space="preserve"> </w:t>
      </w:r>
      <w:hyperlink r:id="rId117">
        <w:r>
          <w:rPr>
            <w:rStyle w:val="Hyperlink"/>
          </w:rPr>
          <w:t xml:space="preserve">https://doi.org/10.3897/mbmg.3.33835</w:t>
        </w:r>
      </w:hyperlink>
    </w:p>
    <w:bookmarkEnd w:id="118"/>
    <w:bookmarkStart w:id="120" w:name="ref-Kurtz2015SparseCompositionallyRobust"/>
    <w:p>
      <w:pPr>
        <w:pStyle w:val="Bibliography"/>
      </w:pPr>
      <w:r>
        <w:t xml:space="preserve">Kurtz, Zachary D., Müller, Christian L., Miraldi, Emily R., Littman, Dan R., Blaser, Martin J. &amp; Bonneau, Richard A. (2015) Sparse and Compositionally Robust Inference of Microbial Ecological Networks.</w:t>
      </w:r>
      <w:r>
        <w:t xml:space="preserve"> </w:t>
      </w:r>
      <w:r>
        <w:rPr>
          <w:i/>
        </w:rPr>
        <w:t xml:space="preserve">PLOS Computational Biology</w:t>
      </w:r>
      <w:r>
        <w:t xml:space="preserve"> </w:t>
      </w:r>
      <w:r>
        <w:t xml:space="preserve">11, e1004226.</w:t>
      </w:r>
      <w:r>
        <w:t xml:space="preserve"> </w:t>
      </w:r>
      <w:hyperlink r:id="rId119">
        <w:r>
          <w:rPr>
            <w:rStyle w:val="Hyperlink"/>
          </w:rPr>
          <w:t xml:space="preserve">https://doi.org/10.1371/journal.pcbi.1004226</w:t>
        </w:r>
      </w:hyperlink>
    </w:p>
    <w:bookmarkEnd w:id="120"/>
    <w:bookmarkStart w:id="122" w:name="X49cf763435f0da31f7181be37a696ec8530c862"/>
    <w:p>
      <w:pPr>
        <w:pStyle w:val="Bibliography"/>
      </w:pPr>
      <w:r>
        <w:t xml:space="preserve">Miya, Masaki, Gotoh, Ryo O. &amp; Sado, Tetsuya (2020) MiFish metabarcoding: a high-throughput approach for simultaneous detection of multiple fish species from environmental DNA and other samples.</w:t>
      </w:r>
      <w:r>
        <w:t xml:space="preserve"> </w:t>
      </w:r>
      <w:r>
        <w:rPr>
          <w:i/>
        </w:rPr>
        <w:t xml:space="preserve">Fisheries Science</w:t>
      </w:r>
      <w:r>
        <w:t xml:space="preserve"> </w:t>
      </w:r>
      <w:r>
        <w:t xml:space="preserve">86, 939–970.</w:t>
      </w:r>
      <w:r>
        <w:t xml:space="preserve"> </w:t>
      </w:r>
      <w:hyperlink r:id="rId121">
        <w:r>
          <w:rPr>
            <w:rStyle w:val="Hyperlink"/>
          </w:rPr>
          <w:t xml:space="preserve">https://doi.org/10.1007/s12562-020-01461-x</w:t>
        </w:r>
      </w:hyperlink>
    </w:p>
    <w:bookmarkEnd w:id="122"/>
    <w:bookmarkStart w:id="124" w:name="ref-Miya2015MiFishsetuniversal"/>
    <w:p>
      <w:pPr>
        <w:pStyle w:val="Bibliography"/>
      </w:pPr>
      <w:r>
        <w:t xml:space="preserve">Miya, M., Sato, Y., Fukunaga, T., Sado, T., Poulsen, J. Y., Sato, K., Minamoto, T., Yamamoto, S., Yamanaka, H., Araki, H., Kondoh, M. &amp; Iwasaki, W. (2015) MiFish, a set of universal PCR primers for metabarcoding environmental DNA from fishes: detection of more than 230 subtropical marine species.</w:t>
      </w:r>
      <w:r>
        <w:t xml:space="preserve"> </w:t>
      </w:r>
      <w:r>
        <w:rPr>
          <w:i/>
        </w:rPr>
        <w:t xml:space="preserve">Royal Society Open Science</w:t>
      </w:r>
      <w:r>
        <w:t xml:space="preserve"> </w:t>
      </w:r>
      <w:r>
        <w:t xml:space="preserve">2, 150088.</w:t>
      </w:r>
      <w:r>
        <w:t xml:space="preserve"> </w:t>
      </w:r>
      <w:hyperlink r:id="rId123">
        <w:r>
          <w:rPr>
            <w:rStyle w:val="Hyperlink"/>
          </w:rPr>
          <w:t xml:space="preserve">https://doi.org/10.1098/rsos.150088</w:t>
        </w:r>
      </w:hyperlink>
    </w:p>
    <w:bookmarkEnd w:id="124"/>
    <w:bookmarkStart w:id="126" w:name="ref-Niku2019gllvmFastanalysis"/>
    <w:p>
      <w:pPr>
        <w:pStyle w:val="Bibliography"/>
      </w:pPr>
      <w:r>
        <w:t xml:space="preserve">Niku, Jenni, Hui, Francis K. C., Taskinen, Sara &amp; Warton, David I. (2019) gllvm: Fast analysis of multivariate abundance data with generalized linear latent variable models in r.</w:t>
      </w:r>
      <w:r>
        <w:t xml:space="preserve"> </w:t>
      </w:r>
      <w:r>
        <w:rPr>
          <w:i/>
        </w:rPr>
        <w:t xml:space="preserve">Methods in Ecology and Evolution</w:t>
      </w:r>
      <w:r>
        <w:t xml:space="preserve"> </w:t>
      </w:r>
      <w:r>
        <w:t xml:space="preserve">10, 2173–2182.</w:t>
      </w:r>
      <w:r>
        <w:t xml:space="preserve"> </w:t>
      </w:r>
      <w:hyperlink r:id="rId125">
        <w:r>
          <w:rPr>
            <w:rStyle w:val="Hyperlink"/>
          </w:rPr>
          <w:t xml:space="preserve">https://doi.org/10.1111/2041-210X.13303</w:t>
        </w:r>
      </w:hyperlink>
    </w:p>
    <w:bookmarkEnd w:id="126"/>
    <w:bookmarkStart w:id="127" w:name="Xb5489c4465f4c1c7dcd80a3ff0501eb4665b501"/>
    <w:p>
      <w:pPr>
        <w:pStyle w:val="Bibliography"/>
      </w:pPr>
      <w:r>
        <w:t xml:space="preserve">Osada, Yutaka, Ushio, Masayuki &amp; Michio, Kondoh (2023) A unified framework for nonparametric causality detection., 2023.04.20.537743.</w:t>
      </w:r>
    </w:p>
    <w:bookmarkEnd w:id="127"/>
    <w:bookmarkStart w:id="129" w:name="X2f0538adea7e4863904e5643b1ac90390cce104"/>
    <w:p>
      <w:pPr>
        <w:pStyle w:val="Bibliography"/>
      </w:pPr>
      <w:r>
        <w:t xml:space="preserve">Peschel, Stefanie, Müller, Christian L, von Mutius, Erika, Boulesteix, Anne-Laure &amp; Depner, Martin (2021) NetCoMi: network construction and comparison for microbiome data in R.</w:t>
      </w:r>
      <w:r>
        <w:t xml:space="preserve"> </w:t>
      </w:r>
      <w:r>
        <w:rPr>
          <w:i/>
        </w:rPr>
        <w:t xml:space="preserve">Briefings in Bioinformatics</w:t>
      </w:r>
      <w:r>
        <w:t xml:space="preserve"> </w:t>
      </w:r>
      <w:r>
        <w:t xml:space="preserve">22, bbaa290.</w:t>
      </w:r>
      <w:r>
        <w:t xml:space="preserve"> </w:t>
      </w:r>
      <w:hyperlink r:id="rId128">
        <w:r>
          <w:rPr>
            <w:rStyle w:val="Hyperlink"/>
          </w:rPr>
          <w:t xml:space="preserve">https://doi.org/10.1093/bib/bbaa290</w:t>
        </w:r>
      </w:hyperlink>
    </w:p>
    <w:bookmarkEnd w:id="129"/>
    <w:bookmarkStart w:id="131" w:name="X715984a41d965ce24450aa0988de2d31c72bb38"/>
    <w:p>
      <w:pPr>
        <w:pStyle w:val="Bibliography"/>
      </w:pPr>
      <w:r>
        <w:t xml:space="preserve">R Core Team (2023) R: A Language and Environment for Statistical Computing.</w:t>
      </w:r>
      <w:r>
        <w:t xml:space="preserve"> </w:t>
      </w:r>
      <w:hyperlink r:id="rId130">
        <w:r>
          <w:rPr>
            <w:rStyle w:val="Hyperlink"/>
          </w:rPr>
          <w:t xml:space="preserve">https://www.R-project.org</w:t>
        </w:r>
      </w:hyperlink>
    </w:p>
    <w:bookmarkEnd w:id="131"/>
    <w:bookmarkStart w:id="133" w:name="ref-Rognes2016VSEARCHversatileopen"/>
    <w:p>
      <w:pPr>
        <w:pStyle w:val="Bibliography"/>
      </w:pPr>
      <w:r>
        <w:t xml:space="preserve">Rognes, Torbjørn, Flouri, Tomáš, Nichols, Ben, Quince, Christopher &amp; Mahé, Frédéric (2016) VSEARCH: a versatile open source tool for metagenomics.</w:t>
      </w:r>
      <w:r>
        <w:t xml:space="preserve"> </w:t>
      </w:r>
      <w:r>
        <w:rPr>
          <w:i/>
        </w:rPr>
        <w:t xml:space="preserve">PeerJ</w:t>
      </w:r>
      <w:r>
        <w:t xml:space="preserve"> </w:t>
      </w:r>
      <w:r>
        <w:t xml:space="preserve">4, e2584.</w:t>
      </w:r>
      <w:r>
        <w:t xml:space="preserve"> </w:t>
      </w:r>
      <w:hyperlink r:id="rId132">
        <w:r>
          <w:rPr>
            <w:rStyle w:val="Hyperlink"/>
          </w:rPr>
          <w:t xml:space="preserve">https://doi.org/10.7717/peerj.2584</w:t>
        </w:r>
      </w:hyperlink>
    </w:p>
    <w:bookmarkEnd w:id="133"/>
    <w:bookmarkStart w:id="135" w:name="ref-Sakata2022DevelopmentevaluationPCR"/>
    <w:p>
      <w:pPr>
        <w:pStyle w:val="Bibliography"/>
      </w:pPr>
      <w:r>
        <w:t xml:space="preserve">Sakata, Masayuki K., Kawata, Mone U., Kurabayashi, Atsushi, Kurita, Takaki, Nakamura, Masatoshi, Shirako, Tomoyasu, Kakehashi, Ryosuke, Nishikawa, Kanto, Hossman, Mohamad Yazid, Nishijima, Takashi, Kabamoto, Junichi, Miya, Masaki &amp; Minamoto, Toshifumi (2022) Development and evaluation of PCR primers for environmental DNA (eDNA) metabarcoding of Amphibia.</w:t>
      </w:r>
      <w:r>
        <w:t xml:space="preserve"> </w:t>
      </w:r>
      <w:r>
        <w:rPr>
          <w:i/>
        </w:rPr>
        <w:t xml:space="preserve">Metabarcoding and Metagenomics</w:t>
      </w:r>
      <w:r>
        <w:t xml:space="preserve"> </w:t>
      </w:r>
      <w:r>
        <w:t xml:space="preserve">6, e76534.</w:t>
      </w:r>
      <w:r>
        <w:t xml:space="preserve"> </w:t>
      </w:r>
      <w:hyperlink r:id="rId134">
        <w:r>
          <w:rPr>
            <w:rStyle w:val="Hyperlink"/>
          </w:rPr>
          <w:t xml:space="preserve">https://doi.org/10.3897/mbmg.6.76534</w:t>
        </w:r>
      </w:hyperlink>
    </w:p>
    <w:bookmarkEnd w:id="135"/>
    <w:bookmarkStart w:id="137" w:name="ref-Sato2018MitoFishMiFishPipeline"/>
    <w:p>
      <w:pPr>
        <w:pStyle w:val="Bibliography"/>
      </w:pPr>
      <w:r>
        <w:t xml:space="preserve">Sato, Yukuto, Miya, Masaki, Fukunaga, Tsukasa, Sado, Tetsuya &amp; Iwasaki, Wataru (2018) MitoFish and MiFish Pipeline: A Mitochondrial Genome Database of Fish with an Analysis Pipeline for Environmental DNA Metabarcoding.</w:t>
      </w:r>
      <w:r>
        <w:t xml:space="preserve"> </w:t>
      </w:r>
      <w:r>
        <w:rPr>
          <w:i/>
        </w:rPr>
        <w:t xml:space="preserve">Molecular Biology and Evolution</w:t>
      </w:r>
      <w:r>
        <w:t xml:space="preserve"> </w:t>
      </w:r>
      <w:r>
        <w:t xml:space="preserve">35, 1553–1555.</w:t>
      </w:r>
      <w:r>
        <w:t xml:space="preserve"> </w:t>
      </w:r>
      <w:hyperlink r:id="rId136">
        <w:r>
          <w:rPr>
            <w:rStyle w:val="Hyperlink"/>
          </w:rPr>
          <w:t xml:space="preserve">https://doi.org/10.1093/molbev/msy074</w:t>
        </w:r>
      </w:hyperlink>
    </w:p>
    <w:bookmarkEnd w:id="137"/>
    <w:bookmarkStart w:id="139" w:name="ref-Takenaka2023DevelopmentnovelPCR"/>
    <w:p>
      <w:pPr>
        <w:pStyle w:val="Bibliography"/>
      </w:pPr>
      <w:r>
        <w:t xml:space="preserve">Takenaka, Masaki, Yano, Koki, Suzuki, Tomoya &amp; Tojo, Koji (2023) Development of novel PCR primer sets for DNA barcoding of aquatic insects, and the discovery of some cryptic species.</w:t>
      </w:r>
      <w:r>
        <w:t xml:space="preserve"> </w:t>
      </w:r>
      <w:r>
        <w:rPr>
          <w:i/>
        </w:rPr>
        <w:t xml:space="preserve">Limnology</w:t>
      </w:r>
      <w:r>
        <w:t xml:space="preserve"> </w:t>
      </w:r>
      <w:r>
        <w:t xml:space="preserve">24, 121–136.</w:t>
      </w:r>
      <w:r>
        <w:t xml:space="preserve"> </w:t>
      </w:r>
      <w:hyperlink r:id="rId138">
        <w:r>
          <w:rPr>
            <w:rStyle w:val="Hyperlink"/>
          </w:rPr>
          <w:t xml:space="preserve">https://doi.org/10.1007/s10201-022-00710-5</w:t>
        </w:r>
      </w:hyperlink>
    </w:p>
    <w:bookmarkEnd w:id="139"/>
    <w:bookmarkStart w:id="141" w:name="ref-Tanabe2013TwoNewComputational"/>
    <w:p>
      <w:pPr>
        <w:pStyle w:val="Bibliography"/>
      </w:pPr>
      <w:r>
        <w:t xml:space="preserve">Tanabe, Akifumi S. &amp; Toju, Hirokazu (2013) Two New Computational Methods for Universal DNA Barcoding: A Benchmark Using Barcode Sequences of Bacteria, Archaea, Animals, Fungi, and Land Plants.</w:t>
      </w:r>
      <w:r>
        <w:t xml:space="preserve"> </w:t>
      </w:r>
      <w:r>
        <w:rPr>
          <w:i/>
        </w:rPr>
        <w:t xml:space="preserve">PLOS ONE</w:t>
      </w:r>
      <w:r>
        <w:t xml:space="preserve"> </w:t>
      </w:r>
      <w:r>
        <w:t xml:space="preserve">8, e76910.</w:t>
      </w:r>
      <w:r>
        <w:t xml:space="preserve"> </w:t>
      </w:r>
      <w:hyperlink r:id="rId140">
        <w:r>
          <w:rPr>
            <w:rStyle w:val="Hyperlink"/>
          </w:rPr>
          <w:t xml:space="preserve">https://doi.org/10.1371/journal.pone.0076910</w:t>
        </w:r>
      </w:hyperlink>
    </w:p>
    <w:bookmarkEnd w:id="141"/>
    <w:bookmarkStart w:id="143" w:name="ref-Tikhonov2020Jointspeciesdistribution"/>
    <w:p>
      <w:pPr>
        <w:pStyle w:val="Bibliography"/>
      </w:pPr>
      <w:r>
        <w:t xml:space="preserve">Tikhonov, Gleb, Opedal, Øystein H., Abrego, Nerea, Lehikoinen, Aleksi, de Jonge, Melinda M. J., Oksanen, Jari &amp; Ovaskainen, Otso (2020) Joint species distribution modelling with the r-package Hmsc.</w:t>
      </w:r>
      <w:r>
        <w:t xml:space="preserve"> </w:t>
      </w:r>
      <w:r>
        <w:rPr>
          <w:i/>
        </w:rPr>
        <w:t xml:space="preserve">Methods in Ecology and Evolution</w:t>
      </w:r>
      <w:r>
        <w:t xml:space="preserve"> </w:t>
      </w:r>
      <w:r>
        <w:t xml:space="preserve">11, 442–447.</w:t>
      </w:r>
      <w:r>
        <w:t xml:space="preserve"> </w:t>
      </w:r>
      <w:hyperlink r:id="rId142">
        <w:r>
          <w:rPr>
            <w:rStyle w:val="Hyperlink"/>
          </w:rPr>
          <w:t xml:space="preserve">https://doi.org/10.1111/2041-210X.13345</w:t>
        </w:r>
      </w:hyperlink>
    </w:p>
    <w:bookmarkEnd w:id="143"/>
    <w:bookmarkStart w:id="145" w:name="ref-Ushio2017EnvironmentalDNAenables"/>
    <w:p>
      <w:pPr>
        <w:pStyle w:val="Bibliography"/>
      </w:pPr>
      <w:r>
        <w:t xml:space="preserve">Ushio, Masayuki, Fukuda, Hisato, Inoue, Toshiki, Makoto, Kobayashi, Kishida, Osamu, Sato, Keiichi, Murata, Koichi, Nikaido, Masato, Sado, Tetsuya, Sato, Yukuto, Takeshita, Masamichi, Iwasaki, Wataru, Yamanaka, Hiroki, Kondoh, Michio &amp; Miya, Masaki (2017) Environmental DNA enables detection of terrestrial mammals from forest pond water.</w:t>
      </w:r>
      <w:r>
        <w:t xml:space="preserve"> </w:t>
      </w:r>
      <w:r>
        <w:rPr>
          <w:i/>
        </w:rPr>
        <w:t xml:space="preserve">Molecular Ecology Resources</w:t>
      </w:r>
      <w:r>
        <w:t xml:space="preserve"> </w:t>
      </w:r>
      <w:r>
        <w:t xml:space="preserve">17, e63–e75.</w:t>
      </w:r>
      <w:r>
        <w:t xml:space="preserve"> </w:t>
      </w:r>
      <w:hyperlink r:id="rId144">
        <w:r>
          <w:rPr>
            <w:rStyle w:val="Hyperlink"/>
          </w:rPr>
          <w:t xml:space="preserve">https://doi.org/10.1111/1755-0998.12690</w:t>
        </w:r>
      </w:hyperlink>
    </w:p>
    <w:bookmarkEnd w:id="145"/>
    <w:bookmarkStart w:id="147" w:name="Xa784d30867563540627e1d7a6dcc22df1df8fb8"/>
    <w:p>
      <w:pPr>
        <w:pStyle w:val="Bibliography"/>
      </w:pPr>
      <w:r>
        <w:t xml:space="preserve">Ushio, Masayuki, Furukawa, Saori, Murakami, Hiroaki, Masuda, Reiji &amp; Nagano, Atsushi J. (2022) An efficient early-pooling protocol for environmental DNA metabarcoding.</w:t>
      </w:r>
      <w:r>
        <w:t xml:space="preserve"> </w:t>
      </w:r>
      <w:r>
        <w:rPr>
          <w:i/>
        </w:rPr>
        <w:t xml:space="preserve">Environmental DNA</w:t>
      </w:r>
      <w:r>
        <w:t xml:space="preserve"> </w:t>
      </w:r>
      <w:r>
        <w:t xml:space="preserve">4, 1212–1228.</w:t>
      </w:r>
      <w:r>
        <w:t xml:space="preserve"> </w:t>
      </w:r>
      <w:hyperlink r:id="rId146">
        <w:r>
          <w:rPr>
            <w:rStyle w:val="Hyperlink"/>
          </w:rPr>
          <w:t xml:space="preserve">https://doi.org/10.1002/edn3.337</w:t>
        </w:r>
      </w:hyperlink>
    </w:p>
    <w:bookmarkEnd w:id="147"/>
    <w:bookmarkStart w:id="149" w:name="Xb70268fb8d30bc36d7218049aa0a0593819a413"/>
    <w:p>
      <w:pPr>
        <w:pStyle w:val="Bibliography"/>
      </w:pPr>
      <w:r>
        <w:t xml:space="preserve">Ushio, Masayuki, Murakami, Hiroaki, Masuda, Reiji, Sado, Tetsuya, Miya, Masaki, Sakurai, Sho, Yamanaka, Hiroki, Minamoto, Toshifumi &amp; Kondoh, Michio (2018a) Quantitative monitoring of multispecies fish environmental DNA using high-throughput sequencing.</w:t>
      </w:r>
      <w:r>
        <w:t xml:space="preserve"> </w:t>
      </w:r>
      <w:r>
        <w:rPr>
          <w:i/>
        </w:rPr>
        <w:t xml:space="preserve">Metabarcoding and Metagenomics</w:t>
      </w:r>
      <w:r>
        <w:t xml:space="preserve"> </w:t>
      </w:r>
      <w:r>
        <w:t xml:space="preserve">2, e23297.</w:t>
      </w:r>
      <w:r>
        <w:t xml:space="preserve"> </w:t>
      </w:r>
      <w:hyperlink r:id="rId148">
        <w:r>
          <w:rPr>
            <w:rStyle w:val="Hyperlink"/>
          </w:rPr>
          <w:t xml:space="preserve">https://doi.org/10.3897/mbmg.2.23297</w:t>
        </w:r>
      </w:hyperlink>
    </w:p>
    <w:bookmarkEnd w:id="149"/>
    <w:bookmarkStart w:id="151" w:name="X825629c0fd5f4225af5d59edf6d209b5c564ef2"/>
    <w:p>
      <w:pPr>
        <w:pStyle w:val="Bibliography"/>
      </w:pPr>
      <w:r>
        <w:t xml:space="preserve">Ushio, Masayuki, Murata, Koichi, Sado, Tetsuya, Nishiumi, Isao, Takeshita, Masamichi, Iwasaki, Wataru &amp; Miya, Masaki (2018b) Demonstration of the potential of environmental DNA as a tool for the detection of avian species.</w:t>
      </w:r>
      <w:r>
        <w:t xml:space="preserve"> </w:t>
      </w:r>
      <w:r>
        <w:rPr>
          <w:i/>
        </w:rPr>
        <w:t xml:space="preserve">Scientific Reports</w:t>
      </w:r>
      <w:r>
        <w:t xml:space="preserve"> </w:t>
      </w:r>
      <w:r>
        <w:t xml:space="preserve">8, 4493.</w:t>
      </w:r>
      <w:r>
        <w:t xml:space="preserve"> </w:t>
      </w:r>
      <w:hyperlink r:id="rId150">
        <w:r>
          <w:rPr>
            <w:rStyle w:val="Hyperlink"/>
          </w:rPr>
          <w:t xml:space="preserve">https://doi.org/10.1038/s41598-018-22817-5</w:t>
        </w:r>
      </w:hyperlink>
    </w:p>
    <w:bookmarkEnd w:id="151"/>
    <w:bookmarkStart w:id="153" w:name="ref-Warton2015ManyVariablesJoint"/>
    <w:p>
      <w:pPr>
        <w:pStyle w:val="Bibliography"/>
      </w:pPr>
      <w:r>
        <w:t xml:space="preserve">Warton, David I., Blanchet, F. Guillaume, O’Hara, Robert B., Ovaskainen, Otso, Taskinen, Sara, Walker, Steven C. &amp; Hui, Francis K. C. (2015) So Many Variables: Joint Modeling in Community Ecology.</w:t>
      </w:r>
      <w:r>
        <w:t xml:space="preserve"> </w:t>
      </w:r>
      <w:r>
        <w:rPr>
          <w:i/>
        </w:rPr>
        <w:t xml:space="preserve">Trends in Ecology &amp; Evolution</w:t>
      </w:r>
      <w:r>
        <w:t xml:space="preserve"> </w:t>
      </w:r>
      <w:r>
        <w:t xml:space="preserve">30, 766–779.</w:t>
      </w:r>
      <w:r>
        <w:t xml:space="preserve"> </w:t>
      </w:r>
      <w:hyperlink r:id="rId152">
        <w:r>
          <w:rPr>
            <w:rStyle w:val="Hyperlink"/>
          </w:rPr>
          <w:t xml:space="preserve">https://doi.org/10.1016/j.tree.2015.09.007</w:t>
        </w:r>
      </w:hyperlink>
    </w:p>
    <w:bookmarkEnd w:id="153"/>
    <w:bookmarkStart w:id="155" w:name="ref-Wen2022ggClusterNetpackagemicrobiome"/>
    <w:p>
      <w:pPr>
        <w:pStyle w:val="Bibliography"/>
      </w:pPr>
      <w:r>
        <w:t xml:space="preserve">Wen, Tao, Xie, Penghao, Yang, Shengdie, Niu, Guoqing, Liu, Xiaoyu, Ding, Zhexu, Xue, Chao, Liu, Yong-Xin, Shen, Qirong &amp; Yuan, Jun (2022) ggClusterNet: An R package for microbiome network analysis and modularity-based multiple network layouts.</w:t>
      </w:r>
      <w:r>
        <w:t xml:space="preserve"> </w:t>
      </w:r>
      <w:r>
        <w:rPr>
          <w:i/>
        </w:rPr>
        <w:t xml:space="preserve">iMeta</w:t>
      </w:r>
      <w:r>
        <w:t xml:space="preserve"> </w:t>
      </w:r>
      <w:r>
        <w:t xml:space="preserve">1, e32.</w:t>
      </w:r>
      <w:r>
        <w:t xml:space="preserve"> </w:t>
      </w:r>
      <w:hyperlink r:id="rId154">
        <w:r>
          <w:rPr>
            <w:rStyle w:val="Hyperlink"/>
          </w:rPr>
          <w:t xml:space="preserve">https://doi.org/10.1002/imt2.32</w:t>
        </w:r>
      </w:hyperlink>
    </w:p>
    <w:bookmarkEnd w:id="155"/>
    <w:bookmarkStart w:id="157" w:name="X1f074db7003527090399b02c766a63d468281d4"/>
    <w:p>
      <w:pPr>
        <w:pStyle w:val="Bibliography"/>
      </w:pPr>
      <w:r>
        <w:t xml:space="preserve">Ye, Hao &amp; Sugihara, George (2016) Information leverage in interconnected ecosystems: Overcoming the curse of dimensionality.</w:t>
      </w:r>
      <w:r>
        <w:t xml:space="preserve"> </w:t>
      </w:r>
      <w:r>
        <w:rPr>
          <w:i/>
        </w:rPr>
        <w:t xml:space="preserve">Science</w:t>
      </w:r>
      <w:r>
        <w:t xml:space="preserve"> </w:t>
      </w:r>
      <w:r>
        <w:t xml:space="preserve">353, 922–925.</w:t>
      </w:r>
      <w:r>
        <w:t xml:space="preserve"> </w:t>
      </w:r>
      <w:hyperlink r:id="rId156">
        <w:r>
          <w:rPr>
            <w:rStyle w:val="Hyperlink"/>
          </w:rPr>
          <w:t xml:space="preserve">https://doi.org/10.1126/science.aag0863</w:t>
        </w:r>
      </w:hyperlink>
    </w:p>
    <w:bookmarkEnd w:id="157"/>
    <w:bookmarkStart w:id="159" w:name="ref-Zhu2023MitoFishMitoAnnotatorMiFish"/>
    <w:p>
      <w:pPr>
        <w:pStyle w:val="Bibliography"/>
      </w:pPr>
      <w:r>
        <w:t xml:space="preserve">Zhu, Tao, Sato, Yukuto, Sado, Tetsuya, Miya, Masaki &amp; Iwasaki, Wataru (2023) MitoFish, MitoAnnotator, and MiFish Pipeline: Updates in 10 Years.</w:t>
      </w:r>
      <w:r>
        <w:t xml:space="preserve"> </w:t>
      </w:r>
      <w:r>
        <w:rPr>
          <w:i/>
        </w:rPr>
        <w:t xml:space="preserve">Molecular Biology and Evolution</w:t>
      </w:r>
      <w:r>
        <w:t xml:space="preserve"> </w:t>
      </w:r>
      <w:r>
        <w:t xml:space="preserve">40, msad035.</w:t>
      </w:r>
      <w:r>
        <w:t xml:space="preserve"> </w:t>
      </w:r>
      <w:hyperlink r:id="rId158">
        <w:r>
          <w:rPr>
            <w:rStyle w:val="Hyperlink"/>
          </w:rPr>
          <w:t xml:space="preserve">https://doi.org/10.1093/molbev/msad035</w:t>
        </w:r>
      </w:hyperlink>
    </w:p>
    <w:bookmarkEnd w:id="159"/>
    <w:bookmarkStart w:id="161" w:name="X3fa7bd9d1e1cd3d5768c0028a5675af621ae7eb"/>
    <w:p>
      <w:pPr>
        <w:pStyle w:val="Bibliography"/>
      </w:pPr>
      <w:r>
        <w:t xml:space="preserve">土居秀幸 ・ 岡村寛 (2011) 生物群集解析のための類似度とその応用: Rを使った類似度の算出、グラフ化、検定. 日本生態学会誌 61, 3–20.</w:t>
      </w:r>
      <w:r>
        <w:t xml:space="preserve"> </w:t>
      </w:r>
      <w:hyperlink r:id="rId160">
        <w:r>
          <w:rPr>
            <w:rStyle w:val="Hyperlink"/>
          </w:rPr>
          <w:t xml:space="preserve">https://doi.org/10.18960/seitai.61.1_3</w:t>
        </w:r>
      </w:hyperlink>
    </w:p>
    <w:bookmarkEnd w:id="161"/>
    <w:bookmarkStart w:id="163" w:name="X536189f8a8958aa476ad4eb3e46e43a80bf2db2"/>
    <w:p>
      <w:pPr>
        <w:pStyle w:val="Bibliography"/>
      </w:pPr>
      <w:r>
        <w:t xml:space="preserve">門脇浩明 (2016) メタゲノムデータを用いた群集統計解析法：レアファクションから仮説検定まで. 日本生態学会第63回大会講演資料.</w:t>
      </w:r>
      <w:r>
        <w:t xml:space="preserve"> </w:t>
      </w:r>
      <w:hyperlink r:id="rId162">
        <w:r>
          <w:rPr>
            <w:rStyle w:val="Hyperlink"/>
          </w:rPr>
          <w:t xml:space="preserve">https://www.fifthdimension.jp/wiki.cgi?page=%BC%AB%CD%B3%BD%B8%B2%F12016%A1%A7%A5%E1%A5%BF%A5%D0%A1%BC%A5%B3%A1%BC%A5%C7%A5%A3%A5%F3%A5%B0%A1%A6%B4%C4%B6%ADDNA%A5%D0%A1%BC%A5%B3%A1%BC%A5%C7%A5%A3%A5%F3%A5%B0%B2%F2%C0%CF%A4%CE%B5%BB%CB%A1</w:t>
        </w:r>
      </w:hyperlink>
    </w:p>
    <w:bookmarkEnd w:id="163"/>
    <w:bookmarkEnd w:id="1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rew.sh/" TargetMode="External" /><Relationship Type="http://schemas.openxmlformats.org/officeDocument/2006/relationships/hyperlink" Id="rId78" Target="https://cran.r-project.org/web/packages/boral/" TargetMode="External" /><Relationship Type="http://schemas.openxmlformats.org/officeDocument/2006/relationships/hyperlink" Id="rId77" Target="https://cran.r-project.org/web/packages/mpmcorrelogram/" TargetMode="External" /><Relationship Type="http://schemas.openxmlformats.org/officeDocument/2006/relationships/hyperlink" Id="rId72" Target="https://cran.r-project.org/web/packages/picante/" TargetMode="External" /><Relationship Type="http://schemas.openxmlformats.org/officeDocument/2006/relationships/hyperlink" Id="rId113" Target="https://doi.org/10.1002/1438-390X.12158" TargetMode="External" /><Relationship Type="http://schemas.openxmlformats.org/officeDocument/2006/relationships/hyperlink" Id="rId94" Target="https://doi.org/10.1002/ecm.1588" TargetMode="External" /><Relationship Type="http://schemas.openxmlformats.org/officeDocument/2006/relationships/hyperlink" Id="rId146" Target="https://doi.org/10.1002/edn3.337" TargetMode="External" /><Relationship Type="http://schemas.openxmlformats.org/officeDocument/2006/relationships/hyperlink" Id="rId154" Target="https://doi.org/10.1002/imt2.32" TargetMode="External" /><Relationship Type="http://schemas.openxmlformats.org/officeDocument/2006/relationships/hyperlink" Id="rId138" Target="https://doi.org/10.1007/s10201-022-00710-5" TargetMode="External" /><Relationship Type="http://schemas.openxmlformats.org/officeDocument/2006/relationships/hyperlink" Id="rId121" Target="https://doi.org/10.1007/s12562-020-01461-x" TargetMode="External" /><Relationship Type="http://schemas.openxmlformats.org/officeDocument/2006/relationships/hyperlink" Id="rId152" Target="https://doi.org/10.1016/j.tree.2015.09.007" TargetMode="External" /><Relationship Type="http://schemas.openxmlformats.org/officeDocument/2006/relationships/hyperlink" Id="rId88" Target="https://doi.org/10.1038/nmeth.3869" TargetMode="External" /><Relationship Type="http://schemas.openxmlformats.org/officeDocument/2006/relationships/hyperlink" Id="rId150" Target="https://doi.org/10.1038/s41598-018-22817-5" TargetMode="External" /><Relationship Type="http://schemas.openxmlformats.org/officeDocument/2006/relationships/hyperlink" Id="rId128" Target="https://doi.org/10.1093/bib/bbaa290" TargetMode="External" /><Relationship Type="http://schemas.openxmlformats.org/officeDocument/2006/relationships/hyperlink" Id="rId115" Target="https://doi.org/10.1093/bioinformatics/btq166" TargetMode="External" /><Relationship Type="http://schemas.openxmlformats.org/officeDocument/2006/relationships/hyperlink" Id="rId98" Target="https://doi.org/10.1093/bioinformatics/btq461" TargetMode="External" /><Relationship Type="http://schemas.openxmlformats.org/officeDocument/2006/relationships/hyperlink" Id="rId103" Target="https://doi.org/10.1093/bioinformatics/btr381" TargetMode="External" /><Relationship Type="http://schemas.openxmlformats.org/officeDocument/2006/relationships/hyperlink" Id="rId101" Target="https://doi.org/10.1093/bioinformatics/btv401" TargetMode="External" /><Relationship Type="http://schemas.openxmlformats.org/officeDocument/2006/relationships/hyperlink" Id="rId158" Target="https://doi.org/10.1093/molbev/msad035" TargetMode="External" /><Relationship Type="http://schemas.openxmlformats.org/officeDocument/2006/relationships/hyperlink" Id="rId136" Target="https://doi.org/10.1093/molbev/msy074" TargetMode="External" /><Relationship Type="http://schemas.openxmlformats.org/officeDocument/2006/relationships/hyperlink" Id="rId105" Target="https://doi.org/10.1093/nar/gkv107" TargetMode="External" /><Relationship Type="http://schemas.openxmlformats.org/officeDocument/2006/relationships/hyperlink" Id="rId123" Target="https://doi.org/10.1098/rsos.150088" TargetMode="External" /><Relationship Type="http://schemas.openxmlformats.org/officeDocument/2006/relationships/hyperlink" Id="rId111" Target="https://doi.org/10.1101/gr.5969107" TargetMode="External" /><Relationship Type="http://schemas.openxmlformats.org/officeDocument/2006/relationships/hyperlink" Id="rId144" Target="https://doi.org/10.1111/1755-0998.12690" TargetMode="External" /><Relationship Type="http://schemas.openxmlformats.org/officeDocument/2006/relationships/hyperlink" Id="rId109" Target="https://doi.org/10.1111/2041-210X.12514" TargetMode="External" /><Relationship Type="http://schemas.openxmlformats.org/officeDocument/2006/relationships/hyperlink" Id="rId107" Target="https://doi.org/10.1111/2041-210X.12613" TargetMode="External" /><Relationship Type="http://schemas.openxmlformats.org/officeDocument/2006/relationships/hyperlink" Id="rId125" Target="https://doi.org/10.1111/2041-210X.13303" TargetMode="External" /><Relationship Type="http://schemas.openxmlformats.org/officeDocument/2006/relationships/hyperlink" Id="rId142" Target="https://doi.org/10.1111/2041-210X.13345" TargetMode="External" /><Relationship Type="http://schemas.openxmlformats.org/officeDocument/2006/relationships/hyperlink" Id="rId156" Target="https://doi.org/10.1126/science.aag0863" TargetMode="External" /><Relationship Type="http://schemas.openxmlformats.org/officeDocument/2006/relationships/hyperlink" Id="rId119" Target="https://doi.org/10.1371/journal.pcbi.1004226" TargetMode="External" /><Relationship Type="http://schemas.openxmlformats.org/officeDocument/2006/relationships/hyperlink" Id="rId140" Target="https://doi.org/10.1371/journal.pone.0076910" TargetMode="External" /><Relationship Type="http://schemas.openxmlformats.org/officeDocument/2006/relationships/hyperlink" Id="rId92" Target="https://doi.org/10.1890/11-1952.1" TargetMode="External" /><Relationship Type="http://schemas.openxmlformats.org/officeDocument/2006/relationships/hyperlink" Id="rId90" Target="https://doi.org/10.1890/13-0133.1" TargetMode="External" /><Relationship Type="http://schemas.openxmlformats.org/officeDocument/2006/relationships/hyperlink" Id="rId160" Target="https://doi.org/10.18960/seitai.61.1_3" TargetMode="External" /><Relationship Type="http://schemas.openxmlformats.org/officeDocument/2006/relationships/hyperlink" Id="rId148" Target="https://doi.org/10.3897/mbmg.2.23297" TargetMode="External" /><Relationship Type="http://schemas.openxmlformats.org/officeDocument/2006/relationships/hyperlink" Id="rId117" Target="https://doi.org/10.3897/mbmg.3.33835" TargetMode="External" /><Relationship Type="http://schemas.openxmlformats.org/officeDocument/2006/relationships/hyperlink" Id="rId134" Target="https://doi.org/10.3897/mbmg.6.76534" TargetMode="External" /><Relationship Type="http://schemas.openxmlformats.org/officeDocument/2006/relationships/hyperlink" Id="rId96" Target="https://doi.org/10.7717/peerj.1634" TargetMode="External" /><Relationship Type="http://schemas.openxmlformats.org/officeDocument/2006/relationships/hyperlink" Id="rId132" Target="https://doi.org/10.7717/peerj.2584" TargetMode="External" /><Relationship Type="http://schemas.openxmlformats.org/officeDocument/2006/relationships/hyperlink" Id="rId82" Target="https://ecology.ghislainv.fr/jSDM/" TargetMode="External" /><Relationship Type="http://schemas.openxmlformats.org/officeDocument/2006/relationships/hyperlink" Id="rId79" Target="https://github.com/JenniNiku/gllvm" TargetMode="External" /><Relationship Type="http://schemas.openxmlformats.org/officeDocument/2006/relationships/hyperlink" Id="rId71" Target="https://github.com/JohnsonHsieh/iNEXT" TargetMode="External" /><Relationship Type="http://schemas.openxmlformats.org/officeDocument/2006/relationships/hyperlink" Id="rId74" Target="https://github.com/KaiHsiangHu/iNEXT.beta3D" TargetMode="External" /><Relationship Type="http://schemas.openxmlformats.org/officeDocument/2006/relationships/hyperlink" Id="rId73" Target="https://github.com/Russel88/MicEco" TargetMode="External" /><Relationship Type="http://schemas.openxmlformats.org/officeDocument/2006/relationships/hyperlink" Id="rId28" Target="https://github.com/astanabe/NexteraStyleIndexPrimers" TargetMode="External" /><Relationship Type="http://schemas.openxmlformats.org/officeDocument/2006/relationships/hyperlink" Id="rId27"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5" Target="https://github.com/biometry/bipartite" TargetMode="External" /><Relationship Type="http://schemas.openxmlformats.org/officeDocument/2006/relationships/hyperlink" Id="rId83" Target="https://github.com/hmsc-r/HMSC" TargetMode="External" /><Relationship Type="http://schemas.openxmlformats.org/officeDocument/2006/relationships/hyperlink" Id="rId76" Target="https://github.com/shimo-lab/pvclust" TargetMode="External" /><Relationship Type="http://schemas.openxmlformats.org/officeDocument/2006/relationships/hyperlink" Id="rId85" Target="https://github.com/stefpeschel/NetCoMi" TargetMode="External" /><Relationship Type="http://schemas.openxmlformats.org/officeDocument/2006/relationships/hyperlink" Id="rId86" Target="https://github.com/taowenmicro/ggClusterNet" TargetMode="External" /><Relationship Type="http://schemas.openxmlformats.org/officeDocument/2006/relationships/hyperlink" Id="rId70" Target="https://github.com/vegandevs/vegan" TargetMode="External" /><Relationship Type="http://schemas.openxmlformats.org/officeDocument/2006/relationships/hyperlink" Id="rId81" Target="https://github.com/yutakaos/rUIC" TargetMode="External" /><Relationship Type="http://schemas.openxmlformats.org/officeDocument/2006/relationships/hyperlink" Id="rId84" Target="https://github.com/zdk123/SpiecEasi" TargetMode="External" /><Relationship Type="http://schemas.openxmlformats.org/officeDocument/2006/relationships/hyperlink" Id="rId80" Target="https://ha0ye.github.io/rEDM/" TargetMode="External" /><Relationship Type="http://schemas.openxmlformats.org/officeDocument/2006/relationships/hyperlink" Id="rId40"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0" Target="https://www.R-project.org" TargetMode="External" /><Relationship Type="http://schemas.openxmlformats.org/officeDocument/2006/relationships/hyperlink" Id="rId22" Target="https://www.claident.org/" TargetMode="External" /><Relationship Type="http://schemas.openxmlformats.org/officeDocument/2006/relationships/hyperlink" Id="rId162" Target="https://www.fifthdimension.jp/wiki.cgi?page=%BC%AB%CD%B3%BD%B8%B2%F12016%A1%A7%A5%E1%A5%BF%A5%D0%A1%BC%A5%B3%A1%BC%A5%C7%A5%A3%A5%F3%A5%B0%A1%A6%B4%C4%B6%ADDNA%A5%D0%A1%BC%A5%B3%A1%BC%A5%C7%A5%A3%A5%F3%A5%B0%B2%F2%C0%CF%A4%CE%B5%BB%CB%A1" TargetMode="External" /></Relationships>
</file>

<file path=word/_rels/footnotes.xml.rels><?xml version="1.0" encoding="UTF-8"?>
<Relationships xmlns="http://schemas.openxmlformats.org/package/2006/relationships"><Relationship Type="http://schemas.openxmlformats.org/officeDocument/2006/relationships/hyperlink" Id="rId25" Target="https://brew.sh/" TargetMode="External" /><Relationship Type="http://schemas.openxmlformats.org/officeDocument/2006/relationships/hyperlink" Id="rId78" Target="https://cran.r-project.org/web/packages/boral/" TargetMode="External" /><Relationship Type="http://schemas.openxmlformats.org/officeDocument/2006/relationships/hyperlink" Id="rId77" Target="https://cran.r-project.org/web/packages/mpmcorrelogram/" TargetMode="External" /><Relationship Type="http://schemas.openxmlformats.org/officeDocument/2006/relationships/hyperlink" Id="rId72" Target="https://cran.r-project.org/web/packages/picante/" TargetMode="External" /><Relationship Type="http://schemas.openxmlformats.org/officeDocument/2006/relationships/hyperlink" Id="rId113" Target="https://doi.org/10.1002/1438-390X.12158" TargetMode="External" /><Relationship Type="http://schemas.openxmlformats.org/officeDocument/2006/relationships/hyperlink" Id="rId94" Target="https://doi.org/10.1002/ecm.1588" TargetMode="External" /><Relationship Type="http://schemas.openxmlformats.org/officeDocument/2006/relationships/hyperlink" Id="rId146" Target="https://doi.org/10.1002/edn3.337" TargetMode="External" /><Relationship Type="http://schemas.openxmlformats.org/officeDocument/2006/relationships/hyperlink" Id="rId154" Target="https://doi.org/10.1002/imt2.32" TargetMode="External" /><Relationship Type="http://schemas.openxmlformats.org/officeDocument/2006/relationships/hyperlink" Id="rId138" Target="https://doi.org/10.1007/s10201-022-00710-5" TargetMode="External" /><Relationship Type="http://schemas.openxmlformats.org/officeDocument/2006/relationships/hyperlink" Id="rId121" Target="https://doi.org/10.1007/s12562-020-01461-x" TargetMode="External" /><Relationship Type="http://schemas.openxmlformats.org/officeDocument/2006/relationships/hyperlink" Id="rId152" Target="https://doi.org/10.1016/j.tree.2015.09.007" TargetMode="External" /><Relationship Type="http://schemas.openxmlformats.org/officeDocument/2006/relationships/hyperlink" Id="rId88" Target="https://doi.org/10.1038/nmeth.3869" TargetMode="External" /><Relationship Type="http://schemas.openxmlformats.org/officeDocument/2006/relationships/hyperlink" Id="rId150" Target="https://doi.org/10.1038/s41598-018-22817-5" TargetMode="External" /><Relationship Type="http://schemas.openxmlformats.org/officeDocument/2006/relationships/hyperlink" Id="rId128" Target="https://doi.org/10.1093/bib/bbaa290" TargetMode="External" /><Relationship Type="http://schemas.openxmlformats.org/officeDocument/2006/relationships/hyperlink" Id="rId115" Target="https://doi.org/10.1093/bioinformatics/btq166" TargetMode="External" /><Relationship Type="http://schemas.openxmlformats.org/officeDocument/2006/relationships/hyperlink" Id="rId98" Target="https://doi.org/10.1093/bioinformatics/btq461" TargetMode="External" /><Relationship Type="http://schemas.openxmlformats.org/officeDocument/2006/relationships/hyperlink" Id="rId103" Target="https://doi.org/10.1093/bioinformatics/btr381" TargetMode="External" /><Relationship Type="http://schemas.openxmlformats.org/officeDocument/2006/relationships/hyperlink" Id="rId101" Target="https://doi.org/10.1093/bioinformatics/btv401" TargetMode="External" /><Relationship Type="http://schemas.openxmlformats.org/officeDocument/2006/relationships/hyperlink" Id="rId158" Target="https://doi.org/10.1093/molbev/msad035" TargetMode="External" /><Relationship Type="http://schemas.openxmlformats.org/officeDocument/2006/relationships/hyperlink" Id="rId136" Target="https://doi.org/10.1093/molbev/msy074" TargetMode="External" /><Relationship Type="http://schemas.openxmlformats.org/officeDocument/2006/relationships/hyperlink" Id="rId105" Target="https://doi.org/10.1093/nar/gkv107" TargetMode="External" /><Relationship Type="http://schemas.openxmlformats.org/officeDocument/2006/relationships/hyperlink" Id="rId123" Target="https://doi.org/10.1098/rsos.150088" TargetMode="External" /><Relationship Type="http://schemas.openxmlformats.org/officeDocument/2006/relationships/hyperlink" Id="rId111" Target="https://doi.org/10.1101/gr.5969107" TargetMode="External" /><Relationship Type="http://schemas.openxmlformats.org/officeDocument/2006/relationships/hyperlink" Id="rId144" Target="https://doi.org/10.1111/1755-0998.12690" TargetMode="External" /><Relationship Type="http://schemas.openxmlformats.org/officeDocument/2006/relationships/hyperlink" Id="rId109" Target="https://doi.org/10.1111/2041-210X.12514" TargetMode="External" /><Relationship Type="http://schemas.openxmlformats.org/officeDocument/2006/relationships/hyperlink" Id="rId107" Target="https://doi.org/10.1111/2041-210X.12613" TargetMode="External" /><Relationship Type="http://schemas.openxmlformats.org/officeDocument/2006/relationships/hyperlink" Id="rId125" Target="https://doi.org/10.1111/2041-210X.13303" TargetMode="External" /><Relationship Type="http://schemas.openxmlformats.org/officeDocument/2006/relationships/hyperlink" Id="rId142" Target="https://doi.org/10.1111/2041-210X.13345" TargetMode="External" /><Relationship Type="http://schemas.openxmlformats.org/officeDocument/2006/relationships/hyperlink" Id="rId156" Target="https://doi.org/10.1126/science.aag0863" TargetMode="External" /><Relationship Type="http://schemas.openxmlformats.org/officeDocument/2006/relationships/hyperlink" Id="rId119" Target="https://doi.org/10.1371/journal.pcbi.1004226" TargetMode="External" /><Relationship Type="http://schemas.openxmlformats.org/officeDocument/2006/relationships/hyperlink" Id="rId140" Target="https://doi.org/10.1371/journal.pone.0076910" TargetMode="External" /><Relationship Type="http://schemas.openxmlformats.org/officeDocument/2006/relationships/hyperlink" Id="rId92" Target="https://doi.org/10.1890/11-1952.1" TargetMode="External" /><Relationship Type="http://schemas.openxmlformats.org/officeDocument/2006/relationships/hyperlink" Id="rId90" Target="https://doi.org/10.1890/13-0133.1" TargetMode="External" /><Relationship Type="http://schemas.openxmlformats.org/officeDocument/2006/relationships/hyperlink" Id="rId160" Target="https://doi.org/10.18960/seitai.61.1_3" TargetMode="External" /><Relationship Type="http://schemas.openxmlformats.org/officeDocument/2006/relationships/hyperlink" Id="rId148" Target="https://doi.org/10.3897/mbmg.2.23297" TargetMode="External" /><Relationship Type="http://schemas.openxmlformats.org/officeDocument/2006/relationships/hyperlink" Id="rId117" Target="https://doi.org/10.3897/mbmg.3.33835" TargetMode="External" /><Relationship Type="http://schemas.openxmlformats.org/officeDocument/2006/relationships/hyperlink" Id="rId134" Target="https://doi.org/10.3897/mbmg.6.76534" TargetMode="External" /><Relationship Type="http://schemas.openxmlformats.org/officeDocument/2006/relationships/hyperlink" Id="rId96" Target="https://doi.org/10.7717/peerj.1634" TargetMode="External" /><Relationship Type="http://schemas.openxmlformats.org/officeDocument/2006/relationships/hyperlink" Id="rId132" Target="https://doi.org/10.7717/peerj.2584" TargetMode="External" /><Relationship Type="http://schemas.openxmlformats.org/officeDocument/2006/relationships/hyperlink" Id="rId82" Target="https://ecology.ghislainv.fr/jSDM/" TargetMode="External" /><Relationship Type="http://schemas.openxmlformats.org/officeDocument/2006/relationships/hyperlink" Id="rId79" Target="https://github.com/JenniNiku/gllvm" TargetMode="External" /><Relationship Type="http://schemas.openxmlformats.org/officeDocument/2006/relationships/hyperlink" Id="rId71" Target="https://github.com/JohnsonHsieh/iNEXT" TargetMode="External" /><Relationship Type="http://schemas.openxmlformats.org/officeDocument/2006/relationships/hyperlink" Id="rId74" Target="https://github.com/KaiHsiangHu/iNEXT.beta3D" TargetMode="External" /><Relationship Type="http://schemas.openxmlformats.org/officeDocument/2006/relationships/hyperlink" Id="rId73" Target="https://github.com/Russel88/MicEco" TargetMode="External" /><Relationship Type="http://schemas.openxmlformats.org/officeDocument/2006/relationships/hyperlink" Id="rId28" Target="https://github.com/astanabe/NexteraStyleIndexPrimers" TargetMode="External" /><Relationship Type="http://schemas.openxmlformats.org/officeDocument/2006/relationships/hyperlink" Id="rId27"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5" Target="https://github.com/biometry/bipartite" TargetMode="External" /><Relationship Type="http://schemas.openxmlformats.org/officeDocument/2006/relationships/hyperlink" Id="rId83" Target="https://github.com/hmsc-r/HMSC" TargetMode="External" /><Relationship Type="http://schemas.openxmlformats.org/officeDocument/2006/relationships/hyperlink" Id="rId76" Target="https://github.com/shimo-lab/pvclust" TargetMode="External" /><Relationship Type="http://schemas.openxmlformats.org/officeDocument/2006/relationships/hyperlink" Id="rId85" Target="https://github.com/stefpeschel/NetCoMi" TargetMode="External" /><Relationship Type="http://schemas.openxmlformats.org/officeDocument/2006/relationships/hyperlink" Id="rId86" Target="https://github.com/taowenmicro/ggClusterNet" TargetMode="External" /><Relationship Type="http://schemas.openxmlformats.org/officeDocument/2006/relationships/hyperlink" Id="rId70" Target="https://github.com/vegandevs/vegan" TargetMode="External" /><Relationship Type="http://schemas.openxmlformats.org/officeDocument/2006/relationships/hyperlink" Id="rId81" Target="https://github.com/yutakaos/rUIC" TargetMode="External" /><Relationship Type="http://schemas.openxmlformats.org/officeDocument/2006/relationships/hyperlink" Id="rId84" Target="https://github.com/zdk123/SpiecEasi" TargetMode="External" /><Relationship Type="http://schemas.openxmlformats.org/officeDocument/2006/relationships/hyperlink" Id="rId80" Target="https://ha0ye.github.io/rEDM/" TargetMode="External" /><Relationship Type="http://schemas.openxmlformats.org/officeDocument/2006/relationships/hyperlink" Id="rId40"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0" Target="https://www.R-project.org" TargetMode="External" /><Relationship Type="http://schemas.openxmlformats.org/officeDocument/2006/relationships/hyperlink" Id="rId22" Target="https://www.claident.org/" TargetMode="External" /><Relationship Type="http://schemas.openxmlformats.org/officeDocument/2006/relationships/hyperlink" Id="rId162" Target="https://www.fifthdimension.jp/wiki.cgi?page=%BC%AB%CD%B3%BD%B8%B2%F12016%A1%A7%A5%E1%A5%BF%A5%D0%A1%BC%A5%B3%A1%BC%A5%C7%A5%A3%A5%F3%A5%B0%A1%A6%B4%C4%B6%ADDNA%A5%D0%A1%BC%A5%B3%A1%BC%A5%C7%A5%A3%A5%F3%A5%B0%B2%F2%C0%CF%A4%CE%B5%BB%CB%A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2024-02-11T00:16:16Z</dcterms:created>
  <dcterms:modified xsi:type="dcterms:W3CDTF">2024-02-11T00:16:16Z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metabarcodinganalysiswithClaident.yaml</vt:lpwstr>
  </property>
  <property fmtid="{D5CDD505-2E9C-101B-9397-08002B2CF9AE}" pid="3" name="classoption">
    <vt:lpwstr>pandoc</vt:lpwstr>
  </property>
  <property fmtid="{D5CDD505-2E9C-101B-9397-08002B2CF9AE}" pid="4" name="csl">
    <vt:lpwstr>citationstyle.csl</vt:lpwstr>
  </property>
  <property fmtid="{D5CDD505-2E9C-101B-9397-08002B2CF9AE}" pid="5" name="date">
    <vt:lpwstr>2024-02-07</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