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Extending Home Healthcare Agency Quality Rating Research: A Path Forward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DSC Consulting has a specialized group within their data consultancy firm that specializes in the healthcare sector, and outlined below is a comprehensive plan to support ABC Health Insurance in your journey toward data-driven healthcare transformation. Leveraging our expertise in advanced analytics and healthcare domain knowledge, we aim to empower ABC Health Insurance with data-driven insights to enhance patient care, optimize operations, and achieve better business outcomes. This project will not only bolster ABC Health Insurance’s competitive edge but also reinforce its commitment to delivering high-quality and cost-effective healthcare services. As such, we are proposing the following directions for future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Multivariate Analysis of Influencing Variables:</w:t>
      </w:r>
    </w:p>
    <w:p w:rsidR="00000000" w:rsidDel="00000000" w:rsidP="00000000" w:rsidRDefault="00000000" w:rsidRPr="00000000" w14:paraId="00000006">
      <w:pPr>
        <w:rPr/>
      </w:pPr>
      <w:r w:rsidDel="00000000" w:rsidR="00000000" w:rsidRPr="00000000">
        <w:rPr>
          <w:rtl w:val="0"/>
        </w:rPr>
        <w:t xml:space="preserve">While our initial investigation has shed light on the variables influencing quality ratings, a more comprehensive multivariate analysis could unravel complex interdependencies. By employing advanced statistical techniques, we can discern the relative importance and interaction of variables such as patient demographics, staffing ratios, geographical location, and socioeconomic factors. This would empower us to construct a nuanced framework for predicting and enhancing quality ratings.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Dynamic Analysis of Performance Metrics:</w:t>
      </w:r>
    </w:p>
    <w:p w:rsidR="00000000" w:rsidDel="00000000" w:rsidP="00000000" w:rsidRDefault="00000000" w:rsidRPr="00000000" w14:paraId="00000009">
      <w:pPr>
        <w:rPr/>
      </w:pPr>
      <w:r w:rsidDel="00000000" w:rsidR="00000000" w:rsidRPr="00000000">
        <w:rPr>
          <w:rtl w:val="0"/>
        </w:rPr>
        <w:t xml:space="preserve">Expanding on our inquiry into the correlation between Preventable Potential Readmission (PPR) and Discharge to Communities (DTC) rates with quality ratings, a dynamic assessment could uncover temporal trends and patterns. By examining these metrics longitudinally, we could discern how changes in PPR and DTC rates influence quality ratings over time, allowing us to offer predictive insights into future quality improvements.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Temporal Shifts in Influencing Factors:</w:t>
      </w:r>
    </w:p>
    <w:p w:rsidR="00000000" w:rsidDel="00000000" w:rsidP="00000000" w:rsidRDefault="00000000" w:rsidRPr="00000000" w14:paraId="0000000C">
      <w:pPr>
        <w:rPr/>
      </w:pPr>
      <w:r w:rsidDel="00000000" w:rsidR="00000000" w:rsidRPr="00000000">
        <w:rPr>
          <w:rtl w:val="0"/>
        </w:rPr>
        <w:t xml:space="preserve">A dynamic analysis from 2015 to 2022 offers an invaluable opportunity to trace the evolution of influencing factors on quality ratings. By comparing the relative impact of variables across these years, we can identify emerging trends, pivotal events, and transformative practices that have shaped the landscape of home healthcare quality. Such insights could guide agencies in adapting to evolving demands effectively.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Patient-Centric Care and Risk Management:</w:t>
      </w:r>
    </w:p>
    <w:p w:rsidR="00000000" w:rsidDel="00000000" w:rsidP="00000000" w:rsidRDefault="00000000" w:rsidRPr="00000000" w14:paraId="0000000F">
      <w:pPr>
        <w:rPr/>
      </w:pPr>
      <w:r w:rsidDel="00000000" w:rsidR="00000000" w:rsidRPr="00000000">
        <w:rPr>
          <w:rtl w:val="0"/>
        </w:rPr>
        <w:t xml:space="preserve">To comprehensively explore the influence of risk management practices on patient outcomes, we could delve deeper into the question of "How frequently do home health care agencies assess and address the risk of falling among their patients?" By analyzing patient fall rates and the effectiveness of corresponding interventions, we can discern the intricate relationship between risk management protocols and quality ratings.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undertaking the proposed future work, ABC Health Insurance will gain several key benefits that can significantly impact their business and the healthcare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Enhanced Predictive Capabilities: Through multivariate analysis, ABC Health Insurance will gain a deeper understanding of the interplay between various factors influencing quality ratings. This predictive capability will empower the company to identify high-risk agencies, anticipate potential quality issues, and proactively intervene to improve patient outcomes and reduce preventable readmissions. As a result, ABC Health Insurance can optimize its network of home healthcare agencies, ensuring that policyholders receive the highest standard of care.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Data-Driven Quality Improvement: Dynamic analysis of performance metrics will allow ABC Health Insurance to monitor trends over time, enabling them to assess the effectiveness of their interventions and improvement initiatives. This data-driven approach to quality improvement will foster evidence-based decision-making, leading to more efficient resource allocation and targeted interventions that drive measurable enhancements in care quality and patient satisfaction.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Strategic Service Optimization: By examining the relationship between the range of services offered and quality ratings, ABC Health Insurance can identify the most impactful service offerings on patient outcomes. This knowledge will enable them to guide agencies in optimizing their service portfolios to align with patient needs, potentially reducing unnecessary costs while improving care quality and health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Informed Policy and Regulation: A comprehensive analysis of ownership types, specialization trends, and geographic quality variations will provide ABC Health Insurance with valuable insights into industry dynamics. This understanding will inform the development of evidence-based policies and regulations that foster innovation, quality, and patient safety within the home healthcare sector.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Long-term Performance Monitoring: By examining the temporal shifts in influencing factors over the years, ABC Health Insurance can establish benchmarks for long-term performance monitoring. This approach ensures continuous quality improvement, with a focus on adapting to changing healthcare demands and addressing emerging challenges.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Patient Safety and Risk Management: Through an in-depth examination of risk management practices, ABC Health Insurance can promote patient safety by guiding agencies in adopting best practices to prevent falls and other avoidable incidents. This focus on risk management will ultimately contribute to higher-quality care and patient satisfaction.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Strategic Network Planning: A geographical analysis of home healthcare agencies and state-level quality ratings will provide ABC Health Insurance with a comprehensive view of regional healthcare disparities. Armed with this knowledge, the company can strategically plan network expansion, targeting underserved areas and fostering equitable access to high-quality home healthcare services.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future work for ABC Health Insurance entails actionable deliverables including comprehensive reports, analyses, and insights. Key components consist of a detailed multivariate analysis report showcasing influential variables on quality ratings, aided by statistical summaries, correlation matrices, and regression analyses. A dynamic analysis report examines temporal trends of PPR and DTC rates in relation to quality ratings, offering insights and predictive guidance. Additionally, an analysis categorizes agencies based on services, benchmarking quality ratings and highlighting service impact. A consolidated interactive dashboard and executive summary will provide actionable recommendations for strategic planning, network optimization, and quality improvement.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order for us to undergo this proposed project, the following resources and rough estimate of cost will be required:</w:t>
      </w:r>
    </w:p>
    <w:p w:rsidR="00000000" w:rsidDel="00000000" w:rsidP="00000000" w:rsidRDefault="00000000" w:rsidRPr="00000000" w14:paraId="00000024">
      <w:pPr>
        <w:widowControl w:val="0"/>
        <w:rPr/>
      </w:pPr>
      <w:r w:rsidDel="00000000" w:rsidR="00000000" w:rsidRPr="00000000">
        <w:rPr>
          <w:rtl w:val="0"/>
        </w:rPr>
      </w:r>
    </w:p>
    <w:tbl>
      <w:tblPr>
        <w:tblStyle w:val="Table1"/>
        <w:tblW w:w="10650.0" w:type="dxa"/>
        <w:jc w:val="left"/>
        <w:tblInd w:w="-5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70"/>
        <w:gridCol w:w="705"/>
        <w:gridCol w:w="5325"/>
        <w:gridCol w:w="2250"/>
        <w:tblGridChange w:id="0">
          <w:tblGrid>
            <w:gridCol w:w="2370"/>
            <w:gridCol w:w="705"/>
            <w:gridCol w:w="5325"/>
            <w:gridCol w:w="2250"/>
          </w:tblGrid>
        </w:tblGridChange>
      </w:tblGrid>
      <w:tr>
        <w:trPr>
          <w:cantSplit w:val="0"/>
          <w:trHeight w:val="620" w:hRule="atLeast"/>
          <w:tblHeader w:val="0"/>
        </w:trPr>
        <w:tc>
          <w:tcPr>
            <w:shd w:fill="a5b7c5" w:val="clea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Resource</w:t>
            </w:r>
          </w:p>
        </w:tc>
        <w:tc>
          <w:tcPr>
            <w:shd w:fill="a5b7c5" w:val="clea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Qty</w:t>
            </w:r>
          </w:p>
        </w:tc>
        <w:tc>
          <w:tcPr>
            <w:shd w:fill="a5b7c5" w:val="clea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Responsibilities</w:t>
            </w:r>
          </w:p>
        </w:tc>
        <w:tc>
          <w:tcPr>
            <w:shd w:fill="a5b7c5" w:val="clea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ind w:right="0"/>
              <w:rPr>
                <w:b w:val="1"/>
              </w:rPr>
            </w:pPr>
            <w:r w:rsidDel="00000000" w:rsidR="00000000" w:rsidRPr="00000000">
              <w:rPr>
                <w:b w:val="1"/>
                <w:rtl w:val="0"/>
              </w:rPr>
              <w:t xml:space="preserve">Total Cost</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Data Scientist</w:t>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Data Preprocessing, Feature Engineering, Model Development &amp; Evaluation, Deployment</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$60,000-$100,000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Data Analysts</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Data Exploration, cleaning, visualizations</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$15,000-$25,000</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Data Engineers</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Data integration, preparation, deployment</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$10,000-$20,000</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Domain Experts</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Insights, relevance of features</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$10,000-$15,000</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Project Manager</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Oversee Project</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$10,000-$15,000</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Softwares &amp; Tools</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rPr>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For modeling, visualization, data analysis</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$5,000-$10,000</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project can be completed within a timeframe of approximately 12-16 weeks with an approximate cost of $110,000 to $175,000, depending on data availability, complexity, and model development. The cost of the project will depend on the complexity of the predictive model, the size of the dataset, and the additional resources required. This is just a rough estimate of the breakdown of the cost. We might have additional tools or resources along the way. My whole team will work closely with you to understand the project’s specific tasks and specific deliverables, and then a detailed cost estimate will be provided after scoping the project in more detail.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conclusion, the current landscape of home healthcare agency quality ratings presents a vast expanse of unexplored territory, teeming with opportunities for insightful discoveries. By embarking on these extensions to our research, we not only deepen our understanding of the intricate fabric of care delivery but also contribute to the enhancement of patient-centric services, fostering a healthier and more resilient society. Through our collective efforts, we pave the way for a future where quality ratings become not just a metric, but a beacon guiding the path to exemplary home healthcare.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