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AA" w:rsidRDefault="001C0CCD" w:rsidP="001C0CCD">
      <w:pPr>
        <w:rPr>
          <w:lang w:val="ru-RU"/>
        </w:rPr>
      </w:pPr>
      <w:proofErr w:type="spellStart"/>
      <w:r>
        <w:rPr>
          <w:lang w:val="ru-RU"/>
        </w:rPr>
        <w:t>Астаппев</w:t>
      </w:r>
      <w:proofErr w:type="spellEnd"/>
      <w:r>
        <w:rPr>
          <w:lang w:val="ru-RU"/>
        </w:rPr>
        <w:t xml:space="preserve"> Олег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Лабораторная работа №2</w:t>
      </w:r>
    </w:p>
    <w:p w:rsidR="002271AA" w:rsidRPr="001C0CCD" w:rsidRDefault="002271AA" w:rsidP="001C0CCD">
      <w:pPr>
        <w:rPr>
          <w:lang w:val="ru-RU"/>
        </w:rPr>
      </w:pPr>
    </w:p>
    <w:p w:rsidR="009E540E" w:rsidRDefault="009E540E" w:rsidP="001C0CCD">
      <w:r>
        <w:rPr>
          <w:noProof/>
          <w:lang w:eastAsia="uk-UA"/>
        </w:rPr>
        <w:drawing>
          <wp:inline distT="0" distB="0" distL="0" distR="0">
            <wp:extent cx="6276975" cy="3200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55DBF" w:rsidRPr="006C7FFA" w:rsidRDefault="0099476A" w:rsidP="001C0CCD">
      <w:pPr>
        <w:rPr>
          <w:lang w:val="ru-RU"/>
        </w:rPr>
      </w:pPr>
      <w:r>
        <w:rPr>
          <w:lang w:val="ru-RU"/>
        </w:rPr>
        <w:t xml:space="preserve">Сгруппировали интервал для </w:t>
      </w:r>
      <w:r w:rsidR="00355DBF">
        <w:rPr>
          <w:lang w:val="en-US"/>
        </w:rPr>
        <w:t>x</w:t>
      </w:r>
      <w:r w:rsidR="00355DBF" w:rsidRPr="0099476A">
        <w:rPr>
          <w:lang w:val="ru-RU"/>
        </w:rPr>
        <w:t>(</w:t>
      </w:r>
      <w:proofErr w:type="spellStart"/>
      <w:r w:rsidR="00355DBF">
        <w:rPr>
          <w:lang w:val="ru-RU"/>
        </w:rPr>
        <w:t>сум</w:t>
      </w:r>
      <w:proofErr w:type="spellEnd"/>
      <w:r w:rsidR="00355DBF" w:rsidRPr="0099476A">
        <w:rPr>
          <w:lang w:val="ru-RU"/>
        </w:rPr>
        <w:t>)</w:t>
      </w:r>
      <w:r w:rsidR="006C7FFA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67"/>
        <w:gridCol w:w="567"/>
        <w:gridCol w:w="567"/>
        <w:gridCol w:w="567"/>
        <w:gridCol w:w="709"/>
        <w:gridCol w:w="709"/>
        <w:gridCol w:w="703"/>
      </w:tblGrid>
      <w:tr w:rsidR="00355DBF" w:rsidTr="00355DBF">
        <w:tc>
          <w:tcPr>
            <w:tcW w:w="5240" w:type="dxa"/>
            <w:vAlign w:val="center"/>
          </w:tcPr>
          <w:p w:rsidR="00355DBF" w:rsidRDefault="00355DBF" w:rsidP="00355DBF">
            <w:pPr>
              <w:rPr>
                <w:lang w:val="ru-RU"/>
              </w:rP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требований</w:t>
            </w:r>
            <w:proofErr w:type="spellEnd"/>
            <w:r>
              <w:t xml:space="preserve"> в </w:t>
            </w:r>
            <w:proofErr w:type="spellStart"/>
            <w:r>
              <w:t>интервале</w:t>
            </w:r>
            <w:proofErr w:type="spellEnd"/>
          </w:p>
        </w:tc>
        <w:tc>
          <w:tcPr>
            <w:tcW w:w="567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09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3" w:type="dxa"/>
            <w:vAlign w:val="center"/>
          </w:tcPr>
          <w:p w:rsid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355DBF" w:rsidTr="00355DBF">
        <w:tc>
          <w:tcPr>
            <w:tcW w:w="5240" w:type="dxa"/>
            <w:vAlign w:val="center"/>
          </w:tcPr>
          <w:p w:rsidR="00355DBF" w:rsidRDefault="00355DBF" w:rsidP="00355DBF">
            <w:pPr>
              <w:rPr>
                <w:lang w:val="ru-RU"/>
              </w:rP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интервалов</w:t>
            </w:r>
            <w:proofErr w:type="spellEnd"/>
          </w:p>
        </w:tc>
        <w:tc>
          <w:tcPr>
            <w:tcW w:w="567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9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3" w:type="dxa"/>
            <w:vAlign w:val="center"/>
          </w:tcPr>
          <w:p w:rsidR="00355DBF" w:rsidRPr="00355DBF" w:rsidRDefault="00355DBF" w:rsidP="00355D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355DBF" w:rsidRDefault="00355DBF" w:rsidP="001C0CCD"/>
    <w:p w:rsidR="001C0CCD" w:rsidRPr="0099476A" w:rsidRDefault="001C0CCD" w:rsidP="001C0CCD">
      <w:pPr>
        <w:rPr>
          <w:lang w:val="ru-RU"/>
        </w:rPr>
      </w:pPr>
      <w:r>
        <w:t>Лямбда (1) =  9</w:t>
      </w:r>
      <w:r w:rsidR="0099476A">
        <w:rPr>
          <w:lang w:val="ru-RU"/>
        </w:rPr>
        <w:t xml:space="preserve">, </w:t>
      </w:r>
      <w:r>
        <w:t>Лямбда (2) =  13</w:t>
      </w:r>
      <w:r w:rsidR="0099476A">
        <w:rPr>
          <w:lang w:val="ru-RU"/>
        </w:rPr>
        <w:t xml:space="preserve">, </w:t>
      </w:r>
      <w:r w:rsidRPr="0099476A">
        <w:rPr>
          <w:b/>
        </w:rPr>
        <w:t>Лямбда (сум) =  21</w:t>
      </w:r>
      <w:r w:rsidR="0099476A">
        <w:rPr>
          <w:b/>
          <w:lang w:val="ru-RU"/>
        </w:rPr>
        <w:t>.</w:t>
      </w:r>
    </w:p>
    <w:p w:rsidR="001C0CCD" w:rsidRDefault="001C0CCD" w:rsidP="001C0CCD">
      <w:proofErr w:type="spellStart"/>
      <w:r>
        <w:t>Математическое</w:t>
      </w:r>
      <w:proofErr w:type="spellEnd"/>
      <w:r>
        <w:t xml:space="preserve"> </w:t>
      </w:r>
      <w:proofErr w:type="spellStart"/>
      <w:r>
        <w:t>ожидание</w:t>
      </w:r>
      <w:proofErr w:type="spellEnd"/>
      <w:r>
        <w:t xml:space="preserve"> =  3.36</w:t>
      </w:r>
    </w:p>
    <w:p w:rsidR="001C0CCD" w:rsidRDefault="001C0CCD" w:rsidP="001C0CCD">
      <w:proofErr w:type="spellStart"/>
      <w:r>
        <w:t>Дисперсия</w:t>
      </w:r>
      <w:proofErr w:type="spellEnd"/>
      <w:r>
        <w:t xml:space="preserve"> =  3.073333333333333</w:t>
      </w:r>
    </w:p>
    <w:p w:rsidR="0099476A" w:rsidRDefault="0099476A" w:rsidP="001C0CCD"/>
    <w:p w:rsidR="0099476A" w:rsidRPr="0099476A" w:rsidRDefault="0099476A" w:rsidP="001C0CCD">
      <w:pPr>
        <w:rPr>
          <w:lang w:val="ru-RU"/>
        </w:rPr>
      </w:pPr>
      <w:r>
        <w:rPr>
          <w:lang w:val="ru-RU"/>
        </w:rPr>
        <w:t>Выводы:</w:t>
      </w:r>
    </w:p>
    <w:p w:rsidR="001C0CCD" w:rsidRDefault="00CE17AA" w:rsidP="001C0CCD">
      <w:pPr>
        <w:rPr>
          <w:lang w:val="ru-RU"/>
        </w:rPr>
      </w:pPr>
      <w:r>
        <w:rPr>
          <w:lang w:val="ru-RU"/>
        </w:rPr>
        <w:t xml:space="preserve">Суммировав 2 потока мы получили поток, лямбда которого </w:t>
      </w:r>
      <w:r w:rsidR="00324367">
        <w:rPr>
          <w:lang w:val="ru-RU"/>
        </w:rPr>
        <w:t>похожа на сумму двух исходных. Разница между этой сумма не дает оснований утверждать, что наши потоки простейшие, но разница не столь велика что бы это отрицать.</w:t>
      </w:r>
      <w:r w:rsidR="003C39DF">
        <w:rPr>
          <w:lang w:val="ru-RU"/>
        </w:rPr>
        <w:t xml:space="preserve"> Согласно свойствам простейших потоков при сложении двух и более независимых потоков мы должны были получить поток параметр, которого равен сумме параметров исходных потоков.</w:t>
      </w:r>
    </w:p>
    <w:p w:rsidR="00324367" w:rsidRDefault="00324367" w:rsidP="001C0CCD">
      <w:pPr>
        <w:rPr>
          <w:lang w:val="ru-RU"/>
        </w:rPr>
      </w:pPr>
      <w:r>
        <w:rPr>
          <w:lang w:val="ru-RU"/>
        </w:rPr>
        <w:t>Так же мы наблюдаем разницу между математическим ожиданием и дисперсией, это так же позволяет сделать вывод о степени приближения нашего потока к простейшему потоку.</w:t>
      </w:r>
    </w:p>
    <w:p w:rsidR="003C39DF" w:rsidRDefault="00324367" w:rsidP="001C0CCD">
      <w:pPr>
        <w:rPr>
          <w:lang w:val="ru-RU"/>
        </w:rPr>
      </w:pPr>
      <w:r>
        <w:rPr>
          <w:lang w:val="ru-RU"/>
        </w:rPr>
        <w:t xml:space="preserve">Эта разница </w:t>
      </w:r>
      <w:r w:rsidR="003C39DF">
        <w:rPr>
          <w:lang w:val="ru-RU"/>
        </w:rPr>
        <w:t>находится в небольшом диапазоне, поэтому мы можем припустить что это исходит из неточности моделирования.</w:t>
      </w:r>
    </w:p>
    <w:p w:rsidR="00324367" w:rsidRDefault="003C39DF" w:rsidP="001C0CCD">
      <w:pPr>
        <w:rPr>
          <w:lang w:val="ru-RU"/>
        </w:rPr>
      </w:pPr>
      <w:r>
        <w:rPr>
          <w:lang w:val="ru-RU"/>
        </w:rPr>
        <w:t xml:space="preserve">Исходя из вышеперечисленного мы можем </w:t>
      </w:r>
      <w:bookmarkStart w:id="0" w:name="_GoBack"/>
      <w:bookmarkEnd w:id="0"/>
      <w:r>
        <w:rPr>
          <w:lang w:val="ru-RU"/>
        </w:rPr>
        <w:t xml:space="preserve">говорить, что в нашем конечном потоке промежутки между соседними требованиями не распределены по показательном закону.  </w:t>
      </w:r>
    </w:p>
    <w:p w:rsidR="00CE17AA" w:rsidRPr="00CE17AA" w:rsidRDefault="00CE17AA" w:rsidP="001C0CCD">
      <w:pPr>
        <w:rPr>
          <w:lang w:val="ru-RU"/>
        </w:rPr>
      </w:pPr>
    </w:p>
    <w:p w:rsidR="0088666F" w:rsidRPr="001C0CCD" w:rsidRDefault="0088666F" w:rsidP="001C0CCD"/>
    <w:sectPr w:rsidR="0088666F" w:rsidRPr="001C0C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D8"/>
    <w:rsid w:val="001C0CCD"/>
    <w:rsid w:val="002271AA"/>
    <w:rsid w:val="00324367"/>
    <w:rsid w:val="00355DBF"/>
    <w:rsid w:val="003C39DF"/>
    <w:rsid w:val="00451939"/>
    <w:rsid w:val="005B6CE0"/>
    <w:rsid w:val="006C7FFA"/>
    <w:rsid w:val="0088666F"/>
    <w:rsid w:val="00984DFE"/>
    <w:rsid w:val="0099476A"/>
    <w:rsid w:val="009E540E"/>
    <w:rsid w:val="00A266D8"/>
    <w:rsid w:val="00C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1B5E3-9E48-4019-AAD1-223816C2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CCD"/>
    <w:rPr>
      <w:rFonts w:ascii="Courier New" w:eastAsia="Times New Roman" w:hAnsi="Courier New" w:cs="Courier New"/>
      <w:sz w:val="20"/>
      <w:szCs w:val="20"/>
      <w:lang w:eastAsia="uk-UA"/>
    </w:rPr>
  </w:style>
  <w:style w:type="table" w:styleId="TableGrid">
    <w:name w:val="Table Grid"/>
    <w:basedOn w:val="TableNormal"/>
    <w:uiPriority w:val="39"/>
    <w:rsid w:val="00355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Потоки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x(1)</c:v>
                </c:pt>
              </c:strCache>
            </c:strRef>
          </c:tx>
          <c:spPr>
            <a:ln w="28575" cap="rnd">
              <a:solidFill>
                <a:schemeClr val="bg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bg1">
                    <a:lumMod val="75000"/>
                  </a:schemeClr>
                </a:solidFill>
              </a:ln>
              <a:effectLst/>
            </c:spPr>
          </c:marker>
          <c:cat>
            <c:numRef>
              <c:f>Sheet1!$A$2:$A$26</c:f>
              <c:numCache>
                <c:formatCode>General</c:formatCode>
                <c:ptCount val="25"/>
              </c:numCache>
            </c:num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4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3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3</c:v>
                </c:pt>
                <c:pt idx="17">
                  <c:v>2</c:v>
                </c:pt>
                <c:pt idx="18">
                  <c:v>1</c:v>
                </c:pt>
                <c:pt idx="19">
                  <c:v>0</c:v>
                </c:pt>
                <c:pt idx="20">
                  <c:v>0</c:v>
                </c:pt>
                <c:pt idx="21">
                  <c:v>3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x(2)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cat>
            <c:numRef>
              <c:f>Sheet1!$A$2:$A$26</c:f>
              <c:numCache>
                <c:formatCode>General</c:formatCode>
                <c:ptCount val="25"/>
              </c:numCache>
            </c:num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  <c:pt idx="7">
                  <c:v>1</c:v>
                </c:pt>
                <c:pt idx="8">
                  <c:v>0</c:v>
                </c:pt>
                <c:pt idx="9">
                  <c:v>3</c:v>
                </c:pt>
                <c:pt idx="10">
                  <c:v>0</c:v>
                </c:pt>
                <c:pt idx="11">
                  <c:v>6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1</c:v>
                </c:pt>
                <c:pt idx="19">
                  <c:v>3</c:v>
                </c:pt>
                <c:pt idx="20">
                  <c:v>1</c:v>
                </c:pt>
                <c:pt idx="21">
                  <c:v>0</c:v>
                </c:pt>
                <c:pt idx="22">
                  <c:v>4</c:v>
                </c:pt>
                <c:pt idx="23">
                  <c:v>3</c:v>
                </c:pt>
                <c:pt idx="2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x(sum)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numRef>
              <c:f>Sheet1!$A$2:$A$26</c:f>
              <c:numCache>
                <c:formatCode>General</c:formatCode>
                <c:ptCount val="25"/>
              </c:numCache>
            </c:numRef>
          </c:cat>
          <c:val>
            <c:numRef>
              <c:f>Sheet1!$D$2:$D$26</c:f>
              <c:numCache>
                <c:formatCode>General</c:formatCode>
                <c:ptCount val="25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6</c:v>
                </c:pt>
                <c:pt idx="4">
                  <c:v>1</c:v>
                </c:pt>
                <c:pt idx="5">
                  <c:v>1</c:v>
                </c:pt>
                <c:pt idx="6">
                  <c:v>5</c:v>
                </c:pt>
                <c:pt idx="7">
                  <c:v>1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  <c:pt idx="11">
                  <c:v>7</c:v>
                </c:pt>
                <c:pt idx="12">
                  <c:v>5</c:v>
                </c:pt>
                <c:pt idx="13">
                  <c:v>2</c:v>
                </c:pt>
                <c:pt idx="14">
                  <c:v>1</c:v>
                </c:pt>
                <c:pt idx="15">
                  <c:v>3</c:v>
                </c:pt>
                <c:pt idx="16">
                  <c:v>5</c:v>
                </c:pt>
                <c:pt idx="17">
                  <c:v>5</c:v>
                </c:pt>
                <c:pt idx="18">
                  <c:v>2</c:v>
                </c:pt>
                <c:pt idx="19">
                  <c:v>3</c:v>
                </c:pt>
                <c:pt idx="20">
                  <c:v>1</c:v>
                </c:pt>
                <c:pt idx="21">
                  <c:v>3</c:v>
                </c:pt>
                <c:pt idx="22">
                  <c:v>5</c:v>
                </c:pt>
                <c:pt idx="23">
                  <c:v>5</c:v>
                </c:pt>
                <c:pt idx="2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9096960"/>
        <c:axId val="-1469103488"/>
      </c:lineChart>
      <c:catAx>
        <c:axId val="-1469096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интервала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1469103488"/>
        <c:crosses val="autoZero"/>
        <c:auto val="1"/>
        <c:lblAlgn val="ctr"/>
        <c:lblOffset val="100"/>
        <c:noMultiLvlLbl val="0"/>
      </c:catAx>
      <c:valAx>
        <c:axId val="-1469103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вызовов в</a:t>
                </a:r>
                <a:r>
                  <a:rPr lang="ru-RU" baseline="0"/>
                  <a:t> интервале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146909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Astappev</dc:creator>
  <cp:keywords/>
  <dc:description/>
  <cp:lastModifiedBy>Oleg Astappev</cp:lastModifiedBy>
  <cp:revision>11</cp:revision>
  <dcterms:created xsi:type="dcterms:W3CDTF">2014-10-27T09:42:00Z</dcterms:created>
  <dcterms:modified xsi:type="dcterms:W3CDTF">2014-10-27T10:37:00Z</dcterms:modified>
</cp:coreProperties>
</file>