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pPr>
      <w:r>
        <w:rPr>
          <w:rFonts w:ascii="Arial" w:cs="Arial" w:eastAsia="Arial" w:hAnsi="Arial"/>
          <w:b/>
          <w:bCs/>
          <w:color w:val="1F4E79"/>
          <w:sz w:val="40"/>
          <w:szCs w:val="40"/>
        </w:rPr>
        <w:t xml:space="preserve">ESS11 Variable Reference</w:t>
      </w:r>
    </w:p>
    <w:p>
      <w:pPr>
        <w:spacing w:after="60" w:before="0"/>
      </w:pPr>
      <w:r>
        <w:rPr>
          <w:rFonts w:ascii="Arial" w:cs="Arial" w:eastAsia="Arial" w:hAnsi="Arial"/>
          <w:color w:val="555555"/>
          <w:sz w:val="24"/>
          <w:szCs w:val="24"/>
        </w:rPr>
        <w:t xml:space="preserve">Voter Turnout Analysis — European Social Survey Round 11 (2023/24)</w:t>
      </w:r>
    </w:p>
    <w:p>
      <w:pPr>
        <w:pBdr>
          <w:bottom w:val="single" w:color="1F4E79" w:sz="12"/>
        </w:pBdr>
        <w:spacing w:after="240" w:before="0"/>
      </w:pPr>
      <w:r>
        <w:rPr>
          <w:rFonts w:ascii="Arial" w:cs="Arial" w:eastAsia="Arial" w:hAnsi="Arial"/>
          <w:color w:val="888888"/>
          <w:sz w:val="20"/>
          <w:szCs w:val="20"/>
        </w:rPr>
        <w:t xml:space="preserve">Machine Learning and Deep Learning — Final Project</w:t>
      </w:r>
    </w:p>
    <w:p>
      <w:pPr>
        <w:spacing w:after="0" w:before="120"/>
      </w:pPr>
      <w:r>
        <w:t xml:space="preserve"/>
      </w:r>
    </w:p>
    <w:p>
      <w:pPr>
        <w:spacing w:after="60" w:before="60"/>
      </w:pPr>
      <w:r>
        <w:rPr>
          <w:rFonts w:ascii="Arial" w:cs="Arial" w:eastAsia="Arial" w:hAnsi="Arial"/>
          <w:color w:val="333333"/>
          <w:sz w:val="20"/>
          <w:szCs w:val="20"/>
        </w:rPr>
        <w:t xml:space="preserve">This document lists all variables used in the voter turnout prediction analysis. Variables are sourced from the ESS11 integrated dataset (Edition 4.x, 2023/24), covering 31 countries and approximately 50,000 respondents. The dataset is available at: https://ess.sikt.no/en/datafile/242aaa39-3bbb-40f5-98bf-bfb1ce53d8ef</w:t>
      </w:r>
    </w:p>
    <w:p>
      <w:pPr>
        <w:spacing w:after="0" w:before="80"/>
      </w:pPr>
      <w:r>
        <w:t xml:space="preserve"/>
      </w:r>
    </w:p>
    <w:p>
      <w:pPr>
        <w:spacing w:after="60" w:before="60"/>
      </w:pPr>
      <w:r>
        <w:rPr>
          <w:rFonts w:ascii="Arial" w:cs="Arial" w:eastAsia="Arial" w:hAnsi="Arial"/>
          <w:color w:val="333333"/>
          <w:sz w:val="20"/>
          <w:szCs w:val="20"/>
        </w:rPr>
        <w:t xml:space="preserve">Variables are organised into seven groups: (1) target variable, (2) institutional trust, (3) political efficacy, (4) democratic satisfaction, (5) political participation, (6) ideology and media, (7) socio-demographics. A final section covers engineered features created during preprocessing.</w:t>
      </w:r>
    </w:p>
    <w:p>
      <w:pPr>
        <w:spacing w:after="0" w:before="160"/>
      </w:pPr>
      <w:r>
        <w:t xml:space="preserve"/>
      </w:r>
    </w:p>
    <w:p>
      <w:pPr>
        <w:pBdr>
          <w:bottom w:val="single" w:color="2E75B6" w:sz="6"/>
        </w:pBdr>
        <w:spacing w:after="100" w:before="280"/>
      </w:pPr>
      <w:r>
        <w:rPr>
          <w:rFonts w:ascii="Arial" w:cs="Arial" w:eastAsia="Arial" w:hAnsi="Arial"/>
          <w:b/>
          <w:bCs/>
          <w:color w:val="1F4E79"/>
          <w:sz w:val="26"/>
          <w:szCs w:val="26"/>
        </w:rPr>
        <w:t xml:space="preserve">1. Target Variable</w:t>
      </w:r>
    </w:p>
    <w:p>
      <w:pPr>
        <w:spacing w:after="60" w:before="60"/>
      </w:pPr>
      <w:r>
        <w:rPr>
          <w:rFonts w:ascii="Arial" w:cs="Arial" w:eastAsia="Arial" w:hAnsi="Arial"/>
          <w:color w:val="333333"/>
          <w:sz w:val="20"/>
          <w:szCs w:val="20"/>
        </w:rPr>
        <w:t xml:space="preserve">The outcome variable for all supervised models. Respondents who reported being ineligible to vote (code 3) are excluded before analysis.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vote</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Voted last national election</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Some people don't vote nowadays for one reason or another. Did you vote in the last [country] national election?</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Yes  |  2 = No  |  3 = Not eligible
→ Recoded: 1 = Voted, 0 = Did not vote (exclude code 3)</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2. Institutional Trust Variables</w:t>
      </w:r>
    </w:p>
    <w:p>
      <w:pPr>
        <w:spacing w:after="60" w:before="60"/>
      </w:pPr>
      <w:r>
        <w:rPr>
          <w:rFonts w:ascii="Arial" w:cs="Arial" w:eastAsia="Arial" w:hAnsi="Arial"/>
          <w:color w:val="333333"/>
          <w:sz w:val="20"/>
          <w:szCs w:val="20"/>
        </w:rPr>
        <w:t xml:space="preserve">Four variables measuring trust in key political institutions, all on a 0–10 scale from the ESS11 Politics module. These variables are highly intercorrelated (r ≈ 0.6–0.8) and motivate the use of Elastic Net regularisation in logistic regression, and PCA for dimensionality reduction in the unsupervised stage.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trstprl</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 in country's parliament</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Please tell me on a score of 0–10 how much you personally trust each institution. ...[country]'s parliament?</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 = No trust at all → 10 = Complete trust</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trstplt</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 in politicians</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Please tell me on a score of 0–10 how much you personally trust each institution. ...politicians?</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 = No trust at all → 10 = Complete trust</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trstprt</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 in political parties</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Please tell me on a score of 0–10 how much you personally trust each institution. ...political parties?</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 = No trust at all → 10 = Complete trust</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trstlgl</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 in the legal system</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Please tell me on a score of 0–10 how much you personally trust each institution. ...the legal system?</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 = No trust at all → 10 = Complete trust</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3. Political Efficacy Variables</w:t>
      </w:r>
    </w:p>
    <w:p>
      <w:pPr>
        <w:spacing w:after="60" w:before="60"/>
      </w:pPr>
      <w:r>
        <w:rPr>
          <w:rFonts w:ascii="Arial" w:cs="Arial" w:eastAsia="Arial" w:hAnsi="Arial"/>
          <w:color w:val="333333"/>
          <w:sz w:val="20"/>
          <w:szCs w:val="20"/>
        </w:rPr>
        <w:t xml:space="preserve">Four variables measuring political interest and the perceived responsiveness of the political system. Together they capture whether a citizen believes their participation makes a difference — the 'efficacy' dimension of democratic engagement. Combined into efficacy_index in preprocessing.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polintr</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interested in politics</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interested would you say you are in politics — are you...</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Very interested  |  2 = Quite interested  |  3 = Hardly interested  |  4 = Not at all interested
(Note: lower score = more interested — reverse before use)</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psppsgva</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Political system allows say in government</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much would you say the political system in [country] allows people like you to have a say in what the government does?</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 = Not at all  |  2 = Very little  |  3 = Some  |  4 = A lot  |  5 = A great deal</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psppipla</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Political system allows influence on politics</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much would you say that the political system in [country] allows people like you to have an influence on politics?</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Not at all  |  2 = Very little  |  3 = Some  |  4 = A lot  |  5 = A great deal</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cptppola</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Confident in own ability to participate in politics</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confident are you in your own ability to participate in politics?</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 = Not at all confident  |  2 = A little  |  3 = Quite confident  |  4 = Very confident  |  5 = Completely confident</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4. Democratic Satisfaction Variables</w:t>
      </w:r>
    </w:p>
    <w:p>
      <w:pPr>
        <w:spacing w:after="60" w:before="60"/>
      </w:pPr>
      <w:r>
        <w:rPr>
          <w:rFonts w:ascii="Arial" w:cs="Arial" w:eastAsia="Arial" w:hAnsi="Arial"/>
          <w:color w:val="333333"/>
          <w:sz w:val="20"/>
          <w:szCs w:val="20"/>
        </w:rPr>
        <w:t xml:space="preserve">Three satisfaction scales measuring how content respondents are with democracy, the government and the economy. These capture performance-based legitimacy — citizens may trust institutions abstractly but still be dissatisfied with current governance outcomes.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stfdem</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Satisfaction with way democracy works</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satisfied are you with the way democracy works in [country]?</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 = Extremely dissatisfied → 10 = Extremely satisfied</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stfgov</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Satisfaction with national government</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satisfied are you with the national government?</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 = Extremely dissatisfied → 10 = Extremely satisfied</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stfeco</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Satisfaction with state of economy</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satisfied are you with the present state of the economy in [country]?</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 = Extremely dissatisfied → 10 = Extremely satisfied</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5. Political Participation Variables</w:t>
      </w:r>
    </w:p>
    <w:p>
      <w:pPr>
        <w:spacing w:after="60" w:before="60"/>
      </w:pPr>
      <w:r>
        <w:rPr>
          <w:rFonts w:ascii="Arial" w:cs="Arial" w:eastAsia="Arial" w:hAnsi="Arial"/>
          <w:color w:val="333333"/>
          <w:sz w:val="20"/>
          <w:szCs w:val="20"/>
        </w:rPr>
        <w:t xml:space="preserve">Five variables capturing forms of political engagement beyond voting. These serve as contextual predictors: respondents who contact politicians or sign petitions are likely mobilised citizens and more likely to vote. Party closeness (clsprty) and party attachment strength (prtdgcl) are particularly strong predictors of turnout in the political science literature.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contplt</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Contacted politician or official (last 12 months)</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During the last 12 months, have you done any of the following? ...Contacted a politician or government official?</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Yes  |  2 = No</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sgnptit</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Signed petition (last 12 months)</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During the last 12 months, have you done any of the following? ...Signed a petition?</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 = Yes  |  2 = No</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pstplonl</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Posted or shared politics online (last 12 months)</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During the last 12 months, have you done any of the following? ...Posted or shared anything about politics online?</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Yes  |  2 = No</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clsprty</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Feels closer to a particular party</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Do you feel closer to one particular party than all the other parties?</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 = Yes  |  2 = No</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prtdgcl</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close to party</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close do you feel to this party?</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Very close  |  2 = Quite close  |  3 = Not very close</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6. Ideology and Media Variables</w:t>
      </w:r>
    </w:p>
    <w:p>
      <w:pPr>
        <w:spacing w:after="60" w:before="60"/>
      </w:pPr>
      <w:r>
        <w:rPr>
          <w:rFonts w:ascii="Arial" w:cs="Arial" w:eastAsia="Arial" w:hAnsi="Arial"/>
          <w:color w:val="333333"/>
          <w:sz w:val="20"/>
          <w:szCs w:val="20"/>
        </w:rPr>
        <w:t xml:space="preserve">Left-right self-placement and political news consumption. The lrscale variable has substantial missingness (~10–15%) because many respondents refuse to place themselves ideologically. This refusal is itself politically informative and is captured as a separate binary flag (lrscale_missing) in preprocessing.</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lrscale</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Placement on left-right scale</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 politics people sometimes talk of 'left' and 'right'. Where would you place yourself on this scale, where 0 means the left and 10 means the right?</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 = Left  →  10 = Right
(~10–15% missing — add binary missingness flag)</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nwspol</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Political news consumption (minutes/day)</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On a typical day, about how much time do you spend watching, reading or listening to news about politics and current affairs?</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Continuous (minutes). 0 = none. Measured in hours and minutes, converted.</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netusoft</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Internet use frequency</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often do you use the internet on these or any other devices, whether for work or personal use?</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Never  |  2 = Only occasionally  |  3 = A few times a week  |  4 = Most days  |  5 = Every day</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7. Socio-Demographic Variables</w:t>
      </w:r>
    </w:p>
    <w:p>
      <w:pPr>
        <w:spacing w:after="60" w:before="60"/>
      </w:pPr>
      <w:r>
        <w:rPr>
          <w:rFonts w:ascii="Arial" w:cs="Arial" w:eastAsia="Arial" w:hAnsi="Arial"/>
          <w:color w:val="333333"/>
          <w:sz w:val="20"/>
          <w:szCs w:val="20"/>
        </w:rPr>
        <w:t xml:space="preserve">Control variables capturing structural position. Education (eisced) and income (hinctnta) are the primary socioeconomic controls. Country (cntry) is one-hot encoded to capture fixed national effects — expected to be among the most important features given large cross-country variation in turnout rates (e.g. Norway ~85% vs some Eastern European countries ~55%).</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eisced</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Education — highest level (harmonised)</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Derived from country-specific education variables. Harmonised to the European standard ISCED classification.</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 = Not possible to harmonise  |  1 = Less than lower secondary  |  2 = Lower secondary  |  3 = Lower tier upper secondary  |  4 = Upper tier upper secondary  |  5 = Advanced vocational  |  6 = Lower tertiary  |  7 = Higher tertiary</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hinctnta</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Household's total net income (decile)</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Using the card, please tell me which letter describes your household's total net income, after tax and compulsory deductions, from all sources.</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 = 1st decile (lowest) → 10 = 10th decile (highest)
(~15–20% missing — income is sensitive)</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gndr</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Gender</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What is your gender?</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 = Male  |  2 = Female</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agea</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Age (years at last birthday)</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How old are you? [Age at last birthday]</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Continuous integer (15–100+). Interviewer-recorded.</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cntry</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Country</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Country of data collection (administrative variable).</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ISO 2-letter codes: AT, BE, BG, CH, CY, DE, EE, ES, FI, FR, GB, GR, HR, HU, IE, IS, IL, IT, LT, LV, ME, NL, NO, PL, PT, RS, SE, SI, SK, UA and others.
→ One-hot encode (drop one reference category)</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8. Engineered Features (Created During Preprocessing)</w:t>
      </w:r>
    </w:p>
    <w:p>
      <w:pPr>
        <w:spacing w:after="60" w:before="60"/>
      </w:pPr>
      <w:r>
        <w:rPr>
          <w:rFonts w:ascii="Arial" w:cs="Arial" w:eastAsia="Arial" w:hAnsi="Arial"/>
          <w:color w:val="333333"/>
          <w:sz w:val="20"/>
          <w:szCs w:val="20"/>
        </w:rPr>
        <w:t xml:space="preserve">Four additional features constructed from the raw variables above. These are created after imputation and before model training. They are not used in the unsupervised clustering stage (which uses raw variables directly) but are included in all supervised models.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trust_index</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Composite political trust index (engineered)</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Average of trstprl, trstplt and trstprt. Created after imputation to represent general institutional trust in one score.</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Continuous 0–10 (higher = more trust). Reduces three correlated variables into a single interpretable dimension.</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efficacy_index</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Composite efficacy index (engineered)</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Average of psppsgva, psppipla and cptppola. Captures the respondent's overall sense that political participation is meaningful and effective.</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Continuous 1–5 (higher = greater efficacy). Natural use case for PCA before supervised modelling.</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disengaged</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Double disengagement indicator (engineered)</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 flag: 1 if both trust_index AND efficacy_index are below their respective medians. Captures the 'double alienation' hypothesis.</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 = Not doubly disengaged  |  1 = Doubly disengaged (low trust AND low efficacy)</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lrscale_missing</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Ideology non-response indicator (engineered)</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 flag: 1 if lrscale is missing (refused to place on left-right scale). Ideological non-placement is itself politically informative.</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 = lrscale present  |  1 = lrscale missing/refused (~10–15% of sample)</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9. Missing Value Codes and Preprocessing Notes</w:t>
      </w:r>
    </w:p>
    <w:p>
      <w:pPr>
        <w:spacing w:after="0" w:before="60"/>
      </w:pPr>
      <w:r>
        <w:t xml:space="preserve"/>
      </w:r>
    </w:p>
    <w:p>
      <w:pPr>
        <w:spacing w:after="80" w:before="200"/>
      </w:pPr>
      <w:r>
        <w:rPr>
          <w:rFonts w:ascii="Arial" w:cs="Arial" w:eastAsia="Arial" w:hAnsi="Arial"/>
          <w:b/>
          <w:bCs/>
          <w:color w:val="1F4E79"/>
          <w:sz w:val="22"/>
          <w:szCs w:val="22"/>
        </w:rPr>
        <w:t xml:space="preserve">ESS missing value codes (must be recoded to NaN before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77</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Refusal</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Respondent refused to answer</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Treat as NaN — do not impute with value</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88</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Don't know</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Respondent did not know</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Treat as NaN — impute or flag</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99 / 999</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 answer</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Question not answered or not applicable</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Treat as NaN — impute or flag</w:t>
            </w:r>
          </w:p>
        </w:tc>
      </w:tr>
    </w:tbl>
    <w:p>
      <w:pPr>
        <w:spacing w:after="0" w:before="160"/>
      </w:pPr>
      <w:r>
        <w:t xml:space="preserve"/>
      </w:r>
    </w:p>
    <w:p>
      <w:pPr>
        <w:spacing w:after="80" w:before="200"/>
      </w:pPr>
      <w:r>
        <w:rPr>
          <w:rFonts w:ascii="Arial" w:cs="Arial" w:eastAsia="Arial" w:hAnsi="Arial"/>
          <w:b/>
          <w:bCs/>
          <w:color w:val="1F4E79"/>
          <w:sz w:val="22"/>
          <w:szCs w:val="22"/>
        </w:rPr>
        <w:t xml:space="preserve">Recommended imputation strategy per variable group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Trust vars (trstprl–trstlgl)</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~5–8% missing</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Median imputation per country</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Preserves national context</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Efficacy vars (polintr etc.)</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~3–5% missing</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Median imputation globally</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Low missingness, global median acceptable</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lrscale</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~10–15% missing</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Create lrscale_missing flag, then impute median</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Refusal is politically informative</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hinctnta</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~15–20% missing</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Multiple imputation or median per country</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Income is most sensitive variable</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eisced</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~2–4% missing</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Mode imputation per country</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Education is categorical-ordinal</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gndr, agea, cntry</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&lt;1% missing</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Drop rows or mode impute</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Administrative vars rarely missing</w:t>
            </w:r>
          </w:p>
        </w:tc>
      </w:tr>
    </w:tbl>
    <w:p>
      <w:pPr>
        <w:spacing w:after="0" w:before="160"/>
      </w:pPr>
      <w:r>
        <w:t xml:space="preserve"/>
      </w:r>
    </w:p>
    <w:p>
      <w:pPr>
        <w:spacing w:after="80" w:before="200"/>
      </w:pPr>
      <w:r>
        <w:rPr>
          <w:rFonts w:ascii="Arial" w:cs="Arial" w:eastAsia="Arial" w:hAnsi="Arial"/>
          <w:b/>
          <w:bCs/>
          <w:color w:val="1F4E79"/>
          <w:sz w:val="22"/>
          <w:szCs w:val="22"/>
        </w:rPr>
        <w:t xml:space="preserve">Scaling and encoding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500"/>
        <w:gridCol w:w="3000"/>
        <w:gridCol w:w="21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25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ESS11 label</w:t>
            </w:r>
          </w:p>
        </w:tc>
        <w:tc>
          <w:tcPr>
            <w:tcW w:type="dxa" w:w="30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Survey question</w:t>
            </w:r>
          </w:p>
        </w:tc>
        <w:tc>
          <w:tcPr>
            <w:tcW w:type="dxa" w:w="21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 / values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Continuous vars</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trstprl, stfdem, stfeco, stfgov, agea, hinctnta, nwspol</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StandardScaler (zero mean, unit variance)</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Required for SVM and logistic regression with L1/L2 penalty</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Ordinal vars</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polintr, psppsgva, psppipla, cptppola, netusoft, eisced</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Leave as integer after imputation, then scale</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Treat as quasi-continuous given sufficient levels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Binary vars</w:t>
            </w:r>
          </w:p>
        </w:tc>
        <w:tc>
          <w:tcPr>
            <w:tcW w:type="dxa" w:w="25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gndr, contplt, sgnptit, pstplonl, clsprty, lrscale_missing, disengaged</w:t>
            </w:r>
          </w:p>
        </w:tc>
        <w:tc>
          <w:tcPr>
            <w:tcW w:type="dxa" w:w="30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No scaling needed — already 0/1</w:t>
            </w:r>
          </w:p>
        </w:tc>
        <w:tc>
          <w:tcPr>
            <w:tcW w:type="dxa" w:w="21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Keep as integer for all models</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Nominal var</w:t>
            </w:r>
          </w:p>
        </w:tc>
        <w:tc>
          <w:tcPr>
            <w:tcW w:type="dxa" w:w="25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cntry</w:t>
            </w:r>
          </w:p>
        </w:tc>
        <w:tc>
          <w:tcPr>
            <w:tcW w:type="dxa" w:w="30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pd.get_dummies(drop_first=True)</w:t>
            </w:r>
          </w:p>
        </w:tc>
        <w:tc>
          <w:tcPr>
            <w:tcW w:type="dxa" w:w="21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One-hot encode — adds ~29 binary country columns</w:t>
            </w:r>
          </w:p>
        </w:tc>
      </w:tr>
    </w:tbl>
    <w:p>
      <w:pPr>
        <w:spacing w:after="0" w:before="160"/>
      </w:pPr>
      <w:r>
        <w:t xml:space="preserve"/>
      </w:r>
    </w:p>
    <w:p>
      <w:pPr>
        <w:spacing w:after="80" w:before="200"/>
      </w:pPr>
      <w:r>
        <w:rPr>
          <w:rFonts w:ascii="Arial" w:cs="Arial" w:eastAsia="Arial" w:hAnsi="Arial"/>
          <w:b/>
          <w:bCs/>
          <w:color w:val="1F4E79"/>
          <w:sz w:val="22"/>
          <w:szCs w:val="22"/>
        </w:rPr>
        <w:t xml:space="preserve">Survey weight note</w:t>
      </w:r>
    </w:p>
    <w:p>
      <w:pPr>
        <w:spacing w:after="60" w:before="60"/>
      </w:pPr>
      <w:r>
        <w:rPr>
          <w:rFonts w:ascii="Arial" w:cs="Arial" w:eastAsia="Arial" w:hAnsi="Arial"/>
          <w:color w:val="333333"/>
          <w:sz w:val="20"/>
          <w:szCs w:val="20"/>
        </w:rPr>
        <w:t xml:space="preserve">ESS11 provides post-stratification weights (pspwght) and analysis weights (anweight). For cross-country analysis, use anweight which combines design weights and population size weights. For single-country analysis, use pspwght. ML models do not natively support survey weights — either apply weights as sample_weight in sklearn estimators where supported, or note this as a limitation.</w:t>
      </w:r>
    </w:p>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10. Variable Summary Table</w:t>
      </w:r>
    </w:p>
    <w:p>
      <w:pPr>
        <w:spacing w:after="60" w:before="60"/>
      </w:pPr>
      <w:r>
        <w:rPr>
          <w:rFonts w:ascii="Arial" w:cs="Arial" w:eastAsia="Arial" w:hAnsi="Arial"/>
          <w:color w:val="333333"/>
          <w:sz w:val="20"/>
          <w:szCs w:val="20"/>
        </w:rPr>
        <w:t xml:space="preserve">Quick-reference overview of all 20 raw variables used in the analysis (excluding engineered features).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1300"/>
        <w:gridCol w:w="1700"/>
        <w:gridCol w:w="3060"/>
      </w:tblGrid>
      <w:tr>
        <w:trPr>
          <w:tblHeader/>
        </w:trPr>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Variable</w:t>
            </w:r>
          </w:p>
        </w:tc>
        <w:tc>
          <w:tcPr>
            <w:tcW w:type="dxa" w:w="16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13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170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Scale</w:t>
            </w:r>
          </w:p>
        </w:tc>
        <w:tc>
          <w:tcPr>
            <w:tcW w:type="dxa" w:w="3060"/>
            <w:tcBorders>
              <w:top w:val="single" w:color="AAAAAA" w:sz="4"/>
              <w:left w:val="single" w:color="AAAAAA" w:sz="4"/>
              <w:bottom w:val="single" w:color="AAAAAA" w:sz="4"/>
              <w:right w:val="single" w:color="AAAAAA" w:sz="4"/>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 in analysis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vote</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Target</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1/2/3 → 0/1</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Outcome variable</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trstprl</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0=no trust</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Key predictor — parliament trust</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trstplt</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0=no trust</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Key predictor — politician trust</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trstprt</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0=no trust</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Key predictor — party trust</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trstlgl</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Trust</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0=no trust</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legal system trust</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polintr</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Efficacy</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1–4</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1=very interested</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Key predictor — political interest (reverse-scored)</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psppsgva</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Efficacy</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1–5</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1=not at all</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system responsiveness</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psppipla</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Efficacy</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1–5</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1=not at all</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political influence</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cptppola</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Efficacy</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1–5</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1=not confident</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self-efficacy</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stfdem</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Satisfaction</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0=dissatisfied</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democracy satisfaction</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stfgov</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Satisfaction</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0=dissatisfied</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government satisfaction</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stfeco</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Satisfaction</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0=dissatisfied</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economy satisfaction</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contplt</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Participation</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 1/2</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1=yes, 2=no</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contacted official</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sgnptit</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Participation</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 1/2</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1=yes, 2=no</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signed petition</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pstplonl</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Participation</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 1/2</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1=yes, 2=no</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posted politics online</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clsprty</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Participation</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 1/2</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1=yes, 2=no</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Key predictor — party closeness</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lrscale</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Ideology</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0–10</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0=left, 10=right</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left-right ideology</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nwspol</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Media</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Continuous</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Minutes/day</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news consumption</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netusoft</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Media</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1–5</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1=never</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Predictor — internet frequency</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eisced</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Socio-dem.</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0–7</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ISCED levels</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Control — education level</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hinctnta</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Socio-dem.</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Ordinal 1–10</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Income deciles</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Control — household income</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gndr</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Socio-dem.</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Binary 1/2</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1=male, 2=female</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Control — gender</w:t>
            </w:r>
          </w:p>
        </w:tc>
      </w:tr>
      <w:tr>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Courier New" w:cs="Courier New" w:eastAsia="Courier New" w:hAnsi="Courier New"/>
                <w:color w:val="1F4E79"/>
                <w:sz w:val="18"/>
                <w:szCs w:val="18"/>
              </w:rPr>
              <w:t xml:space="preserve">agea</w:t>
            </w:r>
          </w:p>
        </w:tc>
        <w:tc>
          <w:tcPr>
            <w:tcW w:type="dxa" w:w="16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Socio-dem.</w:t>
            </w:r>
          </w:p>
        </w:tc>
        <w:tc>
          <w:tcPr>
            <w:tcW w:type="dxa" w:w="13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Continuous</w:t>
            </w:r>
          </w:p>
        </w:tc>
        <w:tc>
          <w:tcPr>
            <w:tcW w:type="dxa" w:w="170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Years</w:t>
            </w:r>
          </w:p>
        </w:tc>
        <w:tc>
          <w:tcPr>
            <w:tcW w:type="dxa" w:w="3060"/>
            <w:tcBorders>
              <w:top w:val="single" w:color="AAAAAA" w:sz="4"/>
              <w:left w:val="single" w:color="AAAAAA" w:sz="4"/>
              <w:bottom w:val="single" w:color="AAAAAA" w:sz="4"/>
              <w:right w:val="single" w:color="AAAAAA" w:sz="4"/>
            </w:tcBorders>
            <w:shd w:fill="FFFFFF" w:val="clear"/>
            <w:tcMar>
              <w:top w:type="dxa" w:w="70"/>
              <w:left w:type="dxa" w:w="120"/>
              <w:bottom w:type="dxa" w:w="70"/>
              <w:right w:type="dxa" w:w="120"/>
            </w:tcMar>
          </w:tcPr>
          <w:p>
            <w:r>
              <w:rPr>
                <w:rFonts w:ascii="Arial" w:cs="Arial" w:eastAsia="Arial" w:hAnsi="Arial"/>
                <w:b w:val="false"/>
                <w:bCs w:val="false"/>
                <w:color w:val="000000"/>
                <w:sz w:val="19"/>
                <w:szCs w:val="19"/>
              </w:rPr>
              <w:t xml:space="preserve">Control — age (strong predictor)</w:t>
            </w:r>
          </w:p>
        </w:tc>
      </w:tr>
      <w:tr>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Courier New" w:cs="Courier New" w:eastAsia="Courier New" w:hAnsi="Courier New"/>
                <w:color w:val="1F4E79"/>
                <w:sz w:val="18"/>
                <w:szCs w:val="18"/>
              </w:rPr>
              <w:t xml:space="preserve">cntry</w:t>
            </w:r>
          </w:p>
        </w:tc>
        <w:tc>
          <w:tcPr>
            <w:tcW w:type="dxa" w:w="16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Socio-dem.</w:t>
            </w:r>
          </w:p>
        </w:tc>
        <w:tc>
          <w:tcPr>
            <w:tcW w:type="dxa" w:w="13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Nominal</w:t>
            </w:r>
          </w:p>
        </w:tc>
        <w:tc>
          <w:tcPr>
            <w:tcW w:type="dxa" w:w="170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ISO codes</w:t>
            </w:r>
          </w:p>
        </w:tc>
        <w:tc>
          <w:tcPr>
            <w:tcW w:type="dxa" w:w="3060"/>
            <w:tcBorders>
              <w:top w:val="single" w:color="AAAAAA" w:sz="4"/>
              <w:left w:val="single" w:color="AAAAAA" w:sz="4"/>
              <w:bottom w:val="single" w:color="AAAAAA" w:sz="4"/>
              <w:right w:val="single" w:color="AAAAAA" w:sz="4"/>
            </w:tcBorders>
            <w:shd w:fill="F2F2F2" w:val="clear"/>
            <w:tcMar>
              <w:top w:type="dxa" w:w="70"/>
              <w:left w:type="dxa" w:w="120"/>
              <w:bottom w:type="dxa" w:w="70"/>
              <w:right w:type="dxa" w:w="120"/>
            </w:tcMar>
          </w:tcPr>
          <w:p>
            <w:r>
              <w:rPr>
                <w:rFonts w:ascii="Arial" w:cs="Arial" w:eastAsia="Arial" w:hAnsi="Arial"/>
                <w:b w:val="false"/>
                <w:bCs w:val="false"/>
                <w:color w:val="000000"/>
                <w:sz w:val="19"/>
                <w:szCs w:val="19"/>
              </w:rPr>
              <w:t xml:space="preserve">Fixed effects — 29 country dummies</w:t>
            </w:r>
          </w:p>
        </w:tc>
      </w:tr>
    </w:tbl>
    <w:p>
      <w:pPr>
        <w:spacing w:after="0" w:before="200"/>
      </w:pPr>
      <w:r>
        <w:t xml:space="preserve"/>
      </w:r>
    </w:p>
    <w:p>
      <w:pPr>
        <w:pBdr>
          <w:bottom w:val="single" w:color="2E75B6" w:sz="6"/>
        </w:pBdr>
        <w:spacing w:after="100" w:before="280"/>
      </w:pPr>
      <w:r>
        <w:rPr>
          <w:rFonts w:ascii="Arial" w:cs="Arial" w:eastAsia="Arial" w:hAnsi="Arial"/>
          <w:b/>
          <w:bCs/>
          <w:color w:val="1F4E79"/>
          <w:sz w:val="26"/>
          <w:szCs w:val="26"/>
        </w:rPr>
        <w:t xml:space="preserve">References</w:t>
      </w:r>
    </w:p>
    <w:p>
      <w:pPr>
        <w:spacing w:after="60" w:before="60"/>
      </w:pPr>
      <w:r>
        <w:rPr>
          <w:rFonts w:ascii="Arial" w:cs="Arial" w:eastAsia="Arial" w:hAnsi="Arial"/>
          <w:color w:val="333333"/>
          <w:sz w:val="20"/>
          <w:szCs w:val="20"/>
        </w:rPr>
        <w:t xml:space="preserve">ESS ERIC. (2024). ESS11 — integrated file, edition 4.1 [Data set]. Sikt — Norwegian Agency for Shared Services in Education and Research. https://doi.org/10.21338/ess11e04_1</w:t>
      </w:r>
    </w:p>
    <w:p>
      <w:pPr>
        <w:spacing w:after="0" w:before="60"/>
      </w:pPr>
      <w:r>
        <w:t xml:space="preserve"/>
      </w:r>
    </w:p>
    <w:p>
      <w:pPr>
        <w:spacing w:after="60" w:before="60"/>
      </w:pPr>
      <w:r>
        <w:rPr>
          <w:rFonts w:ascii="Arial" w:cs="Arial" w:eastAsia="Arial" w:hAnsi="Arial"/>
          <w:color w:val="333333"/>
          <w:sz w:val="20"/>
          <w:szCs w:val="20"/>
        </w:rPr>
        <w:t xml:space="preserve">ESS ERIC. (2024). ESS11 Appendix A7 — Codebook, Edition 3.0. https://stessrelpubprodwe.blob.core.windows.net/data/round11/survey/ESS11_appendix_a7_e03.pdf</w:t>
      </w:r>
    </w:p>
    <w:p>
      <w:pPr>
        <w:spacing w:after="0" w:before="60"/>
      </w:pPr>
      <w:r>
        <w:t xml:space="preserve"/>
      </w:r>
    </w:p>
    <w:p>
      <w:pPr>
        <w:spacing w:after="60" w:before="60"/>
      </w:pPr>
      <w:r>
        <w:rPr>
          <w:rFonts w:ascii="Arial" w:cs="Arial" w:eastAsia="Arial" w:hAnsi="Arial"/>
          <w:color w:val="333333"/>
          <w:sz w:val="20"/>
          <w:szCs w:val="20"/>
        </w:rPr>
        <w:t xml:space="preserve">ESS ERIC. (2024). Weighting ESS Data — User Guide. European Social Survey.</w:t>
      </w:r>
    </w:p>
    <w:p>
      <w:pPr>
        <w:spacing w:after="0" w:before="60"/>
      </w:pPr>
      <w:r>
        <w:t xml:space="preserve"/>
      </w:r>
    </w:p>
    <w:p>
      <w:pPr>
        <w:spacing w:after="60" w:before="60"/>
      </w:pPr>
      <w:r>
        <w:rPr>
          <w:rFonts w:ascii="Arial" w:cs="Arial" w:eastAsia="Arial" w:hAnsi="Arial"/>
          <w:color w:val="333333"/>
          <w:sz w:val="20"/>
          <w:szCs w:val="20"/>
        </w:rPr>
        <w:t xml:space="preserve">Blais, A. (2000). To Vote or Not to Vote: The Merits and Limits of Rational Choice Theory. University of Pittsburgh Press.</w:t>
      </w:r>
    </w:p>
    <w:p>
      <w:pPr>
        <w:spacing w:after="0" w:before="60"/>
      </w:pPr>
      <w:r>
        <w:t xml:space="preserve"/>
      </w:r>
    </w:p>
    <w:p>
      <w:pPr>
        <w:spacing w:after="60" w:before="60"/>
      </w:pPr>
      <w:r>
        <w:rPr>
          <w:rFonts w:ascii="Arial" w:cs="Arial" w:eastAsia="Arial" w:hAnsi="Arial"/>
          <w:color w:val="333333"/>
          <w:sz w:val="20"/>
          <w:szCs w:val="20"/>
        </w:rPr>
        <w:t xml:space="preserve">Norris, P. (2002). Democratic Phoenix: Reinventing Political Activism. Cambridge University Press.</w:t>
      </w:r>
    </w:p>
    <w:p>
      <w:pPr>
        <w:spacing w:after="0" w:before="80"/>
      </w:pPr>
      <w:r>
        <w:t xml:space="preserve"/>
      </w:r>
    </w:p>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ESS11 Variable Reference — Voter Turnout Analysis  |  Machine Learning and Deep Learning — Final Project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2026-04-23T08:48:56.656Z</dcterms:created>
  <dcterms:modified xsi:type="dcterms:W3CDTF">2026-04-23T08:48:56.657Z</dcterms:modified>
</cp:coreProperties>
</file>

<file path=docProps/custom.xml><?xml version="1.0" encoding="utf-8"?>
<Properties xmlns="http://schemas.openxmlformats.org/officeDocument/2006/custom-properties" xmlns:vt="http://schemas.openxmlformats.org/officeDocument/2006/docPropsVTypes"/>
</file>