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66E1" w14:textId="29B26EE8" w:rsidR="00C06476" w:rsidRPr="00CD0D6A" w:rsidRDefault="00C06476" w:rsidP="00C06476">
      <w:pPr>
        <w:pStyle w:val="NormalWeb"/>
        <w:shd w:val="clear" w:color="auto" w:fill="FFFFFF"/>
        <w:spacing w:before="180" w:beforeAutospacing="0" w:after="180" w:afterAutospacing="0"/>
        <w:jc w:val="center"/>
        <w:rPr>
          <w:rFonts w:ascii="Verdana" w:hAnsi="Verdana"/>
          <w:b/>
          <w:bCs/>
          <w:color w:val="273540"/>
          <w:sz w:val="22"/>
          <w:szCs w:val="22"/>
        </w:rPr>
      </w:pPr>
      <w:r w:rsidRPr="00CD0D6A">
        <w:rPr>
          <w:rFonts w:ascii="Verdana" w:hAnsi="Verdana"/>
          <w:b/>
          <w:bCs/>
          <w:color w:val="273540"/>
          <w:sz w:val="22"/>
          <w:szCs w:val="22"/>
        </w:rPr>
        <w:t>Project 2 Interim Data Analysis Plan</w:t>
      </w:r>
    </w:p>
    <w:p w14:paraId="21071237" w14:textId="3DBBD468" w:rsidR="00C06476" w:rsidRPr="00CD0D6A" w:rsidRDefault="00C06476" w:rsidP="00C06476">
      <w:pPr>
        <w:pStyle w:val="NormalWeb"/>
        <w:shd w:val="clear" w:color="auto" w:fill="FFFFFF"/>
        <w:spacing w:before="180" w:beforeAutospacing="0" w:after="180" w:afterAutospacing="0"/>
        <w:rPr>
          <w:rFonts w:ascii="Verdana" w:hAnsi="Verdana"/>
          <w:color w:val="273540"/>
          <w:sz w:val="22"/>
          <w:szCs w:val="22"/>
        </w:rPr>
      </w:pPr>
      <w:r w:rsidRPr="00CD0D6A">
        <w:rPr>
          <w:rFonts w:ascii="Verdana" w:hAnsi="Verdana"/>
          <w:color w:val="273540"/>
          <w:sz w:val="22"/>
          <w:szCs w:val="22"/>
        </w:rPr>
        <w:t>This may not be as terse and polished as your final report, but should not be longer than 2 pages and SHOULD NOT include any results of power/sample size analyses.  It SHOULD include the following:</w:t>
      </w:r>
    </w:p>
    <w:p w14:paraId="2752790F" w14:textId="77777777" w:rsidR="00C06476" w:rsidRPr="00CD0D6A" w:rsidRDefault="00C06476" w:rsidP="00C06476">
      <w:pPr>
        <w:pStyle w:val="NormalWeb"/>
        <w:shd w:val="clear" w:color="auto" w:fill="FFFFFF"/>
        <w:spacing w:before="180" w:beforeAutospacing="0" w:after="180" w:afterAutospacing="0"/>
        <w:rPr>
          <w:rFonts w:ascii="Verdana" w:hAnsi="Verdana"/>
          <w:color w:val="273540"/>
          <w:sz w:val="22"/>
          <w:szCs w:val="22"/>
        </w:rPr>
      </w:pPr>
      <w:r w:rsidRPr="00CD0D6A">
        <w:rPr>
          <w:rFonts w:ascii="Verdana" w:hAnsi="Verdana"/>
          <w:color w:val="273540"/>
          <w:sz w:val="22"/>
          <w:szCs w:val="22"/>
        </w:rPr>
        <w:t>1. For each aim, the hypotheses you will be testing, including a description of the outcome(s) and predictor(s) of interest</w:t>
      </w:r>
    </w:p>
    <w:p w14:paraId="39E50D44" w14:textId="5DFE35F4" w:rsidR="001B2CA0" w:rsidRPr="00CD0D6A" w:rsidRDefault="001B2CA0" w:rsidP="00C06476">
      <w:pPr>
        <w:pStyle w:val="NormalWeb"/>
        <w:shd w:val="clear" w:color="auto" w:fill="FFFFFF"/>
        <w:spacing w:before="180" w:beforeAutospacing="0" w:after="180" w:afterAutospacing="0"/>
        <w:rPr>
          <w:rFonts w:ascii="Verdana" w:hAnsi="Verdana"/>
          <w:color w:val="273540"/>
          <w:sz w:val="22"/>
          <w:szCs w:val="22"/>
        </w:rPr>
      </w:pPr>
      <w:r w:rsidRPr="00CD0D6A">
        <w:rPr>
          <w:rFonts w:ascii="Verdana" w:hAnsi="Verdana"/>
          <w:color w:val="273540"/>
          <w:sz w:val="22"/>
          <w:szCs w:val="22"/>
        </w:rPr>
        <w:t>Aim 1:</w:t>
      </w:r>
    </w:p>
    <w:p w14:paraId="04BA39F1" w14:textId="77E79CCC" w:rsidR="001B2CA0" w:rsidRPr="00CD0D6A" w:rsidRDefault="001B2CA0" w:rsidP="001B2CA0">
      <w:pPr>
        <w:pStyle w:val="ListParagraph"/>
        <w:numPr>
          <w:ilvl w:val="0"/>
          <w:numId w:val="1"/>
        </w:numPr>
        <w:spacing w:after="120"/>
        <w:rPr>
          <w:rFonts w:ascii="Verdana" w:hAnsi="Verdana"/>
          <w:sz w:val="22"/>
          <w:szCs w:val="22"/>
        </w:rPr>
      </w:pPr>
      <w:r w:rsidRPr="00CD0D6A">
        <w:rPr>
          <w:rFonts w:ascii="Verdana" w:eastAsia="Arial" w:hAnsi="Verdana" w:cs="Arial"/>
          <w:sz w:val="22"/>
          <w:szCs w:val="22"/>
        </w:rPr>
        <w:t>Hypothesis 1a: Higher baseline cytokine and chemokine levels in circulating plasma will predict greater declines in episodic memory consolidation and decreases in AD-signature cortical thickness over a one-year follow-up period.</w:t>
      </w:r>
    </w:p>
    <w:p w14:paraId="774D7B4F" w14:textId="2551BF53" w:rsidR="001B2CA0" w:rsidRPr="00CD0D6A" w:rsidRDefault="001B2CA0" w:rsidP="001B2CA0">
      <w:pPr>
        <w:pStyle w:val="ListParagraph"/>
        <w:numPr>
          <w:ilvl w:val="0"/>
          <w:numId w:val="1"/>
        </w:numPr>
        <w:spacing w:after="120"/>
        <w:rPr>
          <w:rFonts w:ascii="Verdana" w:hAnsi="Verdana"/>
          <w:sz w:val="22"/>
          <w:szCs w:val="22"/>
        </w:rPr>
      </w:pPr>
      <w:r w:rsidRPr="00CD0D6A">
        <w:rPr>
          <w:rFonts w:ascii="Verdana" w:eastAsia="Arial" w:hAnsi="Verdana" w:cs="Arial"/>
          <w:sz w:val="22"/>
          <w:szCs w:val="22"/>
        </w:rPr>
        <w:t>Hypothesis 1b: Greater increases in cytokine and chemokine levels from baseline to one-year follow-up will be associated with greater declines in episodic memory performance and AD-signature cortical thickness over the same period.</w:t>
      </w:r>
    </w:p>
    <w:p w14:paraId="3EA4E853" w14:textId="77777777" w:rsidR="001B2CA0" w:rsidRPr="00CD0D6A" w:rsidRDefault="001B2CA0" w:rsidP="001B2CA0">
      <w:pPr>
        <w:pStyle w:val="ListParagraph"/>
        <w:numPr>
          <w:ilvl w:val="0"/>
          <w:numId w:val="1"/>
        </w:numPr>
        <w:spacing w:after="120"/>
        <w:rPr>
          <w:rFonts w:ascii="Verdana" w:hAnsi="Verdana"/>
          <w:sz w:val="22"/>
          <w:szCs w:val="22"/>
        </w:rPr>
      </w:pPr>
      <w:r w:rsidRPr="00CD0D6A">
        <w:rPr>
          <w:rFonts w:ascii="Verdana" w:eastAsia="Arial" w:hAnsi="Verdana" w:cs="Arial"/>
          <w:sz w:val="22"/>
          <w:szCs w:val="22"/>
        </w:rPr>
        <w:t xml:space="preserve">Primary outcomes are: </w:t>
      </w:r>
    </w:p>
    <w:p w14:paraId="70C524FD" w14:textId="77777777" w:rsidR="009A1DCD" w:rsidRPr="00CD0D6A" w:rsidRDefault="009A1DCD" w:rsidP="001B2CA0">
      <w:pPr>
        <w:pStyle w:val="ListParagraph"/>
        <w:numPr>
          <w:ilvl w:val="1"/>
          <w:numId w:val="1"/>
        </w:numPr>
        <w:spacing w:after="120"/>
        <w:rPr>
          <w:rFonts w:ascii="Verdana" w:hAnsi="Verdana"/>
          <w:sz w:val="22"/>
          <w:szCs w:val="22"/>
        </w:rPr>
      </w:pPr>
      <w:r w:rsidRPr="00CD0D6A">
        <w:rPr>
          <w:rFonts w:ascii="Verdana" w:eastAsia="Arial" w:hAnsi="Verdana" w:cs="Arial"/>
          <w:sz w:val="22"/>
          <w:szCs w:val="22"/>
        </w:rPr>
        <w:t>(1) one-year change scores for each episodic memory test administered separately — including the California Verbal Learning Test-II (CVLT-II), the Benson Figure recall task, and a story recall task (Mnemonic Similarity Task; MST) assessed at 30-minute and one-week delays</w:t>
      </w:r>
      <w:r w:rsidRPr="00CD0D6A">
        <w:rPr>
          <w:rFonts w:ascii="Verdana" w:eastAsia="Arial" w:hAnsi="Verdana" w:cs="Arial"/>
          <w:sz w:val="22"/>
          <w:szCs w:val="22"/>
        </w:rPr>
        <w:t xml:space="preserve"> </w:t>
      </w:r>
    </w:p>
    <w:p w14:paraId="669804F3" w14:textId="77777777" w:rsidR="000C5D09" w:rsidRPr="00CD0D6A" w:rsidRDefault="000C5D09" w:rsidP="000C5D09">
      <w:pPr>
        <w:pStyle w:val="ListParagraph"/>
        <w:numPr>
          <w:ilvl w:val="1"/>
          <w:numId w:val="1"/>
        </w:numPr>
        <w:spacing w:after="120"/>
        <w:rPr>
          <w:rFonts w:ascii="Verdana" w:hAnsi="Verdana"/>
          <w:sz w:val="22"/>
          <w:szCs w:val="22"/>
        </w:rPr>
      </w:pPr>
      <w:r w:rsidRPr="00CD0D6A">
        <w:rPr>
          <w:rFonts w:ascii="Verdana" w:eastAsia="Arial" w:hAnsi="Verdana" w:cs="Arial"/>
          <w:sz w:val="22"/>
          <w:szCs w:val="22"/>
        </w:rPr>
        <w:t>(2) one-year change in mean AD-signature cortical thickness (mm), calculated as the mean across all AD cortical signature regions derived from structural MRI at both time points</w:t>
      </w:r>
    </w:p>
    <w:p w14:paraId="5296A9FD" w14:textId="58483EA4" w:rsidR="001B2CA0" w:rsidRPr="00CD0D6A" w:rsidRDefault="001B2CA0" w:rsidP="001B2CA0">
      <w:pPr>
        <w:pStyle w:val="ListParagraph"/>
        <w:numPr>
          <w:ilvl w:val="0"/>
          <w:numId w:val="1"/>
        </w:numPr>
        <w:spacing w:after="120"/>
        <w:rPr>
          <w:rFonts w:ascii="Verdana" w:hAnsi="Verdana"/>
          <w:sz w:val="22"/>
          <w:szCs w:val="22"/>
        </w:rPr>
      </w:pPr>
      <w:r w:rsidRPr="00CD0D6A">
        <w:rPr>
          <w:rFonts w:ascii="Verdana" w:eastAsia="Arial" w:hAnsi="Verdana" w:cs="Arial"/>
          <w:sz w:val="22"/>
          <w:szCs w:val="22"/>
        </w:rPr>
        <w:t xml:space="preserve">Primary predictors are: </w:t>
      </w:r>
    </w:p>
    <w:p w14:paraId="6223855B" w14:textId="77777777" w:rsidR="000B3F3C" w:rsidRPr="00CD0D6A" w:rsidRDefault="000B3F3C" w:rsidP="001B2CA0">
      <w:pPr>
        <w:pStyle w:val="ListParagraph"/>
        <w:numPr>
          <w:ilvl w:val="1"/>
          <w:numId w:val="1"/>
        </w:numPr>
        <w:spacing w:after="120"/>
        <w:rPr>
          <w:rFonts w:ascii="Verdana" w:hAnsi="Verdana"/>
          <w:sz w:val="22"/>
          <w:szCs w:val="22"/>
        </w:rPr>
      </w:pPr>
      <w:r w:rsidRPr="00CD0D6A">
        <w:rPr>
          <w:rFonts w:ascii="Verdana" w:eastAsia="Arial" w:hAnsi="Verdana" w:cs="Arial"/>
          <w:sz w:val="22"/>
          <w:szCs w:val="22"/>
        </w:rPr>
        <w:t>(1) baseline plasma levels of IL-6, TNF-α, MCP-1, and Eotaxin-1 (Hypothesis 1a)</w:t>
      </w:r>
      <w:r w:rsidRPr="00CD0D6A">
        <w:rPr>
          <w:rFonts w:ascii="Verdana" w:eastAsia="Arial" w:hAnsi="Verdana" w:cs="Arial"/>
          <w:sz w:val="22"/>
          <w:szCs w:val="22"/>
        </w:rPr>
        <w:t xml:space="preserve"> </w:t>
      </w:r>
    </w:p>
    <w:p w14:paraId="39FDAF9D" w14:textId="3F4392A7" w:rsidR="00CD0D6A" w:rsidRPr="00CD0D6A" w:rsidRDefault="00CD0D6A" w:rsidP="00CD0D6A">
      <w:pPr>
        <w:pStyle w:val="ListParagraph"/>
        <w:numPr>
          <w:ilvl w:val="1"/>
          <w:numId w:val="1"/>
        </w:numPr>
        <w:spacing w:after="120"/>
        <w:rPr>
          <w:rFonts w:ascii="Verdana" w:hAnsi="Verdana"/>
          <w:sz w:val="22"/>
          <w:szCs w:val="22"/>
        </w:rPr>
      </w:pPr>
      <w:r w:rsidRPr="00CD0D6A">
        <w:rPr>
          <w:rFonts w:ascii="Verdana" w:eastAsia="Arial" w:hAnsi="Verdana" w:cs="Arial"/>
          <w:sz w:val="22"/>
          <w:szCs w:val="22"/>
        </w:rPr>
        <w:t>(2) change in those same four markers from baseline to follow-up (Hypothesis 1b).</w:t>
      </w:r>
    </w:p>
    <w:p w14:paraId="4EEF6324" w14:textId="2C7FB2DE" w:rsidR="00E52081" w:rsidRPr="00CD0D6A" w:rsidRDefault="00E52081" w:rsidP="00CD0D6A">
      <w:pPr>
        <w:spacing w:after="120"/>
        <w:rPr>
          <w:rFonts w:ascii="Verdana" w:hAnsi="Verdana"/>
          <w:sz w:val="22"/>
          <w:szCs w:val="22"/>
        </w:rPr>
      </w:pPr>
      <w:r w:rsidRPr="00CD0D6A">
        <w:rPr>
          <w:rFonts w:ascii="Verdana" w:hAnsi="Verdana"/>
          <w:sz w:val="22"/>
          <w:szCs w:val="22"/>
        </w:rPr>
        <w:t>Aim 2:</w:t>
      </w:r>
    </w:p>
    <w:p w14:paraId="29C87094" w14:textId="6A79543C" w:rsidR="00E52081" w:rsidRPr="00CD0D6A" w:rsidRDefault="00E76D7E" w:rsidP="00E52081">
      <w:pPr>
        <w:pStyle w:val="ListParagraph"/>
        <w:numPr>
          <w:ilvl w:val="0"/>
          <w:numId w:val="1"/>
        </w:numPr>
        <w:spacing w:after="120"/>
        <w:rPr>
          <w:rFonts w:ascii="Verdana" w:hAnsi="Verdana"/>
          <w:sz w:val="22"/>
          <w:szCs w:val="22"/>
        </w:rPr>
      </w:pPr>
      <w:r w:rsidRPr="00CD0D6A">
        <w:rPr>
          <w:rFonts w:ascii="Verdana" w:eastAsia="Arial" w:hAnsi="Verdana" w:cs="Arial"/>
          <w:sz w:val="22"/>
          <w:szCs w:val="22"/>
        </w:rPr>
        <w:t>Hypothesis 2: The co-occurrence of elevated peripheral inflammatory markers and significant amyloid deposition will be the strongest predictor of one-year decline in episodic memory and AD-signature cortical thickness, beyond the independent effects of either factor alone.</w:t>
      </w:r>
    </w:p>
    <w:p w14:paraId="0A25584B" w14:textId="74AD7147" w:rsidR="00E76D7E" w:rsidRPr="00CD0D6A" w:rsidRDefault="00E76D7E" w:rsidP="00E52081">
      <w:pPr>
        <w:pStyle w:val="ListParagraph"/>
        <w:numPr>
          <w:ilvl w:val="0"/>
          <w:numId w:val="1"/>
        </w:numPr>
        <w:spacing w:after="120"/>
        <w:rPr>
          <w:rFonts w:ascii="Verdana" w:hAnsi="Verdana"/>
          <w:sz w:val="22"/>
          <w:szCs w:val="22"/>
        </w:rPr>
      </w:pPr>
      <w:r w:rsidRPr="00CD0D6A">
        <w:rPr>
          <w:rFonts w:ascii="Verdana" w:eastAsia="Arial" w:hAnsi="Verdana" w:cs="Arial"/>
          <w:sz w:val="22"/>
          <w:szCs w:val="22"/>
        </w:rPr>
        <w:t>Primary outcomes</w:t>
      </w:r>
    </w:p>
    <w:p w14:paraId="0660AE5E" w14:textId="54FD7ABC" w:rsidR="00E352E8" w:rsidRPr="00CD0D6A" w:rsidRDefault="00E352E8" w:rsidP="00E352E8">
      <w:pPr>
        <w:pStyle w:val="ListParagraph"/>
        <w:numPr>
          <w:ilvl w:val="1"/>
          <w:numId w:val="1"/>
        </w:numPr>
        <w:spacing w:after="120"/>
        <w:rPr>
          <w:rFonts w:ascii="Verdana" w:hAnsi="Verdana"/>
          <w:sz w:val="22"/>
          <w:szCs w:val="22"/>
        </w:rPr>
      </w:pPr>
      <w:r w:rsidRPr="00CD0D6A">
        <w:rPr>
          <w:rFonts w:ascii="Verdana" w:eastAsia="Arial" w:hAnsi="Verdana" w:cs="Arial"/>
          <w:sz w:val="22"/>
          <w:szCs w:val="22"/>
        </w:rPr>
        <w:t>Identical to Aim 1</w:t>
      </w:r>
    </w:p>
    <w:p w14:paraId="74A6405E" w14:textId="374DEC93" w:rsidR="00E352E8" w:rsidRPr="00CD0D6A" w:rsidRDefault="00E352E8" w:rsidP="00E352E8">
      <w:pPr>
        <w:pStyle w:val="ListParagraph"/>
        <w:numPr>
          <w:ilvl w:val="0"/>
          <w:numId w:val="1"/>
        </w:numPr>
        <w:spacing w:after="120"/>
        <w:rPr>
          <w:rFonts w:ascii="Verdana" w:hAnsi="Verdana"/>
          <w:sz w:val="22"/>
          <w:szCs w:val="22"/>
        </w:rPr>
      </w:pPr>
      <w:r w:rsidRPr="00CD0D6A">
        <w:rPr>
          <w:rFonts w:ascii="Verdana" w:eastAsia="Arial" w:hAnsi="Verdana" w:cs="Arial"/>
          <w:sz w:val="22"/>
          <w:szCs w:val="22"/>
        </w:rPr>
        <w:t>Primary predictors:</w:t>
      </w:r>
    </w:p>
    <w:p w14:paraId="77D36968" w14:textId="77777777" w:rsidR="00355300" w:rsidRDefault="00355300" w:rsidP="00355300">
      <w:pPr>
        <w:pStyle w:val="ListParagraph"/>
        <w:numPr>
          <w:ilvl w:val="1"/>
          <w:numId w:val="1"/>
        </w:numPr>
        <w:rPr>
          <w:rFonts w:ascii="Verdana" w:eastAsia="Arial" w:hAnsi="Verdana" w:cs="Arial"/>
          <w:sz w:val="22"/>
          <w:szCs w:val="22"/>
        </w:rPr>
      </w:pPr>
      <w:r w:rsidRPr="00355300">
        <w:rPr>
          <w:rFonts w:ascii="Verdana" w:eastAsia="Arial" w:hAnsi="Verdana" w:cs="Arial"/>
          <w:sz w:val="22"/>
          <w:szCs w:val="22"/>
        </w:rPr>
        <w:t xml:space="preserve">(1) plasma levels of IL-6, TNF-alpha, MCP-1, and Eotaxin-1; </w:t>
      </w:r>
    </w:p>
    <w:p w14:paraId="32FE89AD" w14:textId="77777777" w:rsidR="00355300" w:rsidRDefault="00355300" w:rsidP="00355300">
      <w:pPr>
        <w:pStyle w:val="ListParagraph"/>
        <w:numPr>
          <w:ilvl w:val="1"/>
          <w:numId w:val="1"/>
        </w:numPr>
        <w:rPr>
          <w:rFonts w:ascii="Verdana" w:eastAsia="Arial" w:hAnsi="Verdana" w:cs="Arial"/>
          <w:sz w:val="22"/>
          <w:szCs w:val="22"/>
        </w:rPr>
      </w:pPr>
      <w:r w:rsidRPr="00355300">
        <w:rPr>
          <w:rFonts w:ascii="Verdana" w:eastAsia="Arial" w:hAnsi="Verdana" w:cs="Arial"/>
          <w:sz w:val="22"/>
          <w:szCs w:val="22"/>
        </w:rPr>
        <w:t xml:space="preserve">(2) amyloid deposition as a continuous PET SUVR variable; and </w:t>
      </w:r>
    </w:p>
    <w:p w14:paraId="58534AAA" w14:textId="1CA52961" w:rsidR="001B2CA0" w:rsidRPr="00EF23AF" w:rsidRDefault="00355300" w:rsidP="00EF23AF">
      <w:pPr>
        <w:pStyle w:val="ListParagraph"/>
        <w:numPr>
          <w:ilvl w:val="1"/>
          <w:numId w:val="1"/>
        </w:numPr>
        <w:rPr>
          <w:rFonts w:ascii="Verdana" w:eastAsia="Arial" w:hAnsi="Verdana" w:cs="Arial"/>
          <w:sz w:val="22"/>
          <w:szCs w:val="22"/>
        </w:rPr>
      </w:pPr>
      <w:r w:rsidRPr="00355300">
        <w:rPr>
          <w:rFonts w:ascii="Verdana" w:eastAsia="Arial" w:hAnsi="Verdana" w:cs="Arial"/>
          <w:sz w:val="22"/>
          <w:szCs w:val="22"/>
        </w:rPr>
        <w:lastRenderedPageBreak/>
        <w:t>(3) the multiplicative interaction between each inflammatory marker and amyloid SUVR.</w:t>
      </w:r>
    </w:p>
    <w:p w14:paraId="7F21A7CB" w14:textId="77777777" w:rsidR="001B2CA0" w:rsidRPr="00CD0D6A" w:rsidRDefault="00C06476" w:rsidP="00C06476">
      <w:pPr>
        <w:pStyle w:val="NormalWeb"/>
        <w:shd w:val="clear" w:color="auto" w:fill="FFFFFF"/>
        <w:spacing w:before="180" w:beforeAutospacing="0" w:after="180" w:afterAutospacing="0"/>
        <w:rPr>
          <w:rFonts w:ascii="Verdana" w:hAnsi="Verdana"/>
          <w:color w:val="273540"/>
          <w:sz w:val="22"/>
          <w:szCs w:val="22"/>
        </w:rPr>
      </w:pPr>
      <w:r w:rsidRPr="00CD0D6A">
        <w:rPr>
          <w:rFonts w:ascii="Verdana" w:hAnsi="Verdana"/>
          <w:color w:val="273540"/>
          <w:sz w:val="22"/>
          <w:szCs w:val="22"/>
        </w:rPr>
        <w:t>2. The over-all analysis approach you will be using for each hypothesis</w:t>
      </w:r>
    </w:p>
    <w:p w14:paraId="55DBF593" w14:textId="77777777" w:rsidR="00403840" w:rsidRPr="00403840" w:rsidRDefault="00403840" w:rsidP="001B2CA0">
      <w:pPr>
        <w:pStyle w:val="NormalWeb"/>
        <w:numPr>
          <w:ilvl w:val="0"/>
          <w:numId w:val="2"/>
        </w:numPr>
        <w:shd w:val="clear" w:color="auto" w:fill="FFFFFF"/>
        <w:spacing w:before="180" w:beforeAutospacing="0" w:after="180" w:afterAutospacing="0"/>
        <w:rPr>
          <w:rFonts w:ascii="Verdana" w:hAnsi="Verdana"/>
          <w:color w:val="273540"/>
          <w:sz w:val="22"/>
          <w:szCs w:val="22"/>
        </w:rPr>
      </w:pPr>
      <w:r w:rsidRPr="00403840">
        <w:rPr>
          <w:rFonts w:ascii="Verdana" w:eastAsia="Arial" w:hAnsi="Verdana" w:cs="Arial"/>
          <w:sz w:val="22"/>
          <w:szCs w:val="22"/>
        </w:rPr>
        <w:t xml:space="preserve">Hypothesis 1a, separate linear regression models will be fit for each cytokine/chemokine (4 markers) by outcome (memory tests and cortical thickness) combination, with change scores as the dependent variable and baseline score on the relevant outcome included as a covariate. </w:t>
      </w:r>
    </w:p>
    <w:p w14:paraId="174A3B67" w14:textId="77777777" w:rsidR="00930D1C" w:rsidRPr="00930D1C" w:rsidRDefault="00930D1C" w:rsidP="00930D1C">
      <w:pPr>
        <w:pStyle w:val="NormalWeb"/>
        <w:numPr>
          <w:ilvl w:val="0"/>
          <w:numId w:val="2"/>
        </w:numPr>
        <w:shd w:val="clear" w:color="auto" w:fill="FFFFFF"/>
        <w:spacing w:before="180" w:after="180"/>
        <w:rPr>
          <w:rFonts w:ascii="Verdana" w:eastAsia="Arial" w:hAnsi="Verdana" w:cs="Arial"/>
          <w:sz w:val="22"/>
          <w:szCs w:val="22"/>
        </w:rPr>
      </w:pPr>
      <w:r w:rsidRPr="00930D1C">
        <w:rPr>
          <w:rFonts w:ascii="Verdana" w:eastAsia="Arial" w:hAnsi="Verdana" w:cs="Arial"/>
          <w:sz w:val="22"/>
          <w:szCs w:val="22"/>
        </w:rPr>
        <w:t>Hypothesis 1b, identical models will be fit with change in cytokine/chemokine levels as the predictor. This two-timepoint change score approach is appropriate given the study design of baseline and one-year follow-up only.</w:t>
      </w:r>
    </w:p>
    <w:p w14:paraId="1E5769BC" w14:textId="77777777" w:rsidR="002D7A5F" w:rsidRPr="002D7A5F" w:rsidRDefault="002D7A5F" w:rsidP="001B2CA0">
      <w:pPr>
        <w:pStyle w:val="NormalWeb"/>
        <w:numPr>
          <w:ilvl w:val="0"/>
          <w:numId w:val="2"/>
        </w:numPr>
        <w:shd w:val="clear" w:color="auto" w:fill="FFFFFF"/>
        <w:spacing w:before="180" w:beforeAutospacing="0" w:after="180" w:afterAutospacing="0"/>
        <w:rPr>
          <w:rFonts w:ascii="Verdana" w:hAnsi="Verdana"/>
          <w:color w:val="273540"/>
          <w:sz w:val="22"/>
          <w:szCs w:val="22"/>
        </w:rPr>
      </w:pPr>
      <w:r w:rsidRPr="002D7A5F">
        <w:rPr>
          <w:rFonts w:ascii="Verdana" w:eastAsia="Arial" w:hAnsi="Verdana" w:cs="Arial"/>
          <w:sz w:val="22"/>
          <w:szCs w:val="22"/>
        </w:rPr>
        <w:t xml:space="preserve">Covariates will include age, sex, APOE-e4 status (carrier vs. non-carrier), years of education, and cardiovascular and immune-related health variables (BMI, history of hypercholesterolemia, NSAID use, and immune-related health conditions). </w:t>
      </w:r>
    </w:p>
    <w:p w14:paraId="69B2E66B" w14:textId="07D7C9D4" w:rsidR="00A433A3" w:rsidRPr="00CD0D6A" w:rsidRDefault="00635631" w:rsidP="001B2CA0">
      <w:pPr>
        <w:pStyle w:val="NormalWeb"/>
        <w:numPr>
          <w:ilvl w:val="0"/>
          <w:numId w:val="2"/>
        </w:numPr>
        <w:shd w:val="clear" w:color="auto" w:fill="FFFFFF"/>
        <w:spacing w:before="180" w:beforeAutospacing="0" w:after="180" w:afterAutospacing="0"/>
        <w:rPr>
          <w:rFonts w:ascii="Verdana" w:hAnsi="Verdana"/>
          <w:color w:val="273540"/>
          <w:sz w:val="22"/>
          <w:szCs w:val="22"/>
        </w:rPr>
      </w:pPr>
      <w:r w:rsidRPr="00CD0D6A">
        <w:rPr>
          <w:rFonts w:ascii="Verdana" w:eastAsia="Arial" w:hAnsi="Verdana" w:cs="Arial"/>
          <w:sz w:val="22"/>
          <w:szCs w:val="22"/>
        </w:rPr>
        <w:t xml:space="preserve">Hypothesis 2: </w:t>
      </w:r>
      <w:r w:rsidR="00343694" w:rsidRPr="00343694">
        <w:rPr>
          <w:rFonts w:ascii="Verdana" w:eastAsia="Arial" w:hAnsi="Verdana" w:cs="Arial"/>
          <w:sz w:val="22"/>
          <w:szCs w:val="22"/>
        </w:rPr>
        <w:t>hypothesis will be tested using linear regression models that include the main effect of each inflammatory marker, the main effect of amyloid SUVR, and their multiplicative interaction term, with one-year change scores as outcomes</w:t>
      </w:r>
    </w:p>
    <w:p w14:paraId="155CA746" w14:textId="21C8DF5C" w:rsidR="00635631" w:rsidRPr="00CD0D6A" w:rsidRDefault="00635631" w:rsidP="00A433A3">
      <w:pPr>
        <w:pStyle w:val="NormalWeb"/>
        <w:numPr>
          <w:ilvl w:val="1"/>
          <w:numId w:val="2"/>
        </w:numPr>
        <w:shd w:val="clear" w:color="auto" w:fill="FFFFFF"/>
        <w:spacing w:before="180" w:beforeAutospacing="0" w:after="180" w:afterAutospacing="0"/>
        <w:rPr>
          <w:rFonts w:ascii="Verdana" w:hAnsi="Verdana"/>
          <w:color w:val="273540"/>
          <w:sz w:val="22"/>
          <w:szCs w:val="22"/>
        </w:rPr>
      </w:pPr>
      <w:r w:rsidRPr="00CD0D6A">
        <w:rPr>
          <w:rFonts w:ascii="Verdana" w:eastAsia="Arial" w:hAnsi="Verdana" w:cs="Arial"/>
          <w:sz w:val="22"/>
          <w:szCs w:val="22"/>
        </w:rPr>
        <w:t>Covariates will mirror those in Aim 1</w:t>
      </w:r>
    </w:p>
    <w:p w14:paraId="373AA03D" w14:textId="77777777" w:rsidR="00C06476" w:rsidRPr="00CD0D6A" w:rsidRDefault="00C06476" w:rsidP="00C06476">
      <w:pPr>
        <w:pStyle w:val="NormalWeb"/>
        <w:shd w:val="clear" w:color="auto" w:fill="FFFFFF"/>
        <w:spacing w:before="180" w:beforeAutospacing="0" w:after="180" w:afterAutospacing="0"/>
        <w:rPr>
          <w:rFonts w:ascii="Verdana" w:hAnsi="Verdana"/>
          <w:color w:val="273540"/>
          <w:sz w:val="22"/>
          <w:szCs w:val="22"/>
        </w:rPr>
      </w:pPr>
      <w:r w:rsidRPr="00CD0D6A">
        <w:rPr>
          <w:rFonts w:ascii="Verdana" w:hAnsi="Verdana"/>
          <w:color w:val="273540"/>
          <w:sz w:val="22"/>
          <w:szCs w:val="22"/>
        </w:rPr>
        <w:t>3. How you will approach/incorporate the other data/variables available besides the outcomes and predictors of interest</w:t>
      </w:r>
    </w:p>
    <w:p w14:paraId="6F579271" w14:textId="77777777" w:rsidR="0006426D" w:rsidRPr="0006426D" w:rsidRDefault="0006426D" w:rsidP="0006426D">
      <w:pPr>
        <w:pStyle w:val="NormalWeb"/>
        <w:shd w:val="clear" w:color="auto" w:fill="FFFFFF"/>
        <w:spacing w:before="180" w:beforeAutospacing="0" w:after="180" w:afterAutospacing="0"/>
        <w:rPr>
          <w:rFonts w:ascii="Verdana" w:hAnsi="Verdana"/>
          <w:color w:val="273540"/>
          <w:sz w:val="22"/>
          <w:szCs w:val="22"/>
        </w:rPr>
      </w:pPr>
      <w:r w:rsidRPr="0006426D">
        <w:rPr>
          <w:rFonts w:ascii="Verdana" w:hAnsi="Verdana"/>
          <w:color w:val="273540"/>
          <w:sz w:val="22"/>
          <w:szCs w:val="22"/>
        </w:rPr>
        <w:t>All models in Aims 1 and 2 will include age, sex, APOE-ε4 carrier status, and years of education as covariates, given their well-established associations with both inflammatory markers and cognitive aging. These variables will be entered as a covariate block in all primary regression models.</w:t>
      </w:r>
    </w:p>
    <w:p w14:paraId="1EC09789" w14:textId="253201BF" w:rsidR="00EC3E52" w:rsidRPr="00CD0D6A" w:rsidRDefault="0006426D" w:rsidP="00C06476">
      <w:pPr>
        <w:pStyle w:val="NormalWeb"/>
        <w:shd w:val="clear" w:color="auto" w:fill="FFFFFF"/>
        <w:spacing w:before="180" w:beforeAutospacing="0" w:after="180" w:afterAutospacing="0"/>
        <w:rPr>
          <w:rFonts w:ascii="Verdana" w:hAnsi="Verdana"/>
          <w:color w:val="273540"/>
          <w:sz w:val="22"/>
          <w:szCs w:val="22"/>
        </w:rPr>
      </w:pPr>
      <w:r w:rsidRPr="0006426D">
        <w:rPr>
          <w:rFonts w:ascii="Verdana" w:hAnsi="Verdana"/>
          <w:color w:val="273540"/>
          <w:sz w:val="22"/>
          <w:szCs w:val="22"/>
        </w:rPr>
        <w:t>Beyond these standard covariates, cardiovascular and immune-related health variables available in the dataset</w:t>
      </w:r>
      <w:r w:rsidR="001E04F6">
        <w:rPr>
          <w:rFonts w:ascii="Verdana" w:hAnsi="Verdana"/>
          <w:color w:val="273540"/>
          <w:sz w:val="22"/>
          <w:szCs w:val="22"/>
        </w:rPr>
        <w:t xml:space="preserve">, </w:t>
      </w:r>
      <w:r w:rsidRPr="0006426D">
        <w:rPr>
          <w:rFonts w:ascii="Verdana" w:hAnsi="Verdana"/>
          <w:color w:val="273540"/>
          <w:sz w:val="22"/>
          <w:szCs w:val="22"/>
        </w:rPr>
        <w:t>including BMI, history of hypercholesterolemia, NSAID use, and immune-related health conditions</w:t>
      </w:r>
      <w:r w:rsidR="001E04F6">
        <w:rPr>
          <w:rFonts w:ascii="Verdana" w:hAnsi="Verdana"/>
          <w:color w:val="273540"/>
          <w:sz w:val="22"/>
          <w:szCs w:val="22"/>
        </w:rPr>
        <w:t>,</w:t>
      </w:r>
      <w:r w:rsidRPr="0006426D">
        <w:rPr>
          <w:rFonts w:ascii="Verdana" w:hAnsi="Verdana"/>
          <w:color w:val="273540"/>
          <w:sz w:val="22"/>
          <w:szCs w:val="22"/>
        </w:rPr>
        <w:t xml:space="preserve"> will be evaluated for inclusion. Because these variables are conceptually related and expected to correlate with one another, variance inflation factors (VIF) will be examined prior to model fitting. Any variable with VIF &gt; 10 will be flagged; if collinearity is problematic across multiple variables, a summary score will be derived or the least informative variable dropped to maintain model stability.</w:t>
      </w:r>
    </w:p>
    <w:p w14:paraId="5F220665" w14:textId="77777777" w:rsidR="00C06476" w:rsidRPr="00CD0D6A" w:rsidRDefault="00C06476" w:rsidP="00C06476">
      <w:pPr>
        <w:pStyle w:val="NormalWeb"/>
        <w:shd w:val="clear" w:color="auto" w:fill="FFFFFF"/>
        <w:spacing w:before="180" w:beforeAutospacing="0" w:after="180" w:afterAutospacing="0"/>
        <w:rPr>
          <w:rFonts w:ascii="Verdana" w:hAnsi="Verdana"/>
          <w:color w:val="273540"/>
          <w:sz w:val="22"/>
          <w:szCs w:val="22"/>
        </w:rPr>
      </w:pPr>
      <w:r w:rsidRPr="00CD0D6A">
        <w:rPr>
          <w:rFonts w:ascii="Verdana" w:hAnsi="Verdana"/>
          <w:color w:val="273540"/>
          <w:sz w:val="22"/>
          <w:szCs w:val="22"/>
        </w:rPr>
        <w:t>4. What power/sample size calculations you will conduct for each of the hypotheses of interest</w:t>
      </w:r>
    </w:p>
    <w:p w14:paraId="63B03424" w14:textId="3FE7812A" w:rsidR="00EC3E52" w:rsidRPr="00CD0D6A" w:rsidRDefault="006674FD" w:rsidP="006674FD">
      <w:pPr>
        <w:pStyle w:val="NormalWeb"/>
        <w:numPr>
          <w:ilvl w:val="0"/>
          <w:numId w:val="3"/>
        </w:numPr>
        <w:shd w:val="clear" w:color="auto" w:fill="FFFFFF"/>
        <w:spacing w:before="180" w:beforeAutospacing="0" w:after="180" w:afterAutospacing="0"/>
        <w:rPr>
          <w:rFonts w:ascii="Verdana" w:hAnsi="Verdana"/>
          <w:color w:val="273540"/>
          <w:sz w:val="22"/>
          <w:szCs w:val="22"/>
        </w:rPr>
      </w:pPr>
      <w:r w:rsidRPr="00CD0D6A">
        <w:rPr>
          <w:rFonts w:ascii="Verdana" w:eastAsia="Arial" w:hAnsi="Verdana" w:cs="Arial"/>
          <w:sz w:val="22"/>
          <w:szCs w:val="22"/>
        </w:rPr>
        <w:t>Aim 1 will be conducted in R for multiple linear regression, evaluating the ability to detect the contribution of cytokine/chemokine predictors over and above covariates. Calculations will be based on the projected final analytic sample of 175 participants (125 aMCI + 50 HC combined, after ~10% attrition from 192 enrolled)</w:t>
      </w:r>
    </w:p>
    <w:p w14:paraId="76E7D10F" w14:textId="2A28D04B" w:rsidR="00AE73FB" w:rsidRPr="00CD0D6A" w:rsidRDefault="00AE73FB" w:rsidP="00AE73FB">
      <w:pPr>
        <w:pStyle w:val="ListParagraph"/>
        <w:numPr>
          <w:ilvl w:val="0"/>
          <w:numId w:val="3"/>
        </w:numPr>
        <w:spacing w:after="120"/>
        <w:rPr>
          <w:rFonts w:ascii="Verdana" w:hAnsi="Verdana"/>
          <w:sz w:val="22"/>
          <w:szCs w:val="22"/>
        </w:rPr>
      </w:pPr>
      <w:r w:rsidRPr="00CD0D6A">
        <w:rPr>
          <w:rFonts w:ascii="Verdana" w:eastAsia="Arial" w:hAnsi="Verdana" w:cs="Arial"/>
          <w:sz w:val="22"/>
          <w:szCs w:val="22"/>
        </w:rPr>
        <w:lastRenderedPageBreak/>
        <w:t>Aim 2 will be conducted in R for the detection of a statistically significant interaction term in multiple linear regression. Interaction effects are typically smaller than main effects; accordingly, literature-based estimates of interaction effect sizes in comparable inflammation x amyloid studies will be used, and sensitivity analyses across a range of plausible effect sizes will be reported. The same projected analytic sample of 175 participants applies. Power will be reported for each outcome (memory and cortical thickness) separately.</w:t>
      </w:r>
    </w:p>
    <w:p w14:paraId="74B5A0D4" w14:textId="77777777" w:rsidR="00AE73FB" w:rsidRPr="00CD0D6A" w:rsidRDefault="00AE73FB" w:rsidP="006674FD">
      <w:pPr>
        <w:pStyle w:val="NormalWeb"/>
        <w:numPr>
          <w:ilvl w:val="0"/>
          <w:numId w:val="3"/>
        </w:numPr>
        <w:shd w:val="clear" w:color="auto" w:fill="FFFFFF"/>
        <w:spacing w:before="180" w:beforeAutospacing="0" w:after="180" w:afterAutospacing="0"/>
        <w:rPr>
          <w:rFonts w:ascii="Verdana" w:hAnsi="Verdana"/>
          <w:color w:val="273540"/>
          <w:sz w:val="22"/>
          <w:szCs w:val="22"/>
        </w:rPr>
      </w:pPr>
    </w:p>
    <w:p w14:paraId="375C4069" w14:textId="77777777" w:rsidR="00C06476" w:rsidRPr="00CD0D6A" w:rsidRDefault="00C06476" w:rsidP="00C06476">
      <w:pPr>
        <w:pStyle w:val="NormalWeb"/>
        <w:shd w:val="clear" w:color="auto" w:fill="FFFFFF"/>
        <w:spacing w:before="180" w:beforeAutospacing="0" w:after="180" w:afterAutospacing="0"/>
        <w:rPr>
          <w:rFonts w:ascii="Verdana" w:hAnsi="Verdana"/>
          <w:color w:val="273540"/>
          <w:sz w:val="22"/>
          <w:szCs w:val="22"/>
        </w:rPr>
      </w:pPr>
      <w:r w:rsidRPr="00CD0D6A">
        <w:rPr>
          <w:rFonts w:ascii="Verdana" w:hAnsi="Verdana"/>
          <w:color w:val="273540"/>
          <w:sz w:val="22"/>
          <w:szCs w:val="22"/>
        </w:rPr>
        <w:t>5. Not required for interim, but will be required for final: thoughts on your approach to type I error control.</w:t>
      </w:r>
    </w:p>
    <w:p w14:paraId="691FCF50" w14:textId="77777777" w:rsidR="00FD2F3C" w:rsidRPr="00CD0D6A" w:rsidRDefault="00FD2F3C">
      <w:pPr>
        <w:rPr>
          <w:rFonts w:ascii="Verdana" w:hAnsi="Verdana"/>
          <w:sz w:val="22"/>
          <w:szCs w:val="22"/>
        </w:rPr>
      </w:pPr>
    </w:p>
    <w:p w14:paraId="7E1C6C40" w14:textId="3952AA36" w:rsidR="00051E0C" w:rsidRPr="00CD0D6A" w:rsidRDefault="001E04F6">
      <w:pPr>
        <w:rPr>
          <w:rFonts w:ascii="Verdana" w:hAnsi="Verdana"/>
          <w:sz w:val="22"/>
          <w:szCs w:val="22"/>
        </w:rPr>
      </w:pPr>
      <w:r>
        <w:rPr>
          <w:rFonts w:ascii="Verdana" w:hAnsi="Verdana"/>
          <w:sz w:val="22"/>
          <w:szCs w:val="22"/>
        </w:rPr>
        <w:br w:type="page"/>
      </w:r>
    </w:p>
    <w:p w14:paraId="11B77A19" w14:textId="283144BE" w:rsidR="00051E0C" w:rsidRPr="00CD0D6A" w:rsidRDefault="00051E0C">
      <w:pPr>
        <w:rPr>
          <w:rFonts w:ascii="Verdana" w:hAnsi="Verdana"/>
          <w:sz w:val="22"/>
          <w:szCs w:val="22"/>
        </w:rPr>
      </w:pPr>
      <w:r w:rsidRPr="00CD0D6A">
        <w:rPr>
          <w:rFonts w:ascii="Verdana" w:hAnsi="Verdana"/>
          <w:sz w:val="22"/>
          <w:szCs w:val="22"/>
        </w:rPr>
        <w:lastRenderedPageBreak/>
        <w:t>PI Questions</w:t>
      </w:r>
      <w:r w:rsidR="001E04F6">
        <w:rPr>
          <w:rFonts w:ascii="Verdana" w:hAnsi="Verdana"/>
          <w:sz w:val="22"/>
          <w:szCs w:val="22"/>
        </w:rPr>
        <w:t>/Notes from Class:</w:t>
      </w:r>
    </w:p>
    <w:p w14:paraId="6670F1F2" w14:textId="77777777" w:rsidR="00051E0C" w:rsidRPr="00CD0D6A" w:rsidRDefault="00051E0C" w:rsidP="00051E0C">
      <w:pPr>
        <w:pStyle w:val="ListParagraph"/>
        <w:numPr>
          <w:ilvl w:val="0"/>
          <w:numId w:val="4"/>
        </w:numPr>
        <w:rPr>
          <w:rFonts w:ascii="Verdana" w:hAnsi="Verdana"/>
          <w:sz w:val="22"/>
          <w:szCs w:val="22"/>
        </w:rPr>
      </w:pPr>
      <w:r w:rsidRPr="00CD0D6A">
        <w:rPr>
          <w:rFonts w:ascii="Verdana" w:hAnsi="Verdana"/>
          <w:b/>
          <w:bCs/>
          <w:sz w:val="22"/>
          <w:szCs w:val="22"/>
        </w:rPr>
        <w:t xml:space="preserve"> How is episodic memory measured?</w:t>
      </w:r>
      <w:r w:rsidRPr="00CD0D6A">
        <w:rPr>
          <w:rFonts w:ascii="Verdana" w:hAnsi="Verdana"/>
          <w:sz w:val="22"/>
          <w:szCs w:val="22"/>
        </w:rPr>
        <w:t xml:space="preserve"> A single test score, a composite of multiple tests, or something else? Is change simply follow-up minus baseline, or is reliable change index used? </w:t>
      </w:r>
    </w:p>
    <w:p w14:paraId="1F64434E" w14:textId="1A5EA0E7" w:rsidR="006D16AB" w:rsidRPr="00CD0D6A" w:rsidRDefault="006D16AB" w:rsidP="006D16AB">
      <w:pPr>
        <w:pStyle w:val="ListParagraph"/>
        <w:numPr>
          <w:ilvl w:val="1"/>
          <w:numId w:val="4"/>
        </w:numPr>
        <w:rPr>
          <w:rFonts w:ascii="Verdana" w:hAnsi="Verdana"/>
          <w:sz w:val="22"/>
          <w:szCs w:val="22"/>
        </w:rPr>
      </w:pPr>
      <w:r w:rsidRPr="00CD0D6A">
        <w:rPr>
          <w:rFonts w:ascii="Verdana" w:hAnsi="Verdana"/>
          <w:sz w:val="22"/>
          <w:szCs w:val="22"/>
        </w:rPr>
        <w:t>Keep the test scores separately</w:t>
      </w:r>
      <w:r w:rsidR="00D70739" w:rsidRPr="00CD0D6A">
        <w:rPr>
          <w:rFonts w:ascii="Verdana" w:hAnsi="Verdana"/>
          <w:sz w:val="22"/>
          <w:szCs w:val="22"/>
        </w:rPr>
        <w:t>, do not combine the memory test scores into a composite score</w:t>
      </w:r>
    </w:p>
    <w:p w14:paraId="5ADE8ED4" w14:textId="77777777" w:rsidR="00051E0C" w:rsidRPr="00CD0D6A" w:rsidRDefault="00051E0C" w:rsidP="00051E0C">
      <w:pPr>
        <w:pStyle w:val="ListParagraph"/>
        <w:numPr>
          <w:ilvl w:val="0"/>
          <w:numId w:val="4"/>
        </w:numPr>
        <w:rPr>
          <w:rFonts w:ascii="Verdana" w:hAnsi="Verdana"/>
          <w:sz w:val="22"/>
          <w:szCs w:val="22"/>
        </w:rPr>
      </w:pPr>
      <w:r w:rsidRPr="00CD0D6A">
        <w:rPr>
          <w:rFonts w:ascii="Verdana" w:hAnsi="Verdana"/>
          <w:b/>
          <w:bCs/>
          <w:sz w:val="22"/>
          <w:szCs w:val="22"/>
        </w:rPr>
        <w:t>How many cytokines/chemokines are being measured, and what are they?</w:t>
      </w:r>
      <w:r w:rsidRPr="00CD0D6A">
        <w:rPr>
          <w:rFonts w:ascii="Verdana" w:hAnsi="Verdana"/>
          <w:sz w:val="22"/>
          <w:szCs w:val="22"/>
        </w:rPr>
        <w:t xml:space="preserve"> The exact number directly determines how stringent the FDR correction needs to be and drives the power calculations. </w:t>
      </w:r>
    </w:p>
    <w:p w14:paraId="4B420760" w14:textId="4CFECAE5" w:rsidR="0074018A" w:rsidRPr="00CD0D6A" w:rsidRDefault="0074018A" w:rsidP="0074018A">
      <w:pPr>
        <w:pStyle w:val="ListParagraph"/>
        <w:numPr>
          <w:ilvl w:val="1"/>
          <w:numId w:val="4"/>
        </w:numPr>
        <w:rPr>
          <w:rFonts w:ascii="Verdana" w:hAnsi="Verdana"/>
          <w:sz w:val="22"/>
          <w:szCs w:val="22"/>
        </w:rPr>
      </w:pPr>
      <w:r w:rsidRPr="00CD0D6A">
        <w:rPr>
          <w:rFonts w:ascii="Verdana" w:hAnsi="Verdana"/>
          <w:sz w:val="22"/>
          <w:szCs w:val="22"/>
        </w:rPr>
        <w:t xml:space="preserve">Panel measures 10 </w:t>
      </w:r>
      <w:r w:rsidR="00D4221E" w:rsidRPr="00CD0D6A">
        <w:rPr>
          <w:rFonts w:ascii="Verdana" w:hAnsi="Verdana"/>
          <w:sz w:val="22"/>
          <w:szCs w:val="22"/>
        </w:rPr>
        <w:t>cytokines but interested in 4?</w:t>
      </w:r>
    </w:p>
    <w:p w14:paraId="747D1F6B" w14:textId="77777777" w:rsidR="00051E0C" w:rsidRPr="00CD0D6A" w:rsidRDefault="00051E0C" w:rsidP="00051E0C">
      <w:pPr>
        <w:pStyle w:val="ListParagraph"/>
        <w:numPr>
          <w:ilvl w:val="0"/>
          <w:numId w:val="4"/>
        </w:numPr>
        <w:rPr>
          <w:rFonts w:ascii="Verdana" w:hAnsi="Verdana"/>
          <w:sz w:val="22"/>
          <w:szCs w:val="22"/>
        </w:rPr>
      </w:pPr>
      <w:r w:rsidRPr="00CD0D6A">
        <w:rPr>
          <w:rFonts w:ascii="Verdana" w:hAnsi="Verdana"/>
          <w:b/>
          <w:bCs/>
          <w:sz w:val="22"/>
          <w:szCs w:val="22"/>
        </w:rPr>
        <w:t>Is there a preferred way to summarize across cytokines</w:t>
      </w:r>
      <w:r w:rsidRPr="00CD0D6A">
        <w:rPr>
          <w:rFonts w:ascii="Verdana" w:hAnsi="Verdana"/>
          <w:sz w:val="22"/>
          <w:szCs w:val="22"/>
        </w:rPr>
        <w:t xml:space="preserve"> — individual markers only, a composite/index, or both? </w:t>
      </w:r>
    </w:p>
    <w:p w14:paraId="7373C1F9" w14:textId="77777777" w:rsidR="00051E0C" w:rsidRPr="00CD0D6A" w:rsidRDefault="00051E0C" w:rsidP="00051E0C">
      <w:pPr>
        <w:pStyle w:val="ListParagraph"/>
        <w:numPr>
          <w:ilvl w:val="0"/>
          <w:numId w:val="4"/>
        </w:numPr>
        <w:rPr>
          <w:rFonts w:ascii="Verdana" w:hAnsi="Verdana"/>
          <w:sz w:val="22"/>
          <w:szCs w:val="22"/>
        </w:rPr>
      </w:pPr>
      <w:r w:rsidRPr="00CD0D6A">
        <w:rPr>
          <w:rFonts w:ascii="Verdana" w:hAnsi="Verdana"/>
          <w:b/>
          <w:bCs/>
          <w:sz w:val="22"/>
          <w:szCs w:val="22"/>
        </w:rPr>
        <w:t>Is there any pilot data available</w:t>
      </w:r>
      <w:r w:rsidRPr="00CD0D6A">
        <w:rPr>
          <w:rFonts w:ascii="Verdana" w:hAnsi="Verdana"/>
          <w:sz w:val="22"/>
          <w:szCs w:val="22"/>
        </w:rPr>
        <w:t xml:space="preserve"> (means, SDs, correlations between inflammation markers and cognitive outcomes), or should effect sizes be drawn entirely from published literature? If the latter, are there specific papers you'd want referenced? </w:t>
      </w:r>
    </w:p>
    <w:p w14:paraId="0EB58184" w14:textId="77777777" w:rsidR="00051E0C" w:rsidRPr="00CD0D6A" w:rsidRDefault="00051E0C" w:rsidP="00051E0C">
      <w:pPr>
        <w:pStyle w:val="ListParagraph"/>
        <w:numPr>
          <w:ilvl w:val="0"/>
          <w:numId w:val="4"/>
        </w:numPr>
        <w:rPr>
          <w:rFonts w:ascii="Verdana" w:hAnsi="Verdana"/>
          <w:sz w:val="22"/>
          <w:szCs w:val="22"/>
        </w:rPr>
      </w:pPr>
      <w:r w:rsidRPr="00CD0D6A">
        <w:rPr>
          <w:rFonts w:ascii="Verdana" w:hAnsi="Verdana"/>
          <w:b/>
          <w:bCs/>
          <w:sz w:val="22"/>
          <w:szCs w:val="22"/>
        </w:rPr>
        <w:t>How is amyloid measured in this study?</w:t>
      </w:r>
      <w:r w:rsidRPr="00CD0D6A">
        <w:rPr>
          <w:rFonts w:ascii="Verdana" w:hAnsi="Verdana"/>
          <w:sz w:val="22"/>
          <w:szCs w:val="22"/>
        </w:rPr>
        <w:t xml:space="preserve"> Continuous PET SUVR, binary amyloid+/-, CSF, or a combination? If binary, what is the established cutoff being used? </w:t>
      </w:r>
    </w:p>
    <w:p w14:paraId="50782AB8" w14:textId="3CEEBA59" w:rsidR="006C7BFF" w:rsidRPr="00CD0D6A" w:rsidRDefault="00971BF5" w:rsidP="006C7BFF">
      <w:pPr>
        <w:pStyle w:val="ListParagraph"/>
        <w:numPr>
          <w:ilvl w:val="1"/>
          <w:numId w:val="4"/>
        </w:numPr>
        <w:rPr>
          <w:rFonts w:ascii="Verdana" w:hAnsi="Verdana"/>
          <w:sz w:val="22"/>
          <w:szCs w:val="22"/>
        </w:rPr>
      </w:pPr>
      <w:r w:rsidRPr="00CD0D6A">
        <w:rPr>
          <w:rFonts w:ascii="Verdana" w:hAnsi="Verdana"/>
          <w:sz w:val="22"/>
          <w:szCs w:val="22"/>
        </w:rPr>
        <w:t xml:space="preserve">Think that the more amyloid deposition the more the memory </w:t>
      </w:r>
    </w:p>
    <w:p w14:paraId="3502B1F1" w14:textId="4E965712" w:rsidR="00971BF5" w:rsidRPr="00CD0D6A" w:rsidRDefault="00971BF5" w:rsidP="006C7BFF">
      <w:pPr>
        <w:pStyle w:val="ListParagraph"/>
        <w:numPr>
          <w:ilvl w:val="1"/>
          <w:numId w:val="4"/>
        </w:numPr>
        <w:rPr>
          <w:rFonts w:ascii="Verdana" w:hAnsi="Verdana"/>
          <w:sz w:val="22"/>
          <w:szCs w:val="22"/>
        </w:rPr>
      </w:pPr>
      <w:r w:rsidRPr="00CD0D6A">
        <w:rPr>
          <w:rFonts w:ascii="Verdana" w:hAnsi="Verdana"/>
          <w:sz w:val="22"/>
          <w:szCs w:val="22"/>
        </w:rPr>
        <w:t>Continuous measurement</w:t>
      </w:r>
      <w:r w:rsidR="00E20D46" w:rsidRPr="00CD0D6A">
        <w:rPr>
          <w:rFonts w:ascii="Verdana" w:hAnsi="Verdana"/>
          <w:sz w:val="22"/>
          <w:szCs w:val="22"/>
        </w:rPr>
        <w:t xml:space="preserve"> – it’s its own variable</w:t>
      </w:r>
    </w:p>
    <w:p w14:paraId="04B218E1" w14:textId="629283BC" w:rsidR="000C4696" w:rsidRPr="00CD0D6A" w:rsidRDefault="000C4696" w:rsidP="006C7BFF">
      <w:pPr>
        <w:pStyle w:val="ListParagraph"/>
        <w:numPr>
          <w:ilvl w:val="1"/>
          <w:numId w:val="4"/>
        </w:numPr>
        <w:rPr>
          <w:rFonts w:ascii="Verdana" w:hAnsi="Verdana"/>
          <w:sz w:val="22"/>
          <w:szCs w:val="22"/>
        </w:rPr>
      </w:pPr>
      <w:r w:rsidRPr="00CD0D6A">
        <w:rPr>
          <w:rFonts w:ascii="Verdana" w:hAnsi="Verdana"/>
          <w:sz w:val="22"/>
          <w:szCs w:val="22"/>
        </w:rPr>
        <w:t>Think that there is more</w:t>
      </w:r>
      <w:r w:rsidR="00E11E27" w:rsidRPr="00CD0D6A">
        <w:rPr>
          <w:rFonts w:ascii="Verdana" w:hAnsi="Verdana"/>
          <w:sz w:val="22"/>
          <w:szCs w:val="22"/>
        </w:rPr>
        <w:t xml:space="preserve"> inflammation and more amyloid have a </w:t>
      </w:r>
      <w:r w:rsidR="00236240" w:rsidRPr="00CD0D6A">
        <w:rPr>
          <w:rFonts w:ascii="Verdana" w:hAnsi="Verdana"/>
          <w:sz w:val="22"/>
          <w:szCs w:val="22"/>
        </w:rPr>
        <w:t>greater decline, worst case scenario for someone</w:t>
      </w:r>
    </w:p>
    <w:p w14:paraId="5125751A" w14:textId="75170205" w:rsidR="00051E0C" w:rsidRPr="00CD0D6A" w:rsidRDefault="00051E0C" w:rsidP="00051E0C">
      <w:pPr>
        <w:pStyle w:val="ListParagraph"/>
        <w:numPr>
          <w:ilvl w:val="0"/>
          <w:numId w:val="4"/>
        </w:numPr>
        <w:rPr>
          <w:rFonts w:ascii="Verdana" w:hAnsi="Verdana"/>
          <w:sz w:val="22"/>
          <w:szCs w:val="22"/>
        </w:rPr>
      </w:pPr>
      <w:r w:rsidRPr="00CD0D6A">
        <w:rPr>
          <w:rFonts w:ascii="Verdana" w:hAnsi="Verdana"/>
          <w:b/>
          <w:bCs/>
          <w:sz w:val="22"/>
          <w:szCs w:val="22"/>
        </w:rPr>
        <w:t>For the cardiovascular/immune covariates</w:t>
      </w:r>
      <w:r w:rsidRPr="00CD0D6A">
        <w:rPr>
          <w:rFonts w:ascii="Verdana" w:hAnsi="Verdana"/>
          <w:sz w:val="22"/>
          <w:szCs w:val="22"/>
        </w:rPr>
        <w:t xml:space="preserve"> (BMI, hypercholesterolemia, NSAID use, immune conditions) — do you have a preferred way to handle these, or should the plan determine that empirically via collinearity checks?</w:t>
      </w:r>
    </w:p>
    <w:p w14:paraId="6155F929" w14:textId="1F5DDD99" w:rsidR="002E38BD" w:rsidRPr="00CD0D6A" w:rsidRDefault="00493D8F" w:rsidP="00051E0C">
      <w:pPr>
        <w:pStyle w:val="ListParagraph"/>
        <w:numPr>
          <w:ilvl w:val="0"/>
          <w:numId w:val="4"/>
        </w:numPr>
        <w:rPr>
          <w:rFonts w:ascii="Verdana" w:hAnsi="Verdana"/>
          <w:sz w:val="22"/>
          <w:szCs w:val="22"/>
        </w:rPr>
      </w:pPr>
      <w:r w:rsidRPr="00CD0D6A">
        <w:rPr>
          <w:rFonts w:ascii="Verdana" w:hAnsi="Verdana"/>
          <w:sz w:val="22"/>
          <w:szCs w:val="22"/>
        </w:rPr>
        <w:t>Only looking at the one year change not a longitudinal model</w:t>
      </w:r>
    </w:p>
    <w:p w14:paraId="67F80DCB" w14:textId="48920B4A" w:rsidR="000B6A99" w:rsidRPr="00CD0D6A" w:rsidRDefault="000B6A99" w:rsidP="00051E0C">
      <w:pPr>
        <w:pStyle w:val="ListParagraph"/>
        <w:numPr>
          <w:ilvl w:val="0"/>
          <w:numId w:val="4"/>
        </w:numPr>
        <w:rPr>
          <w:rFonts w:ascii="Verdana" w:hAnsi="Verdana"/>
          <w:sz w:val="22"/>
          <w:szCs w:val="22"/>
        </w:rPr>
      </w:pPr>
      <w:r w:rsidRPr="00CD0D6A">
        <w:rPr>
          <w:rFonts w:ascii="Verdana" w:hAnsi="Verdana"/>
          <w:sz w:val="22"/>
          <w:szCs w:val="22"/>
        </w:rPr>
        <w:t xml:space="preserve">Max number of patients </w:t>
      </w:r>
      <w:r w:rsidR="00AB65B9" w:rsidRPr="00CD0D6A">
        <w:rPr>
          <w:rFonts w:ascii="Verdana" w:hAnsi="Verdana"/>
          <w:sz w:val="22"/>
          <w:szCs w:val="22"/>
        </w:rPr>
        <w:t>in report</w:t>
      </w:r>
    </w:p>
    <w:p w14:paraId="04104931" w14:textId="2EE0EF5E" w:rsidR="00AB65B9" w:rsidRPr="00CD0D6A" w:rsidRDefault="00AB65B9" w:rsidP="00051E0C">
      <w:pPr>
        <w:pStyle w:val="ListParagraph"/>
        <w:numPr>
          <w:ilvl w:val="0"/>
          <w:numId w:val="4"/>
        </w:numPr>
        <w:rPr>
          <w:rFonts w:ascii="Verdana" w:hAnsi="Verdana"/>
          <w:sz w:val="22"/>
          <w:szCs w:val="22"/>
        </w:rPr>
      </w:pPr>
      <w:r w:rsidRPr="00CD0D6A">
        <w:rPr>
          <w:rFonts w:ascii="Verdana" w:hAnsi="Verdana"/>
          <w:sz w:val="22"/>
          <w:szCs w:val="22"/>
        </w:rPr>
        <w:t>Recommendations for covariates, need to add</w:t>
      </w:r>
    </w:p>
    <w:p w14:paraId="65A1ED41" w14:textId="30778BE3" w:rsidR="00A2009A" w:rsidRPr="00CD0D6A" w:rsidRDefault="009B1934" w:rsidP="00A2009A">
      <w:pPr>
        <w:rPr>
          <w:rFonts w:ascii="Verdana" w:hAnsi="Verdana"/>
          <w:sz w:val="22"/>
          <w:szCs w:val="22"/>
        </w:rPr>
      </w:pPr>
      <w:r w:rsidRPr="00CD0D6A">
        <w:rPr>
          <w:rFonts w:ascii="Verdana" w:hAnsi="Verdana"/>
          <w:sz w:val="22"/>
          <w:szCs w:val="22"/>
        </w:rPr>
        <w:t>Primary is baseline change to follow up</w:t>
      </w:r>
      <w:r w:rsidR="00001B2B" w:rsidRPr="00CD0D6A">
        <w:rPr>
          <w:rFonts w:ascii="Verdana" w:hAnsi="Verdana"/>
          <w:sz w:val="22"/>
          <w:szCs w:val="22"/>
        </w:rPr>
        <w:t xml:space="preserve"> for aim 1b: interested in changes</w:t>
      </w:r>
    </w:p>
    <w:p w14:paraId="19C945C0" w14:textId="5FF76B9D" w:rsidR="00B212E8" w:rsidRPr="00CD0D6A" w:rsidRDefault="00B212E8" w:rsidP="00B212E8">
      <w:pPr>
        <w:pStyle w:val="ListParagraph"/>
        <w:numPr>
          <w:ilvl w:val="0"/>
          <w:numId w:val="3"/>
        </w:numPr>
        <w:rPr>
          <w:rFonts w:ascii="Verdana" w:hAnsi="Verdana"/>
          <w:sz w:val="22"/>
          <w:szCs w:val="22"/>
        </w:rPr>
      </w:pPr>
      <w:r w:rsidRPr="00CD0D6A">
        <w:rPr>
          <w:rFonts w:ascii="Verdana" w:hAnsi="Verdana"/>
          <w:sz w:val="22"/>
          <w:szCs w:val="22"/>
        </w:rPr>
        <w:t>If we aren’t seeing any change in 1, less likely to think it impacts hypothesis 2</w:t>
      </w:r>
    </w:p>
    <w:p w14:paraId="62970B77" w14:textId="77777777" w:rsidR="00E0264A" w:rsidRPr="00CD0D6A" w:rsidRDefault="00A2009A" w:rsidP="00A2009A">
      <w:pPr>
        <w:rPr>
          <w:rFonts w:ascii="Verdana" w:hAnsi="Verdana"/>
          <w:sz w:val="22"/>
          <w:szCs w:val="22"/>
        </w:rPr>
      </w:pPr>
      <w:r w:rsidRPr="00CD0D6A">
        <w:rPr>
          <w:rFonts w:ascii="Verdana" w:hAnsi="Verdana"/>
          <w:sz w:val="22"/>
          <w:szCs w:val="22"/>
        </w:rPr>
        <w:t xml:space="preserve">For interim , </w:t>
      </w:r>
    </w:p>
    <w:p w14:paraId="618B0121" w14:textId="77777777" w:rsidR="00E0264A" w:rsidRPr="00CD0D6A" w:rsidRDefault="00A2009A" w:rsidP="00E0264A">
      <w:pPr>
        <w:pStyle w:val="ListParagraph"/>
        <w:numPr>
          <w:ilvl w:val="0"/>
          <w:numId w:val="3"/>
        </w:numPr>
        <w:rPr>
          <w:rFonts w:ascii="Verdana" w:hAnsi="Verdana"/>
          <w:sz w:val="22"/>
          <w:szCs w:val="22"/>
        </w:rPr>
      </w:pPr>
      <w:r w:rsidRPr="00CD0D6A">
        <w:rPr>
          <w:rFonts w:ascii="Verdana" w:hAnsi="Verdana"/>
          <w:sz w:val="22"/>
          <w:szCs w:val="22"/>
        </w:rPr>
        <w:t>know hypothesis</w:t>
      </w:r>
    </w:p>
    <w:p w14:paraId="740EDE24" w14:textId="7EA3BD49" w:rsidR="00E0264A" w:rsidRPr="00CD0D6A" w:rsidRDefault="00A2009A" w:rsidP="00E0264A">
      <w:pPr>
        <w:pStyle w:val="ListParagraph"/>
        <w:numPr>
          <w:ilvl w:val="0"/>
          <w:numId w:val="3"/>
        </w:numPr>
        <w:rPr>
          <w:rFonts w:ascii="Verdana" w:hAnsi="Verdana"/>
          <w:sz w:val="22"/>
          <w:szCs w:val="22"/>
        </w:rPr>
      </w:pPr>
      <w:r w:rsidRPr="00CD0D6A">
        <w:rPr>
          <w:rFonts w:ascii="Verdana" w:hAnsi="Verdana"/>
          <w:sz w:val="22"/>
          <w:szCs w:val="22"/>
        </w:rPr>
        <w:t>know analysis plan</w:t>
      </w:r>
    </w:p>
    <w:p w14:paraId="7FED3397" w14:textId="546F4A35" w:rsidR="00A2009A" w:rsidRPr="00CD0D6A" w:rsidRDefault="00E0264A" w:rsidP="00E0264A">
      <w:pPr>
        <w:pStyle w:val="ListParagraph"/>
        <w:numPr>
          <w:ilvl w:val="0"/>
          <w:numId w:val="3"/>
        </w:numPr>
        <w:rPr>
          <w:rFonts w:ascii="Verdana" w:hAnsi="Verdana"/>
          <w:sz w:val="22"/>
          <w:szCs w:val="22"/>
        </w:rPr>
      </w:pPr>
      <w:r w:rsidRPr="00CD0D6A">
        <w:rPr>
          <w:rFonts w:ascii="Verdana" w:hAnsi="Verdana"/>
          <w:sz w:val="22"/>
          <w:szCs w:val="22"/>
        </w:rPr>
        <w:t>i</w:t>
      </w:r>
      <w:r w:rsidR="00A2009A" w:rsidRPr="00CD0D6A">
        <w:rPr>
          <w:rFonts w:ascii="Verdana" w:hAnsi="Verdana"/>
          <w:sz w:val="22"/>
          <w:szCs w:val="22"/>
        </w:rPr>
        <w:t>deas for what to do for power</w:t>
      </w:r>
      <w:r w:rsidR="00641FFD" w:rsidRPr="00CD0D6A">
        <w:rPr>
          <w:rFonts w:ascii="Verdana" w:hAnsi="Verdana"/>
          <w:sz w:val="22"/>
          <w:szCs w:val="22"/>
        </w:rPr>
        <w:t xml:space="preserve"> not the actual calculation</w:t>
      </w:r>
    </w:p>
    <w:sectPr w:rsidR="00A2009A" w:rsidRPr="00CD0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B70"/>
    <w:multiLevelType w:val="hybridMultilevel"/>
    <w:tmpl w:val="B4E2D1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7748C"/>
    <w:multiLevelType w:val="hybridMultilevel"/>
    <w:tmpl w:val="F17EF374"/>
    <w:lvl w:ilvl="0" w:tplc="EFFAD250">
      <w:start w:val="1"/>
      <w:numFmt w:val="bullet"/>
      <w:lvlText w:val="-"/>
      <w:lvlJc w:val="left"/>
      <w:pPr>
        <w:ind w:left="720" w:hanging="360"/>
      </w:pPr>
      <w:rPr>
        <w:rFonts w:ascii="Aptos" w:eastAsiaTheme="minorHAnsi" w:hAnsi="Aptos" w:cstheme="minorBidi" w:hint="default"/>
        <w:color w:val="273540"/>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131260"/>
    <w:multiLevelType w:val="hybridMultilevel"/>
    <w:tmpl w:val="5256430A"/>
    <w:lvl w:ilvl="0" w:tplc="EFFAD250">
      <w:start w:val="1"/>
      <w:numFmt w:val="bullet"/>
      <w:lvlText w:val="-"/>
      <w:lvlJc w:val="left"/>
      <w:pPr>
        <w:ind w:left="720" w:hanging="360"/>
      </w:pPr>
      <w:rPr>
        <w:rFonts w:ascii="Aptos" w:eastAsiaTheme="minorHAnsi" w:hAnsi="Aptos" w:cstheme="minorBidi" w:hint="default"/>
        <w:color w:val="27354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F40F92"/>
    <w:multiLevelType w:val="hybridMultilevel"/>
    <w:tmpl w:val="543ABED0"/>
    <w:lvl w:ilvl="0" w:tplc="EFFAD250">
      <w:start w:val="1"/>
      <w:numFmt w:val="bullet"/>
      <w:lvlText w:val="-"/>
      <w:lvlJc w:val="left"/>
      <w:pPr>
        <w:ind w:left="720" w:hanging="360"/>
      </w:pPr>
      <w:rPr>
        <w:rFonts w:ascii="Aptos" w:eastAsiaTheme="minorHAnsi" w:hAnsi="Aptos" w:cstheme="minorBidi" w:hint="default"/>
        <w:color w:val="27354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573995">
    <w:abstractNumId w:val="1"/>
  </w:num>
  <w:num w:numId="2" w16cid:durableId="1522275555">
    <w:abstractNumId w:val="3"/>
  </w:num>
  <w:num w:numId="3" w16cid:durableId="824400030">
    <w:abstractNumId w:val="2"/>
  </w:num>
  <w:num w:numId="4" w16cid:durableId="672875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476"/>
    <w:rsid w:val="00001B2B"/>
    <w:rsid w:val="0000208A"/>
    <w:rsid w:val="00007B36"/>
    <w:rsid w:val="000323D9"/>
    <w:rsid w:val="00051E0C"/>
    <w:rsid w:val="0006426D"/>
    <w:rsid w:val="00070020"/>
    <w:rsid w:val="0009511A"/>
    <w:rsid w:val="000B3F3C"/>
    <w:rsid w:val="000B6A99"/>
    <w:rsid w:val="000C4303"/>
    <w:rsid w:val="000C4696"/>
    <w:rsid w:val="000C5D09"/>
    <w:rsid w:val="000D24F0"/>
    <w:rsid w:val="00116909"/>
    <w:rsid w:val="00117488"/>
    <w:rsid w:val="00120385"/>
    <w:rsid w:val="0012127C"/>
    <w:rsid w:val="00125D21"/>
    <w:rsid w:val="00141A54"/>
    <w:rsid w:val="00143BBD"/>
    <w:rsid w:val="0016335B"/>
    <w:rsid w:val="00186985"/>
    <w:rsid w:val="001B2CA0"/>
    <w:rsid w:val="001B6973"/>
    <w:rsid w:val="001B73FB"/>
    <w:rsid w:val="001D7C5D"/>
    <w:rsid w:val="001E04F6"/>
    <w:rsid w:val="001E722F"/>
    <w:rsid w:val="00202270"/>
    <w:rsid w:val="002028F0"/>
    <w:rsid w:val="00203204"/>
    <w:rsid w:val="00203220"/>
    <w:rsid w:val="0023317B"/>
    <w:rsid w:val="00236240"/>
    <w:rsid w:val="00242816"/>
    <w:rsid w:val="00256876"/>
    <w:rsid w:val="00275DFA"/>
    <w:rsid w:val="00281177"/>
    <w:rsid w:val="002A19DE"/>
    <w:rsid w:val="002A4620"/>
    <w:rsid w:val="002D7A5F"/>
    <w:rsid w:val="002E38BD"/>
    <w:rsid w:val="002E53E5"/>
    <w:rsid w:val="002F5370"/>
    <w:rsid w:val="00303569"/>
    <w:rsid w:val="00313420"/>
    <w:rsid w:val="003371B5"/>
    <w:rsid w:val="00341AA7"/>
    <w:rsid w:val="00343694"/>
    <w:rsid w:val="00345B98"/>
    <w:rsid w:val="00352239"/>
    <w:rsid w:val="003526D4"/>
    <w:rsid w:val="00355300"/>
    <w:rsid w:val="0035765A"/>
    <w:rsid w:val="003A4D89"/>
    <w:rsid w:val="003C27E7"/>
    <w:rsid w:val="003D178E"/>
    <w:rsid w:val="003F3B19"/>
    <w:rsid w:val="00403840"/>
    <w:rsid w:val="00411548"/>
    <w:rsid w:val="004142F5"/>
    <w:rsid w:val="00434C81"/>
    <w:rsid w:val="0043641B"/>
    <w:rsid w:val="00447409"/>
    <w:rsid w:val="00457C90"/>
    <w:rsid w:val="00460B59"/>
    <w:rsid w:val="00461C87"/>
    <w:rsid w:val="00470B80"/>
    <w:rsid w:val="004831F4"/>
    <w:rsid w:val="004921D7"/>
    <w:rsid w:val="00493D8F"/>
    <w:rsid w:val="00496106"/>
    <w:rsid w:val="004B4D31"/>
    <w:rsid w:val="004E3947"/>
    <w:rsid w:val="004E460F"/>
    <w:rsid w:val="004E6C09"/>
    <w:rsid w:val="004F37A1"/>
    <w:rsid w:val="0052756F"/>
    <w:rsid w:val="005314DF"/>
    <w:rsid w:val="00536420"/>
    <w:rsid w:val="00542911"/>
    <w:rsid w:val="0054785F"/>
    <w:rsid w:val="005540A8"/>
    <w:rsid w:val="00560604"/>
    <w:rsid w:val="00561467"/>
    <w:rsid w:val="0056459B"/>
    <w:rsid w:val="00566633"/>
    <w:rsid w:val="00572445"/>
    <w:rsid w:val="00580DCC"/>
    <w:rsid w:val="00590CC2"/>
    <w:rsid w:val="005D623F"/>
    <w:rsid w:val="005E0135"/>
    <w:rsid w:val="0061552E"/>
    <w:rsid w:val="00622D37"/>
    <w:rsid w:val="00625D3B"/>
    <w:rsid w:val="00633A7E"/>
    <w:rsid w:val="00635631"/>
    <w:rsid w:val="00641FFD"/>
    <w:rsid w:val="006468AA"/>
    <w:rsid w:val="00660F83"/>
    <w:rsid w:val="006674FD"/>
    <w:rsid w:val="00672EE5"/>
    <w:rsid w:val="00677C46"/>
    <w:rsid w:val="006957E5"/>
    <w:rsid w:val="006B055E"/>
    <w:rsid w:val="006B7139"/>
    <w:rsid w:val="006C58A9"/>
    <w:rsid w:val="006C7BFF"/>
    <w:rsid w:val="006D16AB"/>
    <w:rsid w:val="006E0854"/>
    <w:rsid w:val="006E25F0"/>
    <w:rsid w:val="00723271"/>
    <w:rsid w:val="007372FE"/>
    <w:rsid w:val="0074018A"/>
    <w:rsid w:val="00743107"/>
    <w:rsid w:val="00747B4B"/>
    <w:rsid w:val="00765718"/>
    <w:rsid w:val="00767264"/>
    <w:rsid w:val="00775230"/>
    <w:rsid w:val="00787022"/>
    <w:rsid w:val="007916D9"/>
    <w:rsid w:val="0079615F"/>
    <w:rsid w:val="007A1A25"/>
    <w:rsid w:val="0080025F"/>
    <w:rsid w:val="00821E9C"/>
    <w:rsid w:val="00823FE4"/>
    <w:rsid w:val="00831B8F"/>
    <w:rsid w:val="00853E74"/>
    <w:rsid w:val="008667E9"/>
    <w:rsid w:val="00871049"/>
    <w:rsid w:val="00873F8F"/>
    <w:rsid w:val="00887359"/>
    <w:rsid w:val="00895E53"/>
    <w:rsid w:val="008A0408"/>
    <w:rsid w:val="008C0ADD"/>
    <w:rsid w:val="008C12C2"/>
    <w:rsid w:val="008E516C"/>
    <w:rsid w:val="008F4E98"/>
    <w:rsid w:val="00902016"/>
    <w:rsid w:val="00911737"/>
    <w:rsid w:val="00930D1C"/>
    <w:rsid w:val="009335BA"/>
    <w:rsid w:val="00956254"/>
    <w:rsid w:val="00971BF5"/>
    <w:rsid w:val="00973014"/>
    <w:rsid w:val="00976BA4"/>
    <w:rsid w:val="00995391"/>
    <w:rsid w:val="009A1DCD"/>
    <w:rsid w:val="009A31ED"/>
    <w:rsid w:val="009B1934"/>
    <w:rsid w:val="009E5AFE"/>
    <w:rsid w:val="00A02D54"/>
    <w:rsid w:val="00A03905"/>
    <w:rsid w:val="00A06FCC"/>
    <w:rsid w:val="00A2009A"/>
    <w:rsid w:val="00A433A3"/>
    <w:rsid w:val="00A4474D"/>
    <w:rsid w:val="00A769E9"/>
    <w:rsid w:val="00A95F70"/>
    <w:rsid w:val="00AB65B9"/>
    <w:rsid w:val="00AC725F"/>
    <w:rsid w:val="00AD18D5"/>
    <w:rsid w:val="00AD550E"/>
    <w:rsid w:val="00AE73FB"/>
    <w:rsid w:val="00AE7AD0"/>
    <w:rsid w:val="00AF05C9"/>
    <w:rsid w:val="00B04E51"/>
    <w:rsid w:val="00B212E8"/>
    <w:rsid w:val="00B32F7B"/>
    <w:rsid w:val="00B434D3"/>
    <w:rsid w:val="00B73A5D"/>
    <w:rsid w:val="00B76B2C"/>
    <w:rsid w:val="00B813E4"/>
    <w:rsid w:val="00B87166"/>
    <w:rsid w:val="00B97372"/>
    <w:rsid w:val="00BC3A48"/>
    <w:rsid w:val="00BE337E"/>
    <w:rsid w:val="00C06476"/>
    <w:rsid w:val="00C53715"/>
    <w:rsid w:val="00C71844"/>
    <w:rsid w:val="00C75BEC"/>
    <w:rsid w:val="00C93949"/>
    <w:rsid w:val="00C95139"/>
    <w:rsid w:val="00C977D7"/>
    <w:rsid w:val="00CA371A"/>
    <w:rsid w:val="00CA7341"/>
    <w:rsid w:val="00CB33A8"/>
    <w:rsid w:val="00CC69FE"/>
    <w:rsid w:val="00CD0D6A"/>
    <w:rsid w:val="00CF3E01"/>
    <w:rsid w:val="00D0222F"/>
    <w:rsid w:val="00D07163"/>
    <w:rsid w:val="00D1309C"/>
    <w:rsid w:val="00D22658"/>
    <w:rsid w:val="00D312D4"/>
    <w:rsid w:val="00D4221E"/>
    <w:rsid w:val="00D43FD4"/>
    <w:rsid w:val="00D53CAB"/>
    <w:rsid w:val="00D544CE"/>
    <w:rsid w:val="00D56A64"/>
    <w:rsid w:val="00D6468B"/>
    <w:rsid w:val="00D70739"/>
    <w:rsid w:val="00D72BB4"/>
    <w:rsid w:val="00D84BA2"/>
    <w:rsid w:val="00D84F9F"/>
    <w:rsid w:val="00D94849"/>
    <w:rsid w:val="00D95F6C"/>
    <w:rsid w:val="00DA6C4A"/>
    <w:rsid w:val="00DB268F"/>
    <w:rsid w:val="00DC201B"/>
    <w:rsid w:val="00DE191D"/>
    <w:rsid w:val="00DF09D2"/>
    <w:rsid w:val="00DF7851"/>
    <w:rsid w:val="00E010D5"/>
    <w:rsid w:val="00E0264A"/>
    <w:rsid w:val="00E02E9F"/>
    <w:rsid w:val="00E06A7A"/>
    <w:rsid w:val="00E11E27"/>
    <w:rsid w:val="00E20D46"/>
    <w:rsid w:val="00E33939"/>
    <w:rsid w:val="00E352E8"/>
    <w:rsid w:val="00E44B36"/>
    <w:rsid w:val="00E466D4"/>
    <w:rsid w:val="00E52081"/>
    <w:rsid w:val="00E54541"/>
    <w:rsid w:val="00E62AE7"/>
    <w:rsid w:val="00E64C19"/>
    <w:rsid w:val="00E6767B"/>
    <w:rsid w:val="00E76D7E"/>
    <w:rsid w:val="00E9008A"/>
    <w:rsid w:val="00E9290D"/>
    <w:rsid w:val="00EB2421"/>
    <w:rsid w:val="00EC3E52"/>
    <w:rsid w:val="00EC6D34"/>
    <w:rsid w:val="00EE2D0B"/>
    <w:rsid w:val="00EE373E"/>
    <w:rsid w:val="00EF23AF"/>
    <w:rsid w:val="00EF27F2"/>
    <w:rsid w:val="00F1188D"/>
    <w:rsid w:val="00F30094"/>
    <w:rsid w:val="00F626C8"/>
    <w:rsid w:val="00F63A99"/>
    <w:rsid w:val="00F67AFC"/>
    <w:rsid w:val="00F67DF2"/>
    <w:rsid w:val="00F8178C"/>
    <w:rsid w:val="00FA0C67"/>
    <w:rsid w:val="00FB76C1"/>
    <w:rsid w:val="00FD2F3C"/>
    <w:rsid w:val="00FD6DDF"/>
    <w:rsid w:val="00FE49A3"/>
    <w:rsid w:val="00FF5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30A9"/>
  <w15:chartTrackingRefBased/>
  <w15:docId w15:val="{AE51010A-4565-224E-9520-31BF98203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476"/>
    <w:rPr>
      <w:rFonts w:eastAsiaTheme="majorEastAsia" w:cstheme="majorBidi"/>
      <w:color w:val="272727" w:themeColor="text1" w:themeTint="D8"/>
    </w:rPr>
  </w:style>
  <w:style w:type="paragraph" w:styleId="Title">
    <w:name w:val="Title"/>
    <w:basedOn w:val="Normal"/>
    <w:next w:val="Normal"/>
    <w:link w:val="TitleChar"/>
    <w:uiPriority w:val="10"/>
    <w:qFormat/>
    <w:rsid w:val="00C0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476"/>
    <w:pPr>
      <w:spacing w:before="160"/>
      <w:jc w:val="center"/>
    </w:pPr>
    <w:rPr>
      <w:i/>
      <w:iCs/>
      <w:color w:val="404040" w:themeColor="text1" w:themeTint="BF"/>
    </w:rPr>
  </w:style>
  <w:style w:type="character" w:customStyle="1" w:styleId="QuoteChar">
    <w:name w:val="Quote Char"/>
    <w:basedOn w:val="DefaultParagraphFont"/>
    <w:link w:val="Quote"/>
    <w:uiPriority w:val="29"/>
    <w:rsid w:val="00C06476"/>
    <w:rPr>
      <w:i/>
      <w:iCs/>
      <w:color w:val="404040" w:themeColor="text1" w:themeTint="BF"/>
    </w:rPr>
  </w:style>
  <w:style w:type="paragraph" w:styleId="ListParagraph">
    <w:name w:val="List Paragraph"/>
    <w:basedOn w:val="Normal"/>
    <w:uiPriority w:val="34"/>
    <w:qFormat/>
    <w:rsid w:val="00C06476"/>
    <w:pPr>
      <w:ind w:left="720"/>
      <w:contextualSpacing/>
    </w:pPr>
  </w:style>
  <w:style w:type="character" w:styleId="IntenseEmphasis">
    <w:name w:val="Intense Emphasis"/>
    <w:basedOn w:val="DefaultParagraphFont"/>
    <w:uiPriority w:val="21"/>
    <w:qFormat/>
    <w:rsid w:val="00C06476"/>
    <w:rPr>
      <w:i/>
      <w:iCs/>
      <w:color w:val="0F4761" w:themeColor="accent1" w:themeShade="BF"/>
    </w:rPr>
  </w:style>
  <w:style w:type="paragraph" w:styleId="IntenseQuote">
    <w:name w:val="Intense Quote"/>
    <w:basedOn w:val="Normal"/>
    <w:next w:val="Normal"/>
    <w:link w:val="IntenseQuoteChar"/>
    <w:uiPriority w:val="30"/>
    <w:qFormat/>
    <w:rsid w:val="00C06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476"/>
    <w:rPr>
      <w:i/>
      <w:iCs/>
      <w:color w:val="0F4761" w:themeColor="accent1" w:themeShade="BF"/>
    </w:rPr>
  </w:style>
  <w:style w:type="character" w:styleId="IntenseReference">
    <w:name w:val="Intense Reference"/>
    <w:basedOn w:val="DefaultParagraphFont"/>
    <w:uiPriority w:val="32"/>
    <w:qFormat/>
    <w:rsid w:val="00C06476"/>
    <w:rPr>
      <w:b/>
      <w:bCs/>
      <w:smallCaps/>
      <w:color w:val="0F4761" w:themeColor="accent1" w:themeShade="BF"/>
      <w:spacing w:val="5"/>
    </w:rPr>
  </w:style>
  <w:style w:type="paragraph" w:styleId="NormalWeb">
    <w:name w:val="Normal (Web)"/>
    <w:basedOn w:val="Normal"/>
    <w:uiPriority w:val="99"/>
    <w:semiHidden/>
    <w:unhideWhenUsed/>
    <w:rsid w:val="00C0647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1925</TotalTime>
  <Pages>4</Pages>
  <Words>1065</Words>
  <Characters>6071</Characters>
  <Application>Microsoft Office Word</Application>
  <DocSecurity>0</DocSecurity>
  <Lines>50</Lines>
  <Paragraphs>14</Paragraphs>
  <ScaleCrop>false</ScaleCrop>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 Fingerlin</dc:creator>
  <cp:keywords/>
  <dc:description/>
  <cp:lastModifiedBy>Aimee Steinwand</cp:lastModifiedBy>
  <cp:revision>47</cp:revision>
  <dcterms:created xsi:type="dcterms:W3CDTF">2026-03-09T17:25:00Z</dcterms:created>
  <dcterms:modified xsi:type="dcterms:W3CDTF">2026-03-11T04:21:00Z</dcterms:modified>
</cp:coreProperties>
</file>