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7917" w14:textId="3D396AD5" w:rsidR="001D36B8" w:rsidRPr="00186327" w:rsidRDefault="000179A8">
      <w:pPr>
        <w:rPr>
          <w:rFonts w:ascii="Verdana" w:hAnsi="Verdana"/>
        </w:rPr>
      </w:pPr>
      <w:r w:rsidRPr="00186327">
        <w:rPr>
          <w:rFonts w:ascii="Verdana" w:hAnsi="Verdana"/>
        </w:rPr>
        <w:t>Aimee Steinwand</w:t>
      </w:r>
    </w:p>
    <w:p w14:paraId="2B2F1E0B" w14:textId="619BA7F2" w:rsidR="000179A8" w:rsidRPr="00186327" w:rsidRDefault="000179A8">
      <w:pPr>
        <w:rPr>
          <w:rFonts w:ascii="Verdana" w:hAnsi="Verdana"/>
        </w:rPr>
      </w:pPr>
      <w:r w:rsidRPr="00186327">
        <w:rPr>
          <w:rFonts w:ascii="Verdana" w:hAnsi="Verdana"/>
        </w:rPr>
        <w:t>BIOS 6624</w:t>
      </w:r>
    </w:p>
    <w:p w14:paraId="6E9C5117" w14:textId="57C8AD95" w:rsidR="000179A8" w:rsidRPr="00186327" w:rsidRDefault="000179A8" w:rsidP="000179A8">
      <w:pPr>
        <w:jc w:val="center"/>
        <w:rPr>
          <w:rFonts w:ascii="Verdana" w:hAnsi="Verdana"/>
        </w:rPr>
      </w:pPr>
      <w:r w:rsidRPr="00186327">
        <w:rPr>
          <w:rFonts w:ascii="Verdana" w:hAnsi="Verdana"/>
        </w:rPr>
        <w:t>Project 3 Interim Data Analysis Plan</w:t>
      </w:r>
    </w:p>
    <w:p w14:paraId="55B9B7BB" w14:textId="23DA8D0B" w:rsidR="000179A8" w:rsidRPr="00186327" w:rsidRDefault="006C7AF3" w:rsidP="000179A8">
      <w:pPr>
        <w:rPr>
          <w:rFonts w:ascii="Verdana" w:hAnsi="Verdana"/>
          <w:b/>
          <w:bCs/>
        </w:rPr>
      </w:pPr>
      <w:r w:rsidRPr="00186327">
        <w:rPr>
          <w:rFonts w:ascii="Verdana" w:hAnsi="Verdana"/>
          <w:b/>
          <w:bCs/>
        </w:rPr>
        <w:t>Introduction:</w:t>
      </w:r>
    </w:p>
    <w:p w14:paraId="0851BE2C" w14:textId="618F67F3" w:rsidR="006C7AF3" w:rsidRPr="006C7AF3" w:rsidRDefault="006C7AF3" w:rsidP="006C7AF3">
      <w:pPr>
        <w:rPr>
          <w:rFonts w:ascii="Verdana" w:hAnsi="Verdana"/>
        </w:rPr>
      </w:pPr>
      <w:r w:rsidRPr="006C7AF3">
        <w:rPr>
          <w:rFonts w:ascii="Verdana" w:hAnsi="Verdana"/>
        </w:rPr>
        <w:t>The Framingham Heart Study is a landmark prospective cohort study initiated in 1948 to investigate the etiology of cardiovascular disease. This analysis uses a subset of 4,434 participants with clinic, laboratory, and event data collected across three examination periods (approximately 1956–1968). The primary aim is to identify key risk factors associated with stroke incidence and to estimate 10-year stroke probability under various risk profiles, stratified by sex. Analysis is restricted to the first 10 years of follow-up (≤ 3,652.5 days), as baseline risk factors measured closer in time to follow-up provide more reliable estimates of early stroke risk. Participants who experienced a stroke prior to baseline (STROKE = 1 at period 1) will be excluded, as the outcome of interest is time to first stroke in a stroke-free population.</w:t>
      </w:r>
    </w:p>
    <w:p w14:paraId="42F95B80" w14:textId="131C9370" w:rsidR="006C7AF3" w:rsidRPr="006C7AF3" w:rsidRDefault="006C7AF3" w:rsidP="006C7AF3">
      <w:pPr>
        <w:rPr>
          <w:rFonts w:ascii="Verdana" w:hAnsi="Verdana"/>
        </w:rPr>
      </w:pPr>
      <w:r w:rsidRPr="006C7AF3">
        <w:rPr>
          <w:rFonts w:ascii="Verdana" w:hAnsi="Verdana"/>
        </w:rPr>
        <w:t>The statistical hypotheses to be evaluated are: (1) that established cardiovascular risk factors</w:t>
      </w:r>
      <w:r w:rsidR="004617E0">
        <w:rPr>
          <w:rFonts w:ascii="Verdana" w:hAnsi="Verdana"/>
        </w:rPr>
        <w:t>,</w:t>
      </w:r>
      <w:r w:rsidRPr="006C7AF3">
        <w:rPr>
          <w:rFonts w:ascii="Verdana" w:hAnsi="Verdana"/>
        </w:rPr>
        <w:t xml:space="preserve"> including systolic blood pressure, age, and diabetes status are significantly associated with time to stroke after adjusting for other covariates, and (2) that the magnitude and direction of these associations differ between males and females. Secondary descriptive aims include characterizing how key risk factors change across the three examination periods to assess whether a time-varying covariate analysis may be warranted in future work.</w:t>
      </w:r>
    </w:p>
    <w:p w14:paraId="477318A4" w14:textId="3430BEA8" w:rsidR="006C7AF3" w:rsidRPr="00186327" w:rsidRDefault="009D0961" w:rsidP="000179A8">
      <w:pPr>
        <w:rPr>
          <w:rFonts w:ascii="Verdana" w:hAnsi="Verdana"/>
          <w:b/>
          <w:bCs/>
        </w:rPr>
      </w:pPr>
      <w:r w:rsidRPr="00186327">
        <w:rPr>
          <w:rFonts w:ascii="Verdana" w:hAnsi="Verdana"/>
          <w:b/>
          <w:bCs/>
        </w:rPr>
        <w:t>Preliminary Methods:</w:t>
      </w:r>
    </w:p>
    <w:p w14:paraId="3FB8BE76" w14:textId="77777777" w:rsidR="00944956" w:rsidRPr="00944956" w:rsidRDefault="00944956" w:rsidP="00944956">
      <w:pPr>
        <w:rPr>
          <w:rFonts w:ascii="Verdana" w:hAnsi="Verdana"/>
        </w:rPr>
      </w:pPr>
      <w:r w:rsidRPr="00944956">
        <w:rPr>
          <w:rFonts w:ascii="Verdana" w:hAnsi="Verdana"/>
          <w:b/>
          <w:bCs/>
        </w:rPr>
        <w:t>Data Cleaning and Management.</w:t>
      </w:r>
      <w:r w:rsidRPr="00944956">
        <w:rPr>
          <w:rFonts w:ascii="Verdana" w:hAnsi="Verdana"/>
        </w:rPr>
        <w:t xml:space="preserve"> Participants with a prevalent stroke at baseline will be excluded. Follow-up time will be administratively censored at 3,652.5 days (10 × 365.25); any event occurring after this threshold will be treated as censored at 10 years. Only baseline (period 1) covariate values will be used in the primary analysis. Observations with implausible or extreme values will be flagged and reviewed. A complete-case approach will be used iteratively: if a covariate is ultimately excluded from the final model, participants dropped solely due to missingness in that variable will be reintroduced to maximize analytic sample size.</w:t>
      </w:r>
    </w:p>
    <w:p w14:paraId="2D6F899D" w14:textId="77777777" w:rsidR="00944956" w:rsidRPr="00944956" w:rsidRDefault="00944956" w:rsidP="00944956">
      <w:pPr>
        <w:rPr>
          <w:rFonts w:ascii="Verdana" w:hAnsi="Verdana"/>
        </w:rPr>
      </w:pPr>
      <w:r w:rsidRPr="00944956">
        <w:rPr>
          <w:rFonts w:ascii="Verdana" w:hAnsi="Verdana"/>
          <w:b/>
          <w:bCs/>
        </w:rPr>
        <w:lastRenderedPageBreak/>
        <w:t>Descriptive Analysis.</w:t>
      </w:r>
      <w:r w:rsidRPr="00944956">
        <w:rPr>
          <w:rFonts w:ascii="Verdana" w:hAnsi="Verdana"/>
        </w:rPr>
        <w:t xml:space="preserve"> A Table 1 will summarize baseline characteristics (means ± SD or counts/percentages) stratified by sex and by stroke outcome status within 10 years. A secondary table will characterize the distribution of key risk factors across all three examination periods to quantify change over time and inform discussion of time-varying covariate modeling.</w:t>
      </w:r>
    </w:p>
    <w:p w14:paraId="2AFF1039" w14:textId="25177BBE" w:rsidR="00944956" w:rsidRPr="00944956" w:rsidRDefault="00944956" w:rsidP="00944956">
      <w:pPr>
        <w:rPr>
          <w:rFonts w:ascii="Verdana" w:hAnsi="Verdana"/>
        </w:rPr>
      </w:pPr>
      <w:r w:rsidRPr="00944956">
        <w:rPr>
          <w:rFonts w:ascii="Verdana" w:hAnsi="Verdana"/>
          <w:b/>
          <w:bCs/>
        </w:rPr>
        <w:t>Variable Selection.</w:t>
      </w:r>
      <w:r w:rsidRPr="00944956">
        <w:rPr>
          <w:rFonts w:ascii="Verdana" w:hAnsi="Verdana"/>
        </w:rPr>
        <w:t xml:space="preserve"> Candidate baseline risk factors </w:t>
      </w:r>
      <w:proofErr w:type="gramStart"/>
      <w:r w:rsidRPr="00944956">
        <w:rPr>
          <w:rFonts w:ascii="Verdana" w:hAnsi="Verdana"/>
        </w:rPr>
        <w:t>include:</w:t>
      </w:r>
      <w:proofErr w:type="gramEnd"/>
      <w:r w:rsidRPr="00944956">
        <w:rPr>
          <w:rFonts w:ascii="Verdana" w:hAnsi="Verdana"/>
        </w:rPr>
        <w:t xml:space="preserve"> systolic blood pressure, age, diabetes status, smoking status, BMI, total cholesterol, and relevant medication use. Sex-stratified Cox proportional hazards models will be fit separately for males and females using stepwise selection (forward or backward; criterion to be finalized). Variables selected in either the male or female model will be retained in both, to allow direct comparison of hazard ratio estimates across sexes.</w:t>
      </w:r>
    </w:p>
    <w:p w14:paraId="161E196D" w14:textId="02A5C13D" w:rsidR="00944956" w:rsidRPr="00944956" w:rsidRDefault="00944956" w:rsidP="00944956">
      <w:pPr>
        <w:rPr>
          <w:rFonts w:ascii="Verdana" w:hAnsi="Verdana"/>
        </w:rPr>
      </w:pPr>
      <w:r w:rsidRPr="00944956">
        <w:rPr>
          <w:rFonts w:ascii="Verdana" w:hAnsi="Verdana"/>
          <w:b/>
          <w:bCs/>
        </w:rPr>
        <w:t>Survival Probability Estimation.</w:t>
      </w:r>
      <w:r w:rsidRPr="00944956">
        <w:rPr>
          <w:rFonts w:ascii="Verdana" w:hAnsi="Verdana"/>
        </w:rPr>
        <w:t xml:space="preserve"> Ten-year stroke probabilities will be computed for the following profiles, separately by sex, at ages 40, 50, and 60: (1) average covariate profile with no elevated risk factors, (2) elevated systolic blood pressure (SBP = 160 mmHg), (3) diabetes only, (4) elevated SBP and diabetes combined, and (5) one additional clinically interesting profile </w:t>
      </w:r>
      <w:r w:rsidR="009056E7" w:rsidRPr="00186327">
        <w:rPr>
          <w:rFonts w:ascii="Verdana" w:hAnsi="Verdana"/>
        </w:rPr>
        <w:t>to be determined later.</w:t>
      </w:r>
    </w:p>
    <w:p w14:paraId="56B549F0" w14:textId="77777777" w:rsidR="009D0961" w:rsidRPr="00186327" w:rsidRDefault="009D0961" w:rsidP="000179A8">
      <w:pPr>
        <w:rPr>
          <w:rFonts w:ascii="Verdana" w:hAnsi="Verdana"/>
        </w:rPr>
      </w:pPr>
    </w:p>
    <w:sectPr w:rsidR="009D0961" w:rsidRPr="0018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AC"/>
    <w:rsid w:val="000179A8"/>
    <w:rsid w:val="001134EF"/>
    <w:rsid w:val="00186327"/>
    <w:rsid w:val="001D36B8"/>
    <w:rsid w:val="004617E0"/>
    <w:rsid w:val="006C7AF3"/>
    <w:rsid w:val="006D5CAC"/>
    <w:rsid w:val="009056E7"/>
    <w:rsid w:val="009107AF"/>
    <w:rsid w:val="00944956"/>
    <w:rsid w:val="009D0961"/>
    <w:rsid w:val="00AC2C38"/>
    <w:rsid w:val="00AF5C29"/>
    <w:rsid w:val="00BB4EF1"/>
    <w:rsid w:val="00D3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853E"/>
  <w15:chartTrackingRefBased/>
  <w15:docId w15:val="{321917B4-43A4-40B4-98EF-E11E4CC9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AC"/>
    <w:rPr>
      <w:rFonts w:eastAsiaTheme="majorEastAsia" w:cstheme="majorBidi"/>
      <w:color w:val="272727" w:themeColor="text1" w:themeTint="D8"/>
    </w:rPr>
  </w:style>
  <w:style w:type="paragraph" w:styleId="Title">
    <w:name w:val="Title"/>
    <w:basedOn w:val="Normal"/>
    <w:next w:val="Normal"/>
    <w:link w:val="TitleChar"/>
    <w:uiPriority w:val="10"/>
    <w:qFormat/>
    <w:rsid w:val="006D5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AC"/>
    <w:pPr>
      <w:spacing w:before="160"/>
      <w:jc w:val="center"/>
    </w:pPr>
    <w:rPr>
      <w:i/>
      <w:iCs/>
      <w:color w:val="404040" w:themeColor="text1" w:themeTint="BF"/>
    </w:rPr>
  </w:style>
  <w:style w:type="character" w:customStyle="1" w:styleId="QuoteChar">
    <w:name w:val="Quote Char"/>
    <w:basedOn w:val="DefaultParagraphFont"/>
    <w:link w:val="Quote"/>
    <w:uiPriority w:val="29"/>
    <w:rsid w:val="006D5CAC"/>
    <w:rPr>
      <w:i/>
      <w:iCs/>
      <w:color w:val="404040" w:themeColor="text1" w:themeTint="BF"/>
    </w:rPr>
  </w:style>
  <w:style w:type="paragraph" w:styleId="ListParagraph">
    <w:name w:val="List Paragraph"/>
    <w:basedOn w:val="Normal"/>
    <w:uiPriority w:val="34"/>
    <w:qFormat/>
    <w:rsid w:val="006D5CAC"/>
    <w:pPr>
      <w:ind w:left="720"/>
      <w:contextualSpacing/>
    </w:pPr>
  </w:style>
  <w:style w:type="character" w:styleId="IntenseEmphasis">
    <w:name w:val="Intense Emphasis"/>
    <w:basedOn w:val="DefaultParagraphFont"/>
    <w:uiPriority w:val="21"/>
    <w:qFormat/>
    <w:rsid w:val="006D5CAC"/>
    <w:rPr>
      <w:i/>
      <w:iCs/>
      <w:color w:val="0F4761" w:themeColor="accent1" w:themeShade="BF"/>
    </w:rPr>
  </w:style>
  <w:style w:type="paragraph" w:styleId="IntenseQuote">
    <w:name w:val="Intense Quote"/>
    <w:basedOn w:val="Normal"/>
    <w:next w:val="Normal"/>
    <w:link w:val="IntenseQuoteChar"/>
    <w:uiPriority w:val="30"/>
    <w:qFormat/>
    <w:rsid w:val="006D5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CAC"/>
    <w:rPr>
      <w:i/>
      <w:iCs/>
      <w:color w:val="0F4761" w:themeColor="accent1" w:themeShade="BF"/>
    </w:rPr>
  </w:style>
  <w:style w:type="character" w:styleId="IntenseReference">
    <w:name w:val="Intense Reference"/>
    <w:basedOn w:val="DefaultParagraphFont"/>
    <w:uiPriority w:val="32"/>
    <w:qFormat/>
    <w:rsid w:val="006D5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Steinwand</dc:creator>
  <cp:keywords/>
  <dc:description/>
  <cp:lastModifiedBy>Aimee Steinwand</cp:lastModifiedBy>
  <cp:revision>10</cp:revision>
  <dcterms:created xsi:type="dcterms:W3CDTF">2026-04-08T01:00:00Z</dcterms:created>
  <dcterms:modified xsi:type="dcterms:W3CDTF">2026-04-08T14:50:00Z</dcterms:modified>
</cp:coreProperties>
</file>