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7DB6C" w14:textId="0099199A" w:rsidR="001D36B8" w:rsidRPr="00FE74AB" w:rsidRDefault="00B921FC" w:rsidP="005F5D08">
      <w:pPr>
        <w:spacing w:after="0" w:line="240" w:lineRule="auto"/>
        <w:rPr>
          <w:rFonts w:ascii="Verdana" w:hAnsi="Verdana"/>
          <w:sz w:val="22"/>
          <w:szCs w:val="22"/>
        </w:rPr>
      </w:pPr>
      <w:r w:rsidRPr="00FE74AB">
        <w:rPr>
          <w:rFonts w:ascii="Verdana" w:hAnsi="Verdana"/>
          <w:sz w:val="22"/>
          <w:szCs w:val="22"/>
        </w:rPr>
        <w:t>Aimee Steinwand</w:t>
      </w:r>
    </w:p>
    <w:p w14:paraId="7981084D" w14:textId="67662FC8" w:rsidR="00DD107A" w:rsidRPr="00FE74AB" w:rsidRDefault="00DD107A" w:rsidP="005F5D08">
      <w:pPr>
        <w:spacing w:after="0" w:line="240" w:lineRule="auto"/>
        <w:rPr>
          <w:rFonts w:ascii="Verdana" w:hAnsi="Verdana"/>
          <w:sz w:val="22"/>
          <w:szCs w:val="22"/>
        </w:rPr>
      </w:pPr>
      <w:r w:rsidRPr="00FE74AB">
        <w:rPr>
          <w:rFonts w:ascii="Verdana" w:hAnsi="Verdana"/>
          <w:sz w:val="22"/>
          <w:szCs w:val="22"/>
        </w:rPr>
        <w:t>BIOS 6624</w:t>
      </w:r>
    </w:p>
    <w:p w14:paraId="0AEC8F95" w14:textId="6E4F940C" w:rsidR="00DD107A" w:rsidRPr="00FE74AB" w:rsidRDefault="00DD107A" w:rsidP="005F5D08">
      <w:pPr>
        <w:spacing w:line="240" w:lineRule="auto"/>
        <w:rPr>
          <w:rFonts w:ascii="Verdana" w:hAnsi="Verdana"/>
          <w:sz w:val="22"/>
          <w:szCs w:val="22"/>
        </w:rPr>
      </w:pPr>
      <w:r w:rsidRPr="00FE74AB">
        <w:rPr>
          <w:rFonts w:ascii="Verdana" w:hAnsi="Verdana"/>
          <w:sz w:val="22"/>
          <w:szCs w:val="22"/>
        </w:rPr>
        <w:t>Project 2 Final Report</w:t>
      </w:r>
    </w:p>
    <w:p w14:paraId="698701B2" w14:textId="7B35DAC6" w:rsidR="00DD107A" w:rsidRPr="00FE74AB" w:rsidRDefault="00A00BF7" w:rsidP="00A00BF7">
      <w:pPr>
        <w:jc w:val="center"/>
        <w:rPr>
          <w:rFonts w:ascii="Verdana" w:hAnsi="Verdana"/>
          <w:sz w:val="22"/>
          <w:szCs w:val="22"/>
        </w:rPr>
      </w:pPr>
      <w:r w:rsidRPr="00FE74AB">
        <w:rPr>
          <w:rFonts w:ascii="Verdana" w:hAnsi="Verdana"/>
          <w:sz w:val="22"/>
          <w:szCs w:val="22"/>
        </w:rPr>
        <w:t>Data Analysis Plan and Sample Size Justification</w:t>
      </w:r>
    </w:p>
    <w:p w14:paraId="740CB367" w14:textId="1678A476" w:rsidR="00A00BF7" w:rsidRPr="00FE74AB" w:rsidRDefault="0084168F" w:rsidP="00A00BF7">
      <w:pPr>
        <w:rPr>
          <w:rFonts w:ascii="Verdana" w:hAnsi="Verdana"/>
          <w:b/>
          <w:bCs/>
          <w:sz w:val="22"/>
          <w:szCs w:val="22"/>
        </w:rPr>
      </w:pPr>
      <w:r w:rsidRPr="00FE74AB">
        <w:rPr>
          <w:rFonts w:ascii="Verdana" w:hAnsi="Verdana"/>
          <w:b/>
          <w:bCs/>
          <w:sz w:val="22"/>
          <w:szCs w:val="22"/>
        </w:rPr>
        <w:t>Analysis Plan</w:t>
      </w:r>
    </w:p>
    <w:p w14:paraId="6E645E40" w14:textId="1B2830D7" w:rsidR="00283BBD" w:rsidRPr="00FE74AB" w:rsidRDefault="00283BBD" w:rsidP="00A00BF7">
      <w:pPr>
        <w:rPr>
          <w:rFonts w:ascii="Verdana" w:hAnsi="Verdana"/>
          <w:sz w:val="22"/>
          <w:szCs w:val="22"/>
        </w:rPr>
      </w:pPr>
      <w:r w:rsidRPr="00FE74AB">
        <w:rPr>
          <w:rFonts w:ascii="Verdana" w:hAnsi="Verdana"/>
          <w:sz w:val="22"/>
          <w:szCs w:val="22"/>
        </w:rPr>
        <w:t>Aim 1</w:t>
      </w:r>
    </w:p>
    <w:p w14:paraId="3F62A738" w14:textId="312995AC" w:rsidR="00283BBD" w:rsidRPr="00FE74AB" w:rsidRDefault="00654322" w:rsidP="00954B8F">
      <w:pPr>
        <w:spacing w:after="0"/>
        <w:rPr>
          <w:rFonts w:ascii="Verdana" w:hAnsi="Verdana"/>
          <w:sz w:val="22"/>
          <w:szCs w:val="22"/>
          <w:u w:val="single"/>
        </w:rPr>
      </w:pPr>
      <w:r w:rsidRPr="00FE74AB">
        <w:rPr>
          <w:rFonts w:ascii="Verdana" w:hAnsi="Verdana"/>
          <w:sz w:val="22"/>
          <w:szCs w:val="22"/>
          <w:u w:val="single"/>
        </w:rPr>
        <w:t>Hypotheses</w:t>
      </w:r>
    </w:p>
    <w:p w14:paraId="27DF48FC" w14:textId="216E40B9" w:rsidR="00654322" w:rsidRPr="00FE74AB" w:rsidRDefault="00EF6C92" w:rsidP="00A00BF7">
      <w:pPr>
        <w:rPr>
          <w:rFonts w:ascii="Verdana" w:hAnsi="Verdana"/>
          <w:sz w:val="22"/>
          <w:szCs w:val="22"/>
        </w:rPr>
      </w:pPr>
      <w:r w:rsidRPr="00FE74AB">
        <w:rPr>
          <w:rFonts w:ascii="Verdana" w:hAnsi="Verdana"/>
          <w:sz w:val="22"/>
          <w:szCs w:val="22"/>
        </w:rPr>
        <w:t>Hypothesis 1a: Higher baseline cytokine and chemokine levels</w:t>
      </w:r>
      <w:r w:rsidR="003739DF" w:rsidRPr="00FE74AB">
        <w:rPr>
          <w:rFonts w:ascii="Verdana" w:hAnsi="Verdana"/>
          <w:sz w:val="22"/>
          <w:szCs w:val="22"/>
        </w:rPr>
        <w:t xml:space="preserve"> (</w:t>
      </w:r>
      <w:r w:rsidR="003739DF" w:rsidRPr="00FE74AB">
        <w:rPr>
          <w:rFonts w:ascii="Verdana" w:hAnsi="Verdana"/>
          <w:sz w:val="22"/>
          <w:szCs w:val="22"/>
        </w:rPr>
        <w:t>IL-6, TNF-α, MCP-1, and Eotaxin-1</w:t>
      </w:r>
      <w:r w:rsidR="003739DF" w:rsidRPr="00FE74AB">
        <w:rPr>
          <w:rFonts w:ascii="Verdana" w:hAnsi="Verdana"/>
          <w:sz w:val="22"/>
          <w:szCs w:val="22"/>
        </w:rPr>
        <w:t>)</w:t>
      </w:r>
      <w:r w:rsidRPr="00FE74AB">
        <w:rPr>
          <w:rFonts w:ascii="Verdana" w:hAnsi="Verdana"/>
          <w:sz w:val="22"/>
          <w:szCs w:val="22"/>
        </w:rPr>
        <w:t xml:space="preserve"> in circulating plasma will predict greater declines in episodic memory consolidation and decreases in AD-signature cortical thickness over a one-year follow-up period.</w:t>
      </w:r>
      <w:r w:rsidR="00CB1A99" w:rsidRPr="00FE74AB">
        <w:rPr>
          <w:rFonts w:ascii="Verdana" w:hAnsi="Verdana"/>
          <w:sz w:val="22"/>
          <w:szCs w:val="22"/>
        </w:rPr>
        <w:t xml:space="preserve"> </w:t>
      </w:r>
      <w:r w:rsidR="00B67867" w:rsidRPr="00FE74AB">
        <w:rPr>
          <w:rFonts w:ascii="Verdana" w:hAnsi="Verdana"/>
          <w:sz w:val="22"/>
          <w:szCs w:val="22"/>
        </w:rPr>
        <w:t>Hypothesis 1b: Greater increases in cytokine and chemokine levels from baseline to one-year follow-up will be associated with greater declines in episodic memory performance and AD-signature cortical thickness over the same period.</w:t>
      </w:r>
    </w:p>
    <w:p w14:paraId="02B8C409" w14:textId="7E23C4E1" w:rsidR="00B53CC5" w:rsidRPr="00FE74AB" w:rsidRDefault="00B53CC5" w:rsidP="00954B8F">
      <w:pPr>
        <w:spacing w:after="0"/>
        <w:rPr>
          <w:rFonts w:ascii="Verdana" w:hAnsi="Verdana"/>
          <w:sz w:val="22"/>
          <w:szCs w:val="22"/>
          <w:u w:val="single"/>
        </w:rPr>
      </w:pPr>
      <w:r w:rsidRPr="00FE74AB">
        <w:rPr>
          <w:rFonts w:ascii="Verdana" w:hAnsi="Verdana"/>
          <w:sz w:val="22"/>
          <w:szCs w:val="22"/>
          <w:u w:val="single"/>
        </w:rPr>
        <w:t>Outcomes and Predictors</w:t>
      </w:r>
    </w:p>
    <w:p w14:paraId="162544DC" w14:textId="5C84C6FF" w:rsidR="00B53CC5" w:rsidRPr="00FE74AB" w:rsidRDefault="00DB414F" w:rsidP="00A00BF7">
      <w:pPr>
        <w:rPr>
          <w:rFonts w:ascii="Verdana" w:hAnsi="Verdana"/>
          <w:sz w:val="22"/>
          <w:szCs w:val="22"/>
        </w:rPr>
      </w:pPr>
      <w:r w:rsidRPr="00FE74AB">
        <w:rPr>
          <w:rFonts w:ascii="Verdana" w:hAnsi="Verdana"/>
          <w:sz w:val="22"/>
          <w:szCs w:val="22"/>
        </w:rPr>
        <w:t>Primary outcomes are one-year change scores (baseline minus year 1) for each episodic memory test administered separately</w:t>
      </w:r>
      <w:r w:rsidR="002B73C6">
        <w:rPr>
          <w:rFonts w:ascii="Verdana" w:hAnsi="Verdana"/>
          <w:sz w:val="22"/>
          <w:szCs w:val="22"/>
        </w:rPr>
        <w:t>,</w:t>
      </w:r>
      <w:r w:rsidRPr="00FE74AB">
        <w:rPr>
          <w:rFonts w:ascii="Verdana" w:hAnsi="Verdana"/>
          <w:sz w:val="22"/>
          <w:szCs w:val="22"/>
        </w:rPr>
        <w:t xml:space="preserve"> including the California Verbal Learning Test-II (CVLT-II), the Benson Figure recall task, and story recall from the Mnemonic Similarity Task (MST) assessed at 30-minute and one-week delays</w:t>
      </w:r>
      <w:r w:rsidR="002B73C6">
        <w:rPr>
          <w:rFonts w:ascii="Verdana" w:hAnsi="Verdana"/>
          <w:sz w:val="22"/>
          <w:szCs w:val="22"/>
        </w:rPr>
        <w:t>,</w:t>
      </w:r>
      <w:r w:rsidRPr="00FE74AB">
        <w:rPr>
          <w:rFonts w:ascii="Verdana" w:hAnsi="Verdana"/>
          <w:sz w:val="22"/>
          <w:szCs w:val="22"/>
        </w:rPr>
        <w:t xml:space="preserve"> and mean AD-signature cortical thickness (mm), computed as the mean across all AD cortical signature regions from structural MRI. Primary predictors for Hypothesis 1a are baseline plasma levels of IL-6, TNF-α, MCP-1, and Eotaxin-1; for Hypothesis 1b, predictors are the one-year change in those same four markers.</w:t>
      </w:r>
    </w:p>
    <w:p w14:paraId="1141EDDE" w14:textId="699BC684" w:rsidR="00D72977" w:rsidRPr="00FE74AB" w:rsidRDefault="00BF753A" w:rsidP="00954B8F">
      <w:pPr>
        <w:spacing w:after="0"/>
        <w:rPr>
          <w:rFonts w:ascii="Verdana" w:hAnsi="Verdana"/>
          <w:sz w:val="22"/>
          <w:szCs w:val="22"/>
          <w:u w:val="single"/>
        </w:rPr>
      </w:pPr>
      <w:r w:rsidRPr="00FE74AB">
        <w:rPr>
          <w:rFonts w:ascii="Verdana" w:hAnsi="Verdana"/>
          <w:sz w:val="22"/>
          <w:szCs w:val="22"/>
          <w:u w:val="single"/>
        </w:rPr>
        <w:t>Analytical Approach</w:t>
      </w:r>
    </w:p>
    <w:p w14:paraId="1907FB04" w14:textId="5051B291" w:rsidR="00FE74AB" w:rsidRPr="00FE74AB" w:rsidRDefault="00562B59" w:rsidP="00FE74AB">
      <w:pPr>
        <w:rPr>
          <w:rFonts w:ascii="Verdana" w:hAnsi="Verdana"/>
          <w:sz w:val="22"/>
          <w:szCs w:val="22"/>
        </w:rPr>
      </w:pPr>
      <w:r w:rsidRPr="00562B59">
        <w:rPr>
          <w:rFonts w:ascii="Verdana" w:hAnsi="Verdana"/>
          <w:sz w:val="22"/>
          <w:szCs w:val="22"/>
        </w:rPr>
        <w:t>Separate multiple linear regression models will be fit for each cytokine/chemokine (4 markers) by outcome (</w:t>
      </w:r>
      <w:r w:rsidR="00FE74AB" w:rsidRPr="00FE74AB">
        <w:rPr>
          <w:rFonts w:ascii="Verdana" w:hAnsi="Verdana"/>
          <w:sz w:val="22"/>
          <w:szCs w:val="22"/>
        </w:rPr>
        <w:t>memory tests and cortical thickness) combination, with change scores as the dependent variable. Baseline score on the relevant outcome will be included as a covariate in all models to account for regression to the mean, as participants with lower baseline performance have more room to decline and this must be controlled to avoid spurious associations. All models will additionally adjust for age, sex, APOE-ε4 carrier status, years of education, BMI, history of hypercholesterolemia, NSAID use, immune-related health conditions, and group membership (aMCI vs. HC), given that both groups are combined for analysis and are expected to differ systematically in cytokine levels and rates of decline. Prior to inclusion, cardiovascular and immune-related covariates will be assessed for multicollinearity using variance inflation factors (VIF); variables with VIF &gt; 10 will be flagged and addressed via reduction if necessary.</w:t>
      </w:r>
    </w:p>
    <w:p w14:paraId="53A904FE" w14:textId="68A6A4FA" w:rsidR="00C76CA4" w:rsidRDefault="00FE74AB" w:rsidP="00FE74AB">
      <w:pPr>
        <w:rPr>
          <w:rFonts w:ascii="Verdana" w:hAnsi="Verdana"/>
          <w:sz w:val="22"/>
          <w:szCs w:val="22"/>
        </w:rPr>
      </w:pPr>
      <w:r w:rsidRPr="00FE74AB">
        <w:rPr>
          <w:rFonts w:ascii="Verdana" w:hAnsi="Verdana"/>
          <w:sz w:val="22"/>
          <w:szCs w:val="22"/>
        </w:rPr>
        <w:lastRenderedPageBreak/>
        <w:t>Because the four primary cytokines/chemokines are expected to be positively correlated with one another</w:t>
      </w:r>
      <w:r w:rsidR="002B73C6">
        <w:rPr>
          <w:rFonts w:ascii="Verdana" w:hAnsi="Verdana"/>
          <w:sz w:val="22"/>
          <w:szCs w:val="22"/>
        </w:rPr>
        <w:t>,</w:t>
      </w:r>
      <w:r w:rsidRPr="00FE74AB">
        <w:rPr>
          <w:rFonts w:ascii="Verdana" w:hAnsi="Verdana"/>
          <w:sz w:val="22"/>
          <w:szCs w:val="22"/>
        </w:rPr>
        <w:t xml:space="preserve"> as confirmed in preliminary data (r = 0.934 between IL-6 and MCP-1) and the outcomes are likewise correlated, Bonferroni correction would be overly conservative. The Benjamini-Hochberg false discovery rate (FDR) procedure will therefore be applied across the family of tests within each aim, controlling the expected proportion of false positives among significant findings at 5%, implemented via </w:t>
      </w:r>
      <w:proofErr w:type="spellStart"/>
      <w:r w:rsidRPr="00FE74AB">
        <w:rPr>
          <w:rFonts w:ascii="Verdana" w:hAnsi="Verdana"/>
          <w:sz w:val="22"/>
          <w:szCs w:val="22"/>
        </w:rPr>
        <w:t>p.adjust</w:t>
      </w:r>
      <w:proofErr w:type="spellEnd"/>
      <w:r w:rsidRPr="00FE74AB">
        <w:rPr>
          <w:rFonts w:ascii="Verdana" w:hAnsi="Verdana"/>
          <w:sz w:val="22"/>
          <w:szCs w:val="22"/>
        </w:rPr>
        <w:t>(method = "BH") in R. Results will be interpreted for consistency of direction and significance across the correlated outcomes and markers; a finding supported across multiple outcomes will be treated as more robust evidence of a true effect.</w:t>
      </w:r>
    </w:p>
    <w:p w14:paraId="482EF32B" w14:textId="0FC0B62C" w:rsidR="008E0FEB" w:rsidRDefault="008E0FEB" w:rsidP="00954B8F">
      <w:pPr>
        <w:spacing w:after="0"/>
        <w:rPr>
          <w:rFonts w:ascii="Verdana" w:hAnsi="Verdana"/>
          <w:sz w:val="22"/>
          <w:szCs w:val="22"/>
          <w:u w:val="single"/>
        </w:rPr>
      </w:pPr>
      <w:r>
        <w:rPr>
          <w:rFonts w:ascii="Verdana" w:hAnsi="Verdana"/>
          <w:sz w:val="22"/>
          <w:szCs w:val="22"/>
          <w:u w:val="single"/>
        </w:rPr>
        <w:t>Data Management</w:t>
      </w:r>
    </w:p>
    <w:p w14:paraId="406ABD73" w14:textId="4C5A71CA" w:rsidR="008E0FEB" w:rsidRDefault="006726BD" w:rsidP="00FE74AB">
      <w:pPr>
        <w:rPr>
          <w:rFonts w:ascii="Verdana" w:hAnsi="Verdana"/>
          <w:sz w:val="22"/>
          <w:szCs w:val="22"/>
        </w:rPr>
      </w:pPr>
      <w:r w:rsidRPr="006726BD">
        <w:rPr>
          <w:rFonts w:ascii="Verdana" w:hAnsi="Verdana"/>
          <w:sz w:val="22"/>
          <w:szCs w:val="22"/>
        </w:rPr>
        <w:t>Upon receipt of the full investigator dataset, the following steps will be taken prior to analysis. The raw dataset will be reviewed for completeness, with the number of observations at each stage documented. Subjects will be excluded if they are missing data on primary outcomes or predictors; excluded subjects will be compared to included subjects on key demographic variables to assess whether missingness is related to observable characteristics. Continuous predictors will be examined for distributional assumptions; inflammatory markers will be assessed for skewness and log-transformed if indicated. Collinearity among covariates will be evaluated as described above. The final analytic dataset will be defined as all subjects with complete data on outcomes, primary predictors, and covariates, and this dataset will be used for all primary analyses.</w:t>
      </w:r>
    </w:p>
    <w:p w14:paraId="43CB4B05" w14:textId="7EF28BF9" w:rsidR="00954B8F" w:rsidRDefault="00B95D19" w:rsidP="00FE74AB">
      <w:pPr>
        <w:rPr>
          <w:rFonts w:ascii="Verdana" w:hAnsi="Verdana"/>
          <w:sz w:val="22"/>
          <w:szCs w:val="22"/>
        </w:rPr>
      </w:pPr>
      <w:r>
        <w:rPr>
          <w:rFonts w:ascii="Verdana" w:hAnsi="Verdana"/>
          <w:sz w:val="22"/>
          <w:szCs w:val="22"/>
        </w:rPr>
        <w:t>Aim 2</w:t>
      </w:r>
    </w:p>
    <w:p w14:paraId="638418EF" w14:textId="3742D39F" w:rsidR="00B95D19" w:rsidRDefault="000341A6" w:rsidP="00A03A1E">
      <w:pPr>
        <w:spacing w:after="0"/>
        <w:rPr>
          <w:rFonts w:ascii="Verdana" w:hAnsi="Verdana"/>
          <w:sz w:val="22"/>
          <w:szCs w:val="22"/>
          <w:u w:val="single"/>
        </w:rPr>
      </w:pPr>
      <w:r>
        <w:rPr>
          <w:rFonts w:ascii="Verdana" w:hAnsi="Verdana"/>
          <w:sz w:val="22"/>
          <w:szCs w:val="22"/>
          <w:u w:val="single"/>
        </w:rPr>
        <w:t>Hypothesis</w:t>
      </w:r>
    </w:p>
    <w:p w14:paraId="10719D77" w14:textId="37241443" w:rsidR="000341A6" w:rsidRDefault="00595507" w:rsidP="00FE74AB">
      <w:pPr>
        <w:rPr>
          <w:rFonts w:ascii="Verdana" w:hAnsi="Verdana"/>
          <w:sz w:val="22"/>
          <w:szCs w:val="22"/>
        </w:rPr>
      </w:pPr>
      <w:r w:rsidRPr="00595507">
        <w:rPr>
          <w:rFonts w:ascii="Verdana" w:hAnsi="Verdana"/>
          <w:sz w:val="22"/>
          <w:szCs w:val="22"/>
        </w:rPr>
        <w:t>The co-occurrence of elevated peripheral inflammatory markers and greater amyloid deposition (continuous PET SUVR) will be the strongest predictor of one-year decline in episodic memory and AD-signature cortical thickness, beyond the independent effects of either factor alone</w:t>
      </w:r>
      <w:r w:rsidR="00A03A1E">
        <w:rPr>
          <w:rFonts w:ascii="Verdana" w:hAnsi="Verdana"/>
          <w:sz w:val="22"/>
          <w:szCs w:val="22"/>
        </w:rPr>
        <w:t>.</w:t>
      </w:r>
    </w:p>
    <w:p w14:paraId="7223EC60" w14:textId="77777777" w:rsidR="008F3670" w:rsidRPr="00FE74AB" w:rsidRDefault="008F3670" w:rsidP="008F3670">
      <w:pPr>
        <w:spacing w:after="0"/>
        <w:rPr>
          <w:rFonts w:ascii="Verdana" w:hAnsi="Verdana"/>
          <w:sz w:val="22"/>
          <w:szCs w:val="22"/>
          <w:u w:val="single"/>
        </w:rPr>
      </w:pPr>
      <w:r w:rsidRPr="00FE74AB">
        <w:rPr>
          <w:rFonts w:ascii="Verdana" w:hAnsi="Verdana"/>
          <w:sz w:val="22"/>
          <w:szCs w:val="22"/>
          <w:u w:val="single"/>
        </w:rPr>
        <w:t>Outcomes and Predictors</w:t>
      </w:r>
    </w:p>
    <w:p w14:paraId="1EE2628B" w14:textId="5C681551" w:rsidR="008F3670" w:rsidRDefault="00B83EB8" w:rsidP="00FE74AB">
      <w:pPr>
        <w:rPr>
          <w:rFonts w:ascii="Verdana" w:hAnsi="Verdana"/>
          <w:sz w:val="22"/>
          <w:szCs w:val="22"/>
        </w:rPr>
      </w:pPr>
      <w:r w:rsidRPr="00B83EB8">
        <w:rPr>
          <w:rFonts w:ascii="Verdana" w:hAnsi="Verdana"/>
          <w:sz w:val="22"/>
          <w:szCs w:val="22"/>
        </w:rPr>
        <w:t>Outcomes are identical to Aim 1. Primary predictors are: (1) plasma levels of IL-6, TNF-α, MCP-1, and Eotaxin-1; (2) amyloid deposition as a continuous PET SUVR variable; and (3) the multiplicative interaction between each inflammatory marker and amyloid SUVR.</w:t>
      </w:r>
    </w:p>
    <w:p w14:paraId="30688DB4" w14:textId="1C1A7CC5" w:rsidR="00755715" w:rsidRDefault="0089632E" w:rsidP="0089632E">
      <w:pPr>
        <w:spacing w:after="0"/>
        <w:rPr>
          <w:rFonts w:ascii="Verdana" w:hAnsi="Verdana"/>
          <w:sz w:val="22"/>
          <w:szCs w:val="22"/>
          <w:u w:val="single"/>
        </w:rPr>
      </w:pPr>
      <w:r>
        <w:rPr>
          <w:rFonts w:ascii="Verdana" w:hAnsi="Verdana"/>
          <w:sz w:val="22"/>
          <w:szCs w:val="22"/>
          <w:u w:val="single"/>
        </w:rPr>
        <w:t>Analytical Approach</w:t>
      </w:r>
    </w:p>
    <w:p w14:paraId="5FB40E5B" w14:textId="1AF1390C" w:rsidR="0089632E" w:rsidRDefault="0089632E" w:rsidP="00FE74AB">
      <w:pPr>
        <w:rPr>
          <w:rFonts w:ascii="Verdana" w:hAnsi="Verdana"/>
          <w:sz w:val="22"/>
          <w:szCs w:val="22"/>
        </w:rPr>
      </w:pPr>
      <w:r w:rsidRPr="0089632E">
        <w:rPr>
          <w:rFonts w:ascii="Verdana" w:hAnsi="Verdana"/>
          <w:sz w:val="22"/>
          <w:szCs w:val="22"/>
        </w:rPr>
        <w:t xml:space="preserve">Multiple linear regression models will include the main effect of each inflammatory marker, the main effect of amyloid SUVR, and their multiplicative interaction term, with one-year change scores as outcomes. Both the cytokine and amyloid SUVR variables will be </w:t>
      </w:r>
      <w:proofErr w:type="gramStart"/>
      <w:r w:rsidRPr="0089632E">
        <w:rPr>
          <w:rFonts w:ascii="Verdana" w:hAnsi="Verdana"/>
          <w:sz w:val="22"/>
          <w:szCs w:val="22"/>
        </w:rPr>
        <w:t>mean-centered</w:t>
      </w:r>
      <w:proofErr w:type="gramEnd"/>
      <w:r w:rsidRPr="0089632E">
        <w:rPr>
          <w:rFonts w:ascii="Verdana" w:hAnsi="Verdana"/>
          <w:sz w:val="22"/>
          <w:szCs w:val="22"/>
        </w:rPr>
        <w:t xml:space="preserve"> prior to computing the interaction term to reduce multicollinearity and facilitate interpretation of main effects. The model therefore </w:t>
      </w:r>
      <w:r w:rsidRPr="0089632E">
        <w:rPr>
          <w:rFonts w:ascii="Verdana" w:hAnsi="Verdana"/>
          <w:sz w:val="22"/>
          <w:szCs w:val="22"/>
        </w:rPr>
        <w:lastRenderedPageBreak/>
        <w:t>includes: the centered cytokine, centered amyloid SUVR, their product term, and all covariates from Aim 1. Retaining both main effects alongside the interaction term is required to correctly partition variance and interpret the interaction. A statistically significant interaction term will be followed by simple slopes analysis to characterize the direction and magnitude of the inflammation effect across the range of amyloid SUVR values. FDR correction will be applied across the four cytokine-specific interaction tests within each outcome, consistent with Aim 1. Aim 2 findings will be interpreted in the context of Aim 1 results; if Aim 1 reveals no association between inflammation and cognitive decline, this will be noted when interpreting any Aim 2 interaction effects.</w:t>
      </w:r>
    </w:p>
    <w:p w14:paraId="65D9FC58" w14:textId="0FEF27A9" w:rsidR="00E5501F" w:rsidRDefault="00E5501F" w:rsidP="00FE74AB">
      <w:pPr>
        <w:rPr>
          <w:rFonts w:ascii="Verdana" w:hAnsi="Verdana"/>
          <w:b/>
          <w:bCs/>
          <w:sz w:val="22"/>
          <w:szCs w:val="22"/>
        </w:rPr>
      </w:pPr>
      <w:r>
        <w:rPr>
          <w:rFonts w:ascii="Verdana" w:hAnsi="Verdana"/>
          <w:b/>
          <w:bCs/>
          <w:sz w:val="22"/>
          <w:szCs w:val="22"/>
        </w:rPr>
        <w:t>Sample Size and Power Justification</w:t>
      </w:r>
    </w:p>
    <w:p w14:paraId="47E90FE4" w14:textId="004F73DC" w:rsidR="00E5501F" w:rsidRDefault="00D0339B" w:rsidP="00D0339B">
      <w:pPr>
        <w:spacing w:after="0"/>
        <w:rPr>
          <w:rFonts w:ascii="Verdana" w:hAnsi="Verdana"/>
          <w:sz w:val="22"/>
          <w:szCs w:val="22"/>
          <w:u w:val="single"/>
        </w:rPr>
      </w:pPr>
      <w:r>
        <w:rPr>
          <w:rFonts w:ascii="Verdana" w:hAnsi="Verdana"/>
          <w:sz w:val="22"/>
          <w:szCs w:val="22"/>
          <w:u w:val="single"/>
        </w:rPr>
        <w:t>Preliminary Data and Effect Size Estimation</w:t>
      </w:r>
    </w:p>
    <w:p w14:paraId="7435720C" w14:textId="4BD2E4D7" w:rsidR="00D0339B" w:rsidRDefault="00C77CF8" w:rsidP="00C77CF8">
      <w:pPr>
        <w:rPr>
          <w:rFonts w:ascii="Verdana" w:hAnsi="Verdana"/>
          <w:sz w:val="22"/>
          <w:szCs w:val="22"/>
        </w:rPr>
      </w:pPr>
      <w:r w:rsidRPr="00C77CF8">
        <w:rPr>
          <w:rFonts w:ascii="Verdana" w:hAnsi="Verdana"/>
          <w:sz w:val="22"/>
          <w:szCs w:val="22"/>
        </w:rPr>
        <w:t>The investigator provided preliminary data on two outcome change scores (change in CVLT performance and change in AD-signature cortical thickness, both coded as baseline minus year 1) and two baseline inflammatory markers (IL-6 and MCP-1) in a sample of N = 30. These data were used to estimate a plausible range of correlations between inflammatory markers and outcome change scores to inform power calculations. The preliminary correlation matrix is shown in Table 1. Predictor-outcome correlations ranged from r = -0.259 (IL-6 and CVLT change) to r = -0.685 (MCP-1 and cortical thickness change), with negative signs indicating that higher baseline inflammation was associated with greater decline, consistent with study hypotheses. The high correlation between IL-6 and MCP-1 (r = 0.934) further supports the use of FDR rather than Bonferroni correction. Because N = 30 yields unstable correlation estimates and partial correlations controlling for covariates are typically smaller than observed bivariate correlations, these values should be interpreted as approximate upper bounds on expected effect sizes.</w:t>
      </w:r>
    </w:p>
    <w:p w14:paraId="30560F38" w14:textId="77777777" w:rsidR="00E54257" w:rsidRPr="00E54257" w:rsidRDefault="00E54257" w:rsidP="00E54257">
      <w:pPr>
        <w:spacing w:after="120" w:line="240" w:lineRule="auto"/>
        <w:rPr>
          <w:rFonts w:ascii="Verdana" w:eastAsia="Arial" w:hAnsi="Verdana" w:cs="Arial"/>
          <w:kern w:val="0"/>
          <w:sz w:val="20"/>
          <w:szCs w:val="20"/>
          <w14:ligatures w14:val="none"/>
        </w:rPr>
      </w:pPr>
      <w:r w:rsidRPr="00E54257">
        <w:rPr>
          <w:rFonts w:ascii="Verdana" w:eastAsia="Arial" w:hAnsi="Verdana" w:cs="Arial"/>
          <w:b/>
          <w:bCs/>
          <w:kern w:val="0"/>
          <w:sz w:val="22"/>
          <w:szCs w:val="22"/>
          <w14:ligatures w14:val="none"/>
        </w:rPr>
        <w:t>Table 1. Preliminary data correlation matrix (N = 30).</w:t>
      </w:r>
    </w:p>
    <w:p w14:paraId="709296E1" w14:textId="77777777" w:rsidR="00E54257" w:rsidRPr="00E54257" w:rsidRDefault="00E54257" w:rsidP="00E54257">
      <w:pPr>
        <w:spacing w:after="80" w:line="240" w:lineRule="auto"/>
        <w:rPr>
          <w:rFonts w:ascii="Arial" w:eastAsia="Arial" w:hAnsi="Arial" w:cs="Arial"/>
          <w:kern w:val="0"/>
          <w:sz w:val="20"/>
          <w:szCs w:val="20"/>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40"/>
        <w:gridCol w:w="1540"/>
        <w:gridCol w:w="1540"/>
        <w:gridCol w:w="2540"/>
      </w:tblGrid>
      <w:tr w:rsidR="00E54257" w:rsidRPr="00E54257" w14:paraId="7D41BAC5" w14:textId="77777777" w:rsidTr="00156122">
        <w:tc>
          <w:tcPr>
            <w:tcW w:w="2200" w:type="dxa"/>
            <w:tcBorders>
              <w:top w:val="single" w:sz="2" w:space="0" w:color="AAAAAA"/>
              <w:left w:val="single" w:sz="2" w:space="0" w:color="AAAAAA"/>
              <w:bottom w:val="single" w:sz="2" w:space="0" w:color="AAAAAA"/>
              <w:right w:val="single" w:sz="2" w:space="0" w:color="AAAAAA"/>
            </w:tcBorders>
            <w:shd w:val="clear" w:color="auto" w:fill="DAE9F7" w:themeFill="text2" w:themeFillTint="1A"/>
            <w:tcMar>
              <w:top w:w="80" w:type="dxa"/>
              <w:left w:w="120" w:type="dxa"/>
              <w:bottom w:w="80" w:type="dxa"/>
              <w:right w:w="120" w:type="dxa"/>
            </w:tcMar>
          </w:tcPr>
          <w:p w14:paraId="42B33724" w14:textId="77777777" w:rsidR="00E54257" w:rsidRPr="00E54257" w:rsidRDefault="00E54257" w:rsidP="00E54257">
            <w:pPr>
              <w:spacing w:after="0" w:line="240" w:lineRule="auto"/>
              <w:rPr>
                <w:rFonts w:ascii="Arial" w:eastAsia="Arial" w:hAnsi="Arial" w:cs="Arial"/>
                <w:kern w:val="0"/>
                <w:sz w:val="20"/>
                <w:szCs w:val="20"/>
                <w14:ligatures w14:val="none"/>
              </w:rPr>
            </w:pPr>
          </w:p>
        </w:tc>
        <w:tc>
          <w:tcPr>
            <w:tcW w:w="1540" w:type="dxa"/>
            <w:tcBorders>
              <w:top w:val="single" w:sz="2" w:space="0" w:color="AAAAAA"/>
              <w:left w:val="single" w:sz="2" w:space="0" w:color="AAAAAA"/>
              <w:bottom w:val="single" w:sz="2" w:space="0" w:color="AAAAAA"/>
              <w:right w:val="single" w:sz="2" w:space="0" w:color="AAAAAA"/>
            </w:tcBorders>
            <w:shd w:val="clear" w:color="auto" w:fill="DAE9F7" w:themeFill="text2" w:themeFillTint="1A"/>
            <w:tcMar>
              <w:top w:w="80" w:type="dxa"/>
              <w:left w:w="120" w:type="dxa"/>
              <w:bottom w:w="80" w:type="dxa"/>
              <w:right w:w="120" w:type="dxa"/>
            </w:tcMar>
            <w:hideMark/>
          </w:tcPr>
          <w:p w14:paraId="70572E3A"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b/>
                <w:bCs/>
                <w:kern w:val="0"/>
                <w:sz w:val="18"/>
                <w:szCs w:val="18"/>
                <w14:ligatures w14:val="none"/>
              </w:rPr>
              <w:t>IL-6</w:t>
            </w:r>
          </w:p>
        </w:tc>
        <w:tc>
          <w:tcPr>
            <w:tcW w:w="1540" w:type="dxa"/>
            <w:tcBorders>
              <w:top w:val="single" w:sz="2" w:space="0" w:color="AAAAAA"/>
              <w:left w:val="single" w:sz="2" w:space="0" w:color="AAAAAA"/>
              <w:bottom w:val="single" w:sz="2" w:space="0" w:color="AAAAAA"/>
              <w:right w:val="single" w:sz="2" w:space="0" w:color="AAAAAA"/>
            </w:tcBorders>
            <w:shd w:val="clear" w:color="auto" w:fill="DAE9F7" w:themeFill="text2" w:themeFillTint="1A"/>
            <w:tcMar>
              <w:top w:w="80" w:type="dxa"/>
              <w:left w:w="120" w:type="dxa"/>
              <w:bottom w:w="80" w:type="dxa"/>
              <w:right w:w="120" w:type="dxa"/>
            </w:tcMar>
            <w:hideMark/>
          </w:tcPr>
          <w:p w14:paraId="5B955237"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b/>
                <w:bCs/>
                <w:kern w:val="0"/>
                <w:sz w:val="18"/>
                <w:szCs w:val="18"/>
                <w14:ligatures w14:val="none"/>
              </w:rPr>
              <w:t>MCP-1</w:t>
            </w:r>
          </w:p>
        </w:tc>
        <w:tc>
          <w:tcPr>
            <w:tcW w:w="1540" w:type="dxa"/>
            <w:tcBorders>
              <w:top w:val="single" w:sz="2" w:space="0" w:color="AAAAAA"/>
              <w:left w:val="single" w:sz="2" w:space="0" w:color="AAAAAA"/>
              <w:bottom w:val="single" w:sz="2" w:space="0" w:color="AAAAAA"/>
              <w:right w:val="single" w:sz="2" w:space="0" w:color="AAAAAA"/>
            </w:tcBorders>
            <w:shd w:val="clear" w:color="auto" w:fill="DAE9F7" w:themeFill="text2" w:themeFillTint="1A"/>
            <w:tcMar>
              <w:top w:w="80" w:type="dxa"/>
              <w:left w:w="120" w:type="dxa"/>
              <w:bottom w:w="80" w:type="dxa"/>
              <w:right w:w="120" w:type="dxa"/>
            </w:tcMar>
            <w:hideMark/>
          </w:tcPr>
          <w:p w14:paraId="0A7FFE98"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b/>
                <w:bCs/>
                <w:kern w:val="0"/>
                <w:sz w:val="18"/>
                <w:szCs w:val="18"/>
                <w14:ligatures w14:val="none"/>
              </w:rPr>
              <w:t>CVLT Change</w:t>
            </w:r>
          </w:p>
        </w:tc>
        <w:tc>
          <w:tcPr>
            <w:tcW w:w="2540" w:type="dxa"/>
            <w:tcBorders>
              <w:top w:val="single" w:sz="2" w:space="0" w:color="AAAAAA"/>
              <w:left w:val="single" w:sz="2" w:space="0" w:color="AAAAAA"/>
              <w:bottom w:val="single" w:sz="2" w:space="0" w:color="AAAAAA"/>
              <w:right w:val="single" w:sz="2" w:space="0" w:color="AAAAAA"/>
            </w:tcBorders>
            <w:shd w:val="clear" w:color="auto" w:fill="DAE9F7" w:themeFill="text2" w:themeFillTint="1A"/>
            <w:tcMar>
              <w:top w:w="80" w:type="dxa"/>
              <w:left w:w="120" w:type="dxa"/>
              <w:bottom w:w="80" w:type="dxa"/>
              <w:right w:w="120" w:type="dxa"/>
            </w:tcMar>
            <w:hideMark/>
          </w:tcPr>
          <w:p w14:paraId="6B56D54C"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b/>
                <w:bCs/>
                <w:kern w:val="0"/>
                <w:sz w:val="18"/>
                <w:szCs w:val="18"/>
                <w14:ligatures w14:val="none"/>
              </w:rPr>
              <w:t>Cortical Thickness Change</w:t>
            </w:r>
          </w:p>
        </w:tc>
      </w:tr>
      <w:tr w:rsidR="00E54257" w:rsidRPr="00E54257" w14:paraId="3962C623"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DA702A3"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IL-6</w:t>
            </w:r>
          </w:p>
        </w:tc>
        <w:tc>
          <w:tcPr>
            <w:tcW w:w="15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B1D16C8"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1.000</w:t>
            </w:r>
          </w:p>
        </w:tc>
        <w:tc>
          <w:tcPr>
            <w:tcW w:w="15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5FFE241"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0.934</w:t>
            </w:r>
          </w:p>
        </w:tc>
        <w:tc>
          <w:tcPr>
            <w:tcW w:w="15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497AB28"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-0.259</w:t>
            </w:r>
          </w:p>
        </w:tc>
        <w:tc>
          <w:tcPr>
            <w:tcW w:w="25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98E0BAD"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-0.599</w:t>
            </w:r>
          </w:p>
        </w:tc>
      </w:tr>
      <w:tr w:rsidR="00E54257" w:rsidRPr="00E54257" w14:paraId="5E03D75C"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D5801D6"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MCP-1</w:t>
            </w:r>
          </w:p>
        </w:tc>
        <w:tc>
          <w:tcPr>
            <w:tcW w:w="15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44B2F68"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0.934</w:t>
            </w:r>
          </w:p>
        </w:tc>
        <w:tc>
          <w:tcPr>
            <w:tcW w:w="15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3667941"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1.000</w:t>
            </w:r>
          </w:p>
        </w:tc>
        <w:tc>
          <w:tcPr>
            <w:tcW w:w="15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D468F99"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-0.318</w:t>
            </w:r>
          </w:p>
        </w:tc>
        <w:tc>
          <w:tcPr>
            <w:tcW w:w="25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6FFCA61"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-0.685</w:t>
            </w:r>
          </w:p>
        </w:tc>
      </w:tr>
      <w:tr w:rsidR="00E54257" w:rsidRPr="00E54257" w14:paraId="0D7CACE4"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469C262"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CVLT Change</w:t>
            </w:r>
          </w:p>
        </w:tc>
        <w:tc>
          <w:tcPr>
            <w:tcW w:w="15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852FAE5"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-0.259</w:t>
            </w:r>
          </w:p>
        </w:tc>
        <w:tc>
          <w:tcPr>
            <w:tcW w:w="15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2702678"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-0.318</w:t>
            </w:r>
          </w:p>
        </w:tc>
        <w:tc>
          <w:tcPr>
            <w:tcW w:w="15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3808610"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1.000</w:t>
            </w:r>
          </w:p>
        </w:tc>
        <w:tc>
          <w:tcPr>
            <w:tcW w:w="25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4A3DDB1"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0.156</w:t>
            </w:r>
          </w:p>
        </w:tc>
      </w:tr>
      <w:tr w:rsidR="00E54257" w:rsidRPr="00E54257" w14:paraId="1E9F50EC"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301554A"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Cortical Thickness Change</w:t>
            </w:r>
          </w:p>
        </w:tc>
        <w:tc>
          <w:tcPr>
            <w:tcW w:w="15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5319CAC"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-0.599</w:t>
            </w:r>
          </w:p>
        </w:tc>
        <w:tc>
          <w:tcPr>
            <w:tcW w:w="15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B545372"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-0.685</w:t>
            </w:r>
          </w:p>
        </w:tc>
        <w:tc>
          <w:tcPr>
            <w:tcW w:w="15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D12088B"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0.156</w:t>
            </w:r>
          </w:p>
        </w:tc>
        <w:tc>
          <w:tcPr>
            <w:tcW w:w="25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7DE84F4" w14:textId="77777777" w:rsidR="00E54257" w:rsidRPr="00E54257" w:rsidRDefault="00E54257" w:rsidP="00E54257">
            <w:pPr>
              <w:spacing w:after="0" w:line="240" w:lineRule="auto"/>
              <w:rPr>
                <w:rFonts w:ascii="Arial" w:eastAsia="Arial" w:hAnsi="Arial" w:cs="Arial"/>
                <w:kern w:val="0"/>
                <w:sz w:val="20"/>
                <w:szCs w:val="20"/>
                <w14:ligatures w14:val="none"/>
              </w:rPr>
            </w:pPr>
            <w:r w:rsidRPr="00E54257">
              <w:rPr>
                <w:rFonts w:ascii="Arial" w:eastAsia="Arial" w:hAnsi="Arial" w:cs="Arial"/>
                <w:kern w:val="0"/>
                <w:sz w:val="18"/>
                <w:szCs w:val="18"/>
                <w14:ligatures w14:val="none"/>
              </w:rPr>
              <w:t>1.000</w:t>
            </w:r>
          </w:p>
        </w:tc>
      </w:tr>
    </w:tbl>
    <w:p w14:paraId="0E1E5463" w14:textId="77777777" w:rsidR="00C77CF8" w:rsidRDefault="00C77CF8" w:rsidP="00C77CF8">
      <w:pPr>
        <w:rPr>
          <w:rFonts w:ascii="Verdana" w:hAnsi="Verdana"/>
          <w:sz w:val="22"/>
          <w:szCs w:val="22"/>
        </w:rPr>
      </w:pPr>
    </w:p>
    <w:p w14:paraId="4037E4F8" w14:textId="0E4CD953" w:rsidR="00861960" w:rsidRDefault="00861960" w:rsidP="002644C3">
      <w:pPr>
        <w:spacing w:after="0"/>
        <w:rPr>
          <w:rFonts w:ascii="Verdana" w:hAnsi="Verdana"/>
          <w:sz w:val="22"/>
          <w:szCs w:val="22"/>
          <w:u w:val="single"/>
        </w:rPr>
      </w:pPr>
      <w:r>
        <w:rPr>
          <w:rFonts w:ascii="Verdana" w:hAnsi="Verdana"/>
          <w:sz w:val="22"/>
          <w:szCs w:val="22"/>
          <w:u w:val="single"/>
        </w:rPr>
        <w:t>Aim 1 Power Analysis</w:t>
      </w:r>
    </w:p>
    <w:p w14:paraId="0461643F" w14:textId="77777777" w:rsidR="002644C3" w:rsidRPr="002644C3" w:rsidRDefault="002644C3" w:rsidP="002644C3">
      <w:pPr>
        <w:rPr>
          <w:rFonts w:ascii="Verdana" w:hAnsi="Verdana"/>
          <w:sz w:val="22"/>
          <w:szCs w:val="22"/>
        </w:rPr>
      </w:pPr>
      <w:r w:rsidRPr="002644C3">
        <w:rPr>
          <w:rFonts w:ascii="Verdana" w:hAnsi="Verdana"/>
          <w:sz w:val="22"/>
          <w:szCs w:val="22"/>
        </w:rPr>
        <w:t xml:space="preserve">We estimated power for Aim 1 using the </w:t>
      </w:r>
      <w:proofErr w:type="spellStart"/>
      <w:r w:rsidRPr="002644C3">
        <w:rPr>
          <w:rFonts w:ascii="Verdana" w:hAnsi="Verdana"/>
          <w:sz w:val="22"/>
          <w:szCs w:val="22"/>
        </w:rPr>
        <w:t>mlrF.partial</w:t>
      </w:r>
      <w:proofErr w:type="spellEnd"/>
      <w:r w:rsidRPr="002644C3">
        <w:rPr>
          <w:rFonts w:ascii="Verdana" w:hAnsi="Verdana"/>
          <w:sz w:val="22"/>
          <w:szCs w:val="22"/>
        </w:rPr>
        <w:t xml:space="preserve"> function from the </w:t>
      </w:r>
      <w:proofErr w:type="spellStart"/>
      <w:r w:rsidRPr="002644C3">
        <w:rPr>
          <w:rFonts w:ascii="Verdana" w:hAnsi="Verdana"/>
          <w:sz w:val="22"/>
          <w:szCs w:val="22"/>
        </w:rPr>
        <w:t>powertools</w:t>
      </w:r>
      <w:proofErr w:type="spellEnd"/>
      <w:r w:rsidRPr="002644C3">
        <w:rPr>
          <w:rFonts w:ascii="Verdana" w:hAnsi="Verdana"/>
          <w:sz w:val="22"/>
          <w:szCs w:val="22"/>
        </w:rPr>
        <w:t xml:space="preserve"> package (version 1.0.0; Crespi, 2025) in R, which computes power for a partial F </w:t>
      </w:r>
      <w:r w:rsidRPr="002644C3">
        <w:rPr>
          <w:rFonts w:ascii="Verdana" w:hAnsi="Verdana"/>
          <w:sz w:val="22"/>
          <w:szCs w:val="22"/>
        </w:rPr>
        <w:lastRenderedPageBreak/>
        <w:t>test in multiple linear regression — specifically, the incremental contribution of each cytokine/chemokine predictor over and above a set of covariates. The projected analytic sample of N = 175 (125 aMCI + 50 HC after approximately 10% attrition from 192 enrolled) was used. The number of control predictors was set to p = 10, reflecting the planned covariates (age, sex, APOE-ε4 status, years of education, BMI, history of hypercholesterolemia, NSAID use, immune-related health conditions, group membership, and baseline outcome score). Each cytokine was tested individually (q = 1). Partial correlations were approximated from the preliminary data correlations described above, treating these observed bivariate correlations as estimates of the partial predictor-outcome associations. Alpha was set to 0.05, consistent with the planned FDR correction applied at the analysis stage. Results are presented in Table 2.</w:t>
      </w:r>
    </w:p>
    <w:p w14:paraId="580E3E0E" w14:textId="77777777" w:rsidR="0071312C" w:rsidRPr="0071312C" w:rsidRDefault="0071312C" w:rsidP="0071312C">
      <w:pPr>
        <w:spacing w:after="120" w:line="240" w:lineRule="auto"/>
        <w:rPr>
          <w:rFonts w:ascii="Verdana" w:eastAsia="Arial" w:hAnsi="Verdana" w:cs="Arial"/>
          <w:kern w:val="0"/>
          <w:sz w:val="22"/>
          <w:szCs w:val="22"/>
          <w14:ligatures w14:val="none"/>
        </w:rPr>
      </w:pPr>
      <w:r w:rsidRPr="0071312C">
        <w:rPr>
          <w:rFonts w:ascii="Verdana" w:eastAsia="Arial" w:hAnsi="Verdana" w:cs="Arial"/>
          <w:b/>
          <w:bCs/>
          <w:kern w:val="0"/>
          <w:sz w:val="22"/>
          <w:szCs w:val="22"/>
          <w14:ligatures w14:val="none"/>
        </w:rPr>
        <w:t>Table 2. Aim 1 estimated power by predictor-outcome combination (N = 175, p = 10, q = 1, α = 0.05).</w:t>
      </w:r>
    </w:p>
    <w:p w14:paraId="356F7302" w14:textId="77777777" w:rsidR="0071312C" w:rsidRPr="0071312C" w:rsidRDefault="0071312C" w:rsidP="0071312C">
      <w:pPr>
        <w:spacing w:after="80" w:line="240" w:lineRule="auto"/>
        <w:rPr>
          <w:rFonts w:ascii="Arial" w:eastAsia="Arial" w:hAnsi="Arial" w:cs="Arial"/>
          <w:kern w:val="0"/>
          <w:sz w:val="20"/>
          <w:szCs w:val="20"/>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480"/>
        <w:gridCol w:w="2280"/>
      </w:tblGrid>
      <w:tr w:rsidR="0071312C" w:rsidRPr="0071312C" w14:paraId="38E44ECF" w14:textId="77777777" w:rsidTr="0071312C">
        <w:tc>
          <w:tcPr>
            <w:tcW w:w="1800" w:type="dxa"/>
            <w:tcBorders>
              <w:top w:val="single" w:sz="2" w:space="0" w:color="AAAAAA"/>
              <w:left w:val="single" w:sz="2" w:space="0" w:color="AAAAAA"/>
              <w:bottom w:val="single" w:sz="2" w:space="0" w:color="AAAAAA"/>
              <w:right w:val="single" w:sz="2" w:space="0" w:color="AAAAAA"/>
            </w:tcBorders>
            <w:shd w:val="clear" w:color="auto" w:fill="DAE9F7" w:themeFill="text2" w:themeFillTint="1A"/>
            <w:tcMar>
              <w:top w:w="80" w:type="dxa"/>
              <w:left w:w="120" w:type="dxa"/>
              <w:bottom w:w="80" w:type="dxa"/>
              <w:right w:w="120" w:type="dxa"/>
            </w:tcMar>
            <w:hideMark/>
          </w:tcPr>
          <w:p w14:paraId="0F9BD7FD"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b/>
                <w:bCs/>
                <w:kern w:val="0"/>
                <w:sz w:val="18"/>
                <w:szCs w:val="18"/>
                <w14:ligatures w14:val="none"/>
              </w:rPr>
              <w:t>Predictor</w:t>
            </w:r>
          </w:p>
        </w:tc>
        <w:tc>
          <w:tcPr>
            <w:tcW w:w="2800" w:type="dxa"/>
            <w:tcBorders>
              <w:top w:val="single" w:sz="2" w:space="0" w:color="AAAAAA"/>
              <w:left w:val="single" w:sz="2" w:space="0" w:color="AAAAAA"/>
              <w:bottom w:val="single" w:sz="2" w:space="0" w:color="AAAAAA"/>
              <w:right w:val="single" w:sz="2" w:space="0" w:color="AAAAAA"/>
            </w:tcBorders>
            <w:shd w:val="clear" w:color="auto" w:fill="DAE9F7" w:themeFill="text2" w:themeFillTint="1A"/>
            <w:tcMar>
              <w:top w:w="80" w:type="dxa"/>
              <w:left w:w="120" w:type="dxa"/>
              <w:bottom w:w="80" w:type="dxa"/>
              <w:right w:w="120" w:type="dxa"/>
            </w:tcMar>
            <w:hideMark/>
          </w:tcPr>
          <w:p w14:paraId="68B9CA97"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b/>
                <w:bCs/>
                <w:kern w:val="0"/>
                <w:sz w:val="18"/>
                <w:szCs w:val="18"/>
                <w14:ligatures w14:val="none"/>
              </w:rPr>
              <w:t>Outcome</w:t>
            </w:r>
          </w:p>
        </w:tc>
        <w:tc>
          <w:tcPr>
            <w:tcW w:w="2480" w:type="dxa"/>
            <w:tcBorders>
              <w:top w:val="single" w:sz="2" w:space="0" w:color="AAAAAA"/>
              <w:left w:val="single" w:sz="2" w:space="0" w:color="AAAAAA"/>
              <w:bottom w:val="single" w:sz="2" w:space="0" w:color="AAAAAA"/>
              <w:right w:val="single" w:sz="2" w:space="0" w:color="AAAAAA"/>
            </w:tcBorders>
            <w:shd w:val="clear" w:color="auto" w:fill="DAE9F7" w:themeFill="text2" w:themeFillTint="1A"/>
            <w:tcMar>
              <w:top w:w="80" w:type="dxa"/>
              <w:left w:w="120" w:type="dxa"/>
              <w:bottom w:w="80" w:type="dxa"/>
              <w:right w:w="120" w:type="dxa"/>
            </w:tcMar>
            <w:hideMark/>
          </w:tcPr>
          <w:p w14:paraId="3A9E0036"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b/>
                <w:bCs/>
                <w:kern w:val="0"/>
                <w:sz w:val="18"/>
                <w:szCs w:val="18"/>
                <w14:ligatures w14:val="none"/>
              </w:rPr>
              <w:t>Partial Correlation (pc)</w:t>
            </w:r>
          </w:p>
        </w:tc>
        <w:tc>
          <w:tcPr>
            <w:tcW w:w="2280" w:type="dxa"/>
            <w:tcBorders>
              <w:top w:val="single" w:sz="2" w:space="0" w:color="AAAAAA"/>
              <w:left w:val="single" w:sz="2" w:space="0" w:color="AAAAAA"/>
              <w:bottom w:val="single" w:sz="2" w:space="0" w:color="AAAAAA"/>
              <w:right w:val="single" w:sz="2" w:space="0" w:color="AAAAAA"/>
            </w:tcBorders>
            <w:shd w:val="clear" w:color="auto" w:fill="DAE9F7" w:themeFill="text2" w:themeFillTint="1A"/>
            <w:tcMar>
              <w:top w:w="80" w:type="dxa"/>
              <w:left w:w="120" w:type="dxa"/>
              <w:bottom w:w="80" w:type="dxa"/>
              <w:right w:w="120" w:type="dxa"/>
            </w:tcMar>
            <w:hideMark/>
          </w:tcPr>
          <w:p w14:paraId="5A7AED09"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b/>
                <w:bCs/>
                <w:kern w:val="0"/>
                <w:sz w:val="18"/>
                <w:szCs w:val="18"/>
                <w14:ligatures w14:val="none"/>
              </w:rPr>
              <w:t>Estimated Power</w:t>
            </w:r>
          </w:p>
        </w:tc>
      </w:tr>
      <w:tr w:rsidR="0071312C" w:rsidRPr="0071312C" w14:paraId="3604638F"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9B01B31"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kern w:val="0"/>
                <w:sz w:val="18"/>
                <w:szCs w:val="18"/>
                <w14:ligatures w14:val="none"/>
              </w:rPr>
              <w:t>IL-6</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40FDEEC"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kern w:val="0"/>
                <w:sz w:val="18"/>
                <w:szCs w:val="18"/>
                <w14:ligatures w14:val="none"/>
              </w:rPr>
              <w:t>CVLT change</w:t>
            </w:r>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FE7DF72"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kern w:val="0"/>
                <w:sz w:val="18"/>
                <w:szCs w:val="18"/>
                <w14:ligatures w14:val="none"/>
              </w:rPr>
              <w:t>0.259</w:t>
            </w:r>
          </w:p>
        </w:tc>
        <w:tc>
          <w:tcPr>
            <w:tcW w:w="22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D73FED8"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kern w:val="0"/>
                <w:sz w:val="18"/>
                <w:szCs w:val="18"/>
                <w14:ligatures w14:val="none"/>
              </w:rPr>
              <w:t>0.941</w:t>
            </w:r>
          </w:p>
        </w:tc>
      </w:tr>
      <w:tr w:rsidR="0071312C" w:rsidRPr="0071312C" w14:paraId="1E5D9A8B"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16C3C8A"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kern w:val="0"/>
                <w:sz w:val="18"/>
                <w:szCs w:val="18"/>
                <w14:ligatures w14:val="none"/>
              </w:rPr>
              <w:t>IL-6</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05B60F0"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kern w:val="0"/>
                <w:sz w:val="18"/>
                <w:szCs w:val="18"/>
                <w14:ligatures w14:val="none"/>
              </w:rPr>
              <w:t>Cortical thickness change</w:t>
            </w:r>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CA292C2"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kern w:val="0"/>
                <w:sz w:val="18"/>
                <w:szCs w:val="18"/>
                <w14:ligatures w14:val="none"/>
              </w:rPr>
              <w:t>0.599</w:t>
            </w:r>
          </w:p>
        </w:tc>
        <w:tc>
          <w:tcPr>
            <w:tcW w:w="22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3E4DF77"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kern w:val="0"/>
                <w:sz w:val="18"/>
                <w:szCs w:val="18"/>
                <w14:ligatures w14:val="none"/>
              </w:rPr>
              <w:t>&gt;0.999</w:t>
            </w:r>
          </w:p>
        </w:tc>
      </w:tr>
      <w:tr w:rsidR="0071312C" w:rsidRPr="0071312C" w14:paraId="15ACF70D"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7FE96D3"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kern w:val="0"/>
                <w:sz w:val="18"/>
                <w:szCs w:val="18"/>
                <w14:ligatures w14:val="none"/>
              </w:rPr>
              <w:t>MCP-1</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CECC557"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kern w:val="0"/>
                <w:sz w:val="18"/>
                <w:szCs w:val="18"/>
                <w14:ligatures w14:val="none"/>
              </w:rPr>
              <w:t>CVLT change</w:t>
            </w:r>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25B6649"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kern w:val="0"/>
                <w:sz w:val="18"/>
                <w:szCs w:val="18"/>
                <w14:ligatures w14:val="none"/>
              </w:rPr>
              <w:t>0.318</w:t>
            </w:r>
          </w:p>
        </w:tc>
        <w:tc>
          <w:tcPr>
            <w:tcW w:w="22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76FC387"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kern w:val="0"/>
                <w:sz w:val="18"/>
                <w:szCs w:val="18"/>
                <w14:ligatures w14:val="none"/>
              </w:rPr>
              <w:t>0.993</w:t>
            </w:r>
          </w:p>
        </w:tc>
      </w:tr>
      <w:tr w:rsidR="0071312C" w:rsidRPr="0071312C" w14:paraId="44CD3E4A"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78E5B81"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kern w:val="0"/>
                <w:sz w:val="18"/>
                <w:szCs w:val="18"/>
                <w14:ligatures w14:val="none"/>
              </w:rPr>
              <w:t>MCP-1</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B593D08"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kern w:val="0"/>
                <w:sz w:val="18"/>
                <w:szCs w:val="18"/>
                <w14:ligatures w14:val="none"/>
              </w:rPr>
              <w:t>Cortical thickness change</w:t>
            </w:r>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87153A"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kern w:val="0"/>
                <w:sz w:val="18"/>
                <w:szCs w:val="18"/>
                <w14:ligatures w14:val="none"/>
              </w:rPr>
              <w:t>0.685</w:t>
            </w:r>
          </w:p>
        </w:tc>
        <w:tc>
          <w:tcPr>
            <w:tcW w:w="22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E462A2F" w14:textId="77777777" w:rsidR="0071312C" w:rsidRPr="0071312C" w:rsidRDefault="0071312C" w:rsidP="0071312C">
            <w:pPr>
              <w:spacing w:after="0" w:line="240" w:lineRule="auto"/>
              <w:rPr>
                <w:rFonts w:ascii="Arial" w:eastAsia="Arial" w:hAnsi="Arial" w:cs="Arial"/>
                <w:kern w:val="0"/>
                <w:sz w:val="20"/>
                <w:szCs w:val="20"/>
                <w14:ligatures w14:val="none"/>
              </w:rPr>
            </w:pPr>
            <w:r w:rsidRPr="0071312C">
              <w:rPr>
                <w:rFonts w:ascii="Arial" w:eastAsia="Arial" w:hAnsi="Arial" w:cs="Arial"/>
                <w:kern w:val="0"/>
                <w:sz w:val="18"/>
                <w:szCs w:val="18"/>
                <w14:ligatures w14:val="none"/>
              </w:rPr>
              <w:t>&gt;0.999</w:t>
            </w:r>
          </w:p>
        </w:tc>
      </w:tr>
    </w:tbl>
    <w:p w14:paraId="36634E49" w14:textId="77777777" w:rsidR="006D70C6" w:rsidRDefault="006D70C6" w:rsidP="00C77CF8">
      <w:pPr>
        <w:rPr>
          <w:rFonts w:ascii="Verdana" w:hAnsi="Verdana"/>
          <w:sz w:val="22"/>
          <w:szCs w:val="22"/>
        </w:rPr>
      </w:pPr>
    </w:p>
    <w:p w14:paraId="0EC44A7B" w14:textId="2E596423" w:rsidR="00861960" w:rsidRDefault="00EC41D3" w:rsidP="00C77CF8">
      <w:pPr>
        <w:rPr>
          <w:rFonts w:ascii="Verdana" w:hAnsi="Verdana"/>
          <w:sz w:val="22"/>
          <w:szCs w:val="22"/>
        </w:rPr>
      </w:pPr>
      <w:r w:rsidRPr="00EC41D3">
        <w:rPr>
          <w:rFonts w:ascii="Verdana" w:hAnsi="Verdana"/>
          <w:sz w:val="22"/>
          <w:szCs w:val="22"/>
        </w:rPr>
        <w:t>All predictor-outcome combinations yielded estimated power of 0.94 or greater at N = 175, suggesting the proposed sample is well-powered to detect the hypothesized main effects of inflammation on cognitive and structural decline under these effect size assumptions. Power for the cortical thickness outcome was effectively 1.0 for both markers, reflecting the stronger preliminary correlations observed for that outcome.</w:t>
      </w:r>
    </w:p>
    <w:p w14:paraId="14C5E784" w14:textId="577DF506" w:rsidR="00EC41D3" w:rsidRDefault="00EC41D3" w:rsidP="00C00292">
      <w:pPr>
        <w:spacing w:after="0"/>
        <w:rPr>
          <w:rFonts w:ascii="Verdana" w:hAnsi="Verdana"/>
          <w:sz w:val="22"/>
          <w:szCs w:val="22"/>
          <w:u w:val="single"/>
        </w:rPr>
      </w:pPr>
      <w:r>
        <w:rPr>
          <w:rFonts w:ascii="Verdana" w:hAnsi="Verdana"/>
          <w:sz w:val="22"/>
          <w:szCs w:val="22"/>
          <w:u w:val="single"/>
        </w:rPr>
        <w:t>Aim 2 Power Analysis</w:t>
      </w:r>
    </w:p>
    <w:p w14:paraId="74D128CC" w14:textId="336D3517" w:rsidR="00EC41D3" w:rsidRPr="00C00292" w:rsidRDefault="00C00292" w:rsidP="00C77CF8">
      <w:pPr>
        <w:rPr>
          <w:rFonts w:ascii="Verdana" w:hAnsi="Verdana"/>
          <w:sz w:val="22"/>
          <w:szCs w:val="22"/>
        </w:rPr>
      </w:pPr>
      <w:r w:rsidRPr="00C00292">
        <w:rPr>
          <w:rFonts w:ascii="Verdana" w:hAnsi="Verdana"/>
          <w:sz w:val="22"/>
          <w:szCs w:val="22"/>
        </w:rPr>
        <w:t xml:space="preserve">We estimated the minimum detectable interaction effect for Aim 2 using the same </w:t>
      </w:r>
      <w:proofErr w:type="spellStart"/>
      <w:r w:rsidRPr="00C00292">
        <w:rPr>
          <w:rFonts w:ascii="Verdana" w:hAnsi="Verdana"/>
          <w:sz w:val="22"/>
          <w:szCs w:val="22"/>
        </w:rPr>
        <w:t>mlrF.partial</w:t>
      </w:r>
      <w:proofErr w:type="spellEnd"/>
      <w:r w:rsidRPr="00C00292">
        <w:rPr>
          <w:rFonts w:ascii="Verdana" w:hAnsi="Verdana"/>
          <w:sz w:val="22"/>
          <w:szCs w:val="22"/>
        </w:rPr>
        <w:t xml:space="preserve"> function, treating the cytokine × amyloid SUVR interaction term as the test predictor (q = 1) added over and above all main effects and covariates. The number of control predictors was set to p = 12, reflecting the 10 covariates from Aim 1 plus the two main effects (cytokine and amyloid SUVR) that must be retained in the model alongside the interaction term. No preliminary data </w:t>
      </w:r>
      <w:proofErr w:type="gramStart"/>
      <w:r w:rsidRPr="00C00292">
        <w:rPr>
          <w:rFonts w:ascii="Verdana" w:hAnsi="Verdana"/>
          <w:sz w:val="22"/>
          <w:szCs w:val="22"/>
        </w:rPr>
        <w:t>were</w:t>
      </w:r>
      <w:proofErr w:type="gramEnd"/>
      <w:r w:rsidRPr="00C00292">
        <w:rPr>
          <w:rFonts w:ascii="Verdana" w:hAnsi="Verdana"/>
          <w:sz w:val="22"/>
          <w:szCs w:val="22"/>
        </w:rPr>
        <w:t xml:space="preserve"> available to estimate the interaction effect size directly, as amyloid SUVR was not measured in the preliminary sample. We therefore solved for the minimum detectable partial correlation at 80% power given N = 175, p = 12, q = 1, and α = 0.05. The minimum detectable partial correlation was pc = 0.21, indicating that the proposed sample of 175 participants is adequately powered to detect small-to-moderate </w:t>
      </w:r>
      <w:r w:rsidRPr="00C00292">
        <w:rPr>
          <w:rFonts w:ascii="Verdana" w:hAnsi="Verdana"/>
          <w:sz w:val="22"/>
          <w:szCs w:val="22"/>
        </w:rPr>
        <w:lastRenderedPageBreak/>
        <w:t>interaction effects between inflammatory markers and amyloid deposition. Whether the true interaction effect meets this threshold cannot be determined from available pilot data; this represents a reasonable target given the hypothesis that the combination of elevated inflammation and high amyloid burden produces an exaggerated decline beyond either factor alone.</w:t>
      </w:r>
    </w:p>
    <w:sectPr w:rsidR="00EC41D3" w:rsidRPr="00C00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748C"/>
    <w:multiLevelType w:val="hybridMultilevel"/>
    <w:tmpl w:val="F17EF374"/>
    <w:lvl w:ilvl="0" w:tplc="EFFAD250">
      <w:start w:val="1"/>
      <w:numFmt w:val="bullet"/>
      <w:lvlText w:val="-"/>
      <w:lvlJc w:val="left"/>
      <w:pPr>
        <w:ind w:left="720" w:hanging="360"/>
      </w:pPr>
      <w:rPr>
        <w:rFonts w:ascii="Aptos" w:eastAsiaTheme="minorHAnsi" w:hAnsi="Aptos" w:cstheme="minorBidi" w:hint="default"/>
        <w:color w:val="273540"/>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573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1FC"/>
    <w:rsid w:val="000341A6"/>
    <w:rsid w:val="001134EF"/>
    <w:rsid w:val="00156122"/>
    <w:rsid w:val="001D36B8"/>
    <w:rsid w:val="002644C3"/>
    <w:rsid w:val="00283BBD"/>
    <w:rsid w:val="002B73C6"/>
    <w:rsid w:val="003739DF"/>
    <w:rsid w:val="00562B59"/>
    <w:rsid w:val="00595507"/>
    <w:rsid w:val="005F5D08"/>
    <w:rsid w:val="00654322"/>
    <w:rsid w:val="006726BD"/>
    <w:rsid w:val="006D70C6"/>
    <w:rsid w:val="0071312C"/>
    <w:rsid w:val="00755715"/>
    <w:rsid w:val="0084168F"/>
    <w:rsid w:val="00861960"/>
    <w:rsid w:val="0089632E"/>
    <w:rsid w:val="008E0FEB"/>
    <w:rsid w:val="008F3670"/>
    <w:rsid w:val="00954B8F"/>
    <w:rsid w:val="00A00BF7"/>
    <w:rsid w:val="00A03A1E"/>
    <w:rsid w:val="00A466F9"/>
    <w:rsid w:val="00AF5C29"/>
    <w:rsid w:val="00B53CC5"/>
    <w:rsid w:val="00B67867"/>
    <w:rsid w:val="00B83EB8"/>
    <w:rsid w:val="00B921FC"/>
    <w:rsid w:val="00B95D19"/>
    <w:rsid w:val="00BF753A"/>
    <w:rsid w:val="00C00292"/>
    <w:rsid w:val="00C76CA4"/>
    <w:rsid w:val="00C77CF8"/>
    <w:rsid w:val="00CB1A99"/>
    <w:rsid w:val="00D0339B"/>
    <w:rsid w:val="00D72977"/>
    <w:rsid w:val="00DB414F"/>
    <w:rsid w:val="00DD107A"/>
    <w:rsid w:val="00E54257"/>
    <w:rsid w:val="00E5501F"/>
    <w:rsid w:val="00EC41D3"/>
    <w:rsid w:val="00EF6C92"/>
    <w:rsid w:val="00FE7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1ED44"/>
  <w15:chartTrackingRefBased/>
  <w15:docId w15:val="{EB435BE8-3243-4F11-9B11-BA5B7C3CB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1FC"/>
    <w:rPr>
      <w:rFonts w:eastAsiaTheme="majorEastAsia" w:cstheme="majorBidi"/>
      <w:color w:val="272727" w:themeColor="text1" w:themeTint="D8"/>
    </w:rPr>
  </w:style>
  <w:style w:type="paragraph" w:styleId="Title">
    <w:name w:val="Title"/>
    <w:basedOn w:val="Normal"/>
    <w:next w:val="Normal"/>
    <w:link w:val="TitleChar"/>
    <w:uiPriority w:val="10"/>
    <w:qFormat/>
    <w:rsid w:val="00B92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1FC"/>
    <w:pPr>
      <w:spacing w:before="160"/>
      <w:jc w:val="center"/>
    </w:pPr>
    <w:rPr>
      <w:i/>
      <w:iCs/>
      <w:color w:val="404040" w:themeColor="text1" w:themeTint="BF"/>
    </w:rPr>
  </w:style>
  <w:style w:type="character" w:customStyle="1" w:styleId="QuoteChar">
    <w:name w:val="Quote Char"/>
    <w:basedOn w:val="DefaultParagraphFont"/>
    <w:link w:val="Quote"/>
    <w:uiPriority w:val="29"/>
    <w:rsid w:val="00B921FC"/>
    <w:rPr>
      <w:i/>
      <w:iCs/>
      <w:color w:val="404040" w:themeColor="text1" w:themeTint="BF"/>
    </w:rPr>
  </w:style>
  <w:style w:type="paragraph" w:styleId="ListParagraph">
    <w:name w:val="List Paragraph"/>
    <w:basedOn w:val="Normal"/>
    <w:uiPriority w:val="34"/>
    <w:qFormat/>
    <w:rsid w:val="00B921FC"/>
    <w:pPr>
      <w:ind w:left="720"/>
      <w:contextualSpacing/>
    </w:pPr>
  </w:style>
  <w:style w:type="character" w:styleId="IntenseEmphasis">
    <w:name w:val="Intense Emphasis"/>
    <w:basedOn w:val="DefaultParagraphFont"/>
    <w:uiPriority w:val="21"/>
    <w:qFormat/>
    <w:rsid w:val="00B921FC"/>
    <w:rPr>
      <w:i/>
      <w:iCs/>
      <w:color w:val="0F4761" w:themeColor="accent1" w:themeShade="BF"/>
    </w:rPr>
  </w:style>
  <w:style w:type="paragraph" w:styleId="IntenseQuote">
    <w:name w:val="Intense Quote"/>
    <w:basedOn w:val="Normal"/>
    <w:next w:val="Normal"/>
    <w:link w:val="IntenseQuoteChar"/>
    <w:uiPriority w:val="30"/>
    <w:qFormat/>
    <w:rsid w:val="00B92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1FC"/>
    <w:rPr>
      <w:i/>
      <w:iCs/>
      <w:color w:val="0F4761" w:themeColor="accent1" w:themeShade="BF"/>
    </w:rPr>
  </w:style>
  <w:style w:type="character" w:styleId="IntenseReference">
    <w:name w:val="Intense Reference"/>
    <w:basedOn w:val="DefaultParagraphFont"/>
    <w:uiPriority w:val="32"/>
    <w:qFormat/>
    <w:rsid w:val="00B921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1539</Words>
  <Characters>8777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Aimee Steinwand</dc:creator>
  <cp:keywords/>
  <dc:description/>
  <cp:lastModifiedBy>Aimee Steinwand</cp:lastModifiedBy>
  <cp:revision>40</cp:revision>
  <dcterms:created xsi:type="dcterms:W3CDTF">2026-03-30T01:42:00Z</dcterms:created>
  <dcterms:modified xsi:type="dcterms:W3CDTF">2026-03-30T02:44:00Z</dcterms:modified>
</cp:coreProperties>
</file>