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line="320" w:lineRule="atLeast"/>
        <w:jc w:val="center"/>
      </w:pPr>
      <w:r>
        <w:rPr>
          <w:rFonts w:ascii="Times New Roman" w:eastAsia="SimSun"/>
          <w:b/>
          <w:bCs/>
          <w:color w:val="000000"/>
          <w:sz w:val="26"/>
          <w:szCs w:val="26"/>
        </w:rPr>
        <w:t xml:space="preserve">MATCHWISE PLATFORM</w:t>
      </w:r>
    </w:p>
    <w:p>
      <w:pPr>
        <w:spacing w:after="160" w:before="120" w:line="506" w:lineRule="atLeast"/>
        <w:jc w:val="center"/>
      </w:pPr>
      <w:r>
        <w:rPr>
          <w:rFonts w:ascii="Times New Roman" w:eastAsia="SimSun"/>
          <w:b/>
          <w:bCs/>
          <w:color w:val="000000"/>
          <w:sz w:val="44"/>
          <w:szCs w:val="44"/>
        </w:rPr>
        <w:t xml:space="preserve">PRIVACY POLICY</w:t>
      </w:r>
    </w:p>
    <w:p>
      <w:pPr>
        <w:spacing w:after="120" w:line="320"/>
        <w:jc w:val="center"/>
      </w:pPr>
      <w:r>
        <w:rPr>
          <w:rFonts w:ascii="Times New Roman" w:eastAsia="SimSun"/>
          <w:color w:val="000000"/>
          <w:sz w:val="24"/>
          <w:szCs w:val="24"/>
        </w:rPr>
        <w:t xml:space="preserve">FIL International Recruitment Agency (FIRA) - Data Privacy Notice</w:t>
      </w:r>
    </w:p>
    <w:p>
      <w:pPr>
        <w:spacing w:after="40" w:line="300"/>
        <w:jc w:val="center"/>
      </w:pPr>
      <w:r>
        <w:rPr>
          <w:rFonts w:ascii="Times New Roman" w:eastAsia="SimSun"/>
          <w:color w:val="000000"/>
          <w:sz w:val="21"/>
          <w:szCs w:val="21"/>
        </w:rPr>
        <w:t xml:space="preserve">Prepared in accordance with Republic Act No. 10173 (Data Privacy Act of 2012) and Morocco Law No. 09-08</w:t>
      </w:r>
    </w:p>
    <w:p>
      <w:pPr>
        <w:spacing w:after="40" w:line="300"/>
        <w:jc w:val="center"/>
      </w:pPr>
      <w:r>
        <w:rPr>
          <w:rFonts w:ascii="Times New Roman" w:eastAsia="SimSun"/>
          <w:color w:val="000000"/>
          <w:sz w:val="21"/>
          <w:szCs w:val="21"/>
        </w:rPr>
        <w:t xml:space="preserve">Version 1.0 - Effective on 【Effective Date】</w:t>
      </w:r>
    </w:p>
    <w:p>
      <w:pPr>
        <w:pBdr>
          <w:bottom w:val="single" w:color="000000" w:sz="6" w:space="4"/>
        </w:pBdr>
        <w:spacing w:after="240" w:before="160"/>
      </w:pPr>
      <w:r>
        <w:rPr>
          <w:sz w:val="2"/>
          <w:szCs w:val="2"/>
        </w:rPr>
        <w:t xml:space="preserve"/>
      </w:r>
    </w:p>
    <w:p>
      <w:pPr>
        <w:spacing w:after="120" w:line="360"/>
        <w:ind w:firstLine="480"/>
        <w:jc w:val="both"/>
      </w:pPr>
      <w:r>
        <w:rPr>
          <w:rFonts w:ascii="Times New Roman" w:eastAsia="SimSun"/>
          <w:color w:val="000000"/>
          <w:sz w:val="24"/>
          <w:szCs w:val="24"/>
        </w:rPr>
        <w:t xml:space="preserve">This Privacy Policy describes how FIL International Recruitment Agency (“FIRA”, “we”, “us”), with registered office at 59 Boulevard Zerktouni, Residence Les Fleurs, 6th Floor, Apartment 19, 20360 Casablanca, Morocco, acting as operator of the MatchWise platform (“the Platform”), collects, uses, discloses, and protects personal data. It is issued in accordance with Republic Act No. 10173 (the “Data Privacy Act”) of the Philippines and Law No. 09-08 of Morocco, and applies to Applicants, Agencies, Employers, and visitors of the Platform.</w:t>
      </w:r>
    </w:p>
    <w:p>
      <w:pPr>
        <w:pStyle w:val="Heading1"/>
        <w:keepNext/>
        <w:spacing w:after="160" w:before="360" w:line="360"/>
      </w:pPr>
      <w:r>
        <w:rPr>
          <w:rFonts w:ascii="Times New Roman" w:eastAsia="SimSun"/>
          <w:b/>
          <w:bCs/>
          <w:color w:val="000000"/>
          <w:sz w:val="26"/>
          <w:szCs w:val="26"/>
        </w:rPr>
        <w:t xml:space="preserve">1. Personal Information Controller and Contact</w:t>
      </w:r>
    </w:p>
    <w:p>
      <w:pPr>
        <w:spacing w:after="120" w:line="360"/>
        <w:ind w:left="720" w:hanging="720"/>
        <w:jc w:val="left"/>
      </w:pPr>
      <w:r>
        <w:rPr>
          <w:rFonts w:ascii="Times New Roman" w:eastAsia="SimSun"/>
          <w:b/>
          <w:bCs/>
          <w:color w:val="000000"/>
          <w:sz w:val="24"/>
          <w:szCs w:val="24"/>
        </w:rPr>
        <w:t xml:space="preserve">1.1	</w:t>
      </w:r>
      <w:r>
        <w:rPr>
          <w:rFonts w:ascii="Times New Roman" w:eastAsia="SimSun"/>
          <w:color w:val="000000"/>
          <w:sz w:val="24"/>
          <w:szCs w:val="24"/>
        </w:rPr>
        <w:t xml:space="preserve">FIRA acts as the personal information controller for the Platform's account and matching data. Philippine-regulated recruitment and placement steps are performed by Partner Agencies duly licensed by the Department of Migrant Workers (DMW), which act as independent personal information controllers or processors for the activities they perform. Contact for privacy inquiries: 【Data Protection Officer name and email】, or by post to our registered office, or through client@filinternational.ma.</w:t>
      </w:r>
    </w:p>
    <w:p>
      <w:pPr>
        <w:pStyle w:val="Heading1"/>
        <w:keepNext/>
        <w:spacing w:after="160" w:before="360" w:line="360"/>
      </w:pPr>
      <w:r>
        <w:rPr>
          <w:rFonts w:ascii="Times New Roman" w:eastAsia="SimSun"/>
          <w:b/>
          <w:bCs/>
          <w:color w:val="000000"/>
          <w:sz w:val="26"/>
          <w:szCs w:val="26"/>
        </w:rPr>
        <w:t xml:space="preserve">2. Scope</w:t>
      </w:r>
    </w:p>
    <w:p>
      <w:pPr>
        <w:spacing w:after="120" w:line="360"/>
        <w:ind w:left="720" w:hanging="720"/>
        <w:jc w:val="left"/>
      </w:pPr>
      <w:r>
        <w:rPr>
          <w:rFonts w:ascii="Times New Roman" w:eastAsia="SimSun"/>
          <w:b/>
          <w:bCs/>
          <w:color w:val="000000"/>
          <w:sz w:val="24"/>
          <w:szCs w:val="24"/>
        </w:rPr>
        <w:t xml:space="preserve">2.1	</w:t>
      </w:r>
      <w:r>
        <w:rPr>
          <w:rFonts w:ascii="Times New Roman" w:eastAsia="SimSun"/>
          <w:color w:val="000000"/>
          <w:sz w:val="24"/>
          <w:szCs w:val="24"/>
        </w:rPr>
        <w:t xml:space="preserve">This Policy covers personal data processed through the Platform's website, web application, databases, and communications. It does not cover third-party websites or services linked from the Platform, which are governed by their own privacy notices. For Employer-side personal data contained in Job Orders and company profiles, the Employer is the personal information controller of its own representatives' data.</w:t>
      </w:r>
    </w:p>
    <w:p>
      <w:pPr>
        <w:pStyle w:val="Heading1"/>
        <w:keepNext/>
        <w:spacing w:after="160" w:before="360" w:line="360"/>
      </w:pPr>
      <w:r>
        <w:rPr>
          <w:rFonts w:ascii="Times New Roman" w:eastAsia="SimSun"/>
          <w:b/>
          <w:bCs/>
          <w:color w:val="000000"/>
          <w:sz w:val="26"/>
          <w:szCs w:val="26"/>
        </w:rPr>
        <w:t xml:space="preserve">3. Information We Collect</w:t>
      </w:r>
    </w:p>
    <w:p>
      <w:pPr>
        <w:spacing w:after="120" w:line="360"/>
        <w:ind w:left="720" w:hanging="720"/>
        <w:jc w:val="left"/>
      </w:pPr>
      <w:r>
        <w:rPr>
          <w:rFonts w:ascii="Times New Roman" w:eastAsia="SimSun"/>
          <w:b/>
          <w:bCs/>
          <w:color w:val="000000"/>
          <w:sz w:val="24"/>
          <w:szCs w:val="24"/>
        </w:rPr>
        <w:t xml:space="preserve">3.1	</w:t>
      </w:r>
      <w:r>
        <w:rPr>
          <w:rFonts w:ascii="Times New Roman" w:eastAsia="SimSun"/>
          <w:color w:val="000000"/>
          <w:sz w:val="24"/>
          <w:szCs w:val="24"/>
        </w:rPr>
        <w:t xml:space="preserve">We collect the following categories of information, as applicable to your role:</w:t>
      </w:r>
    </w:p>
    <w:p>
      <w:pPr>
        <w:spacing w:after="100" w:line="360"/>
        <w:ind w:left="1440" w:hanging="720"/>
        <w:jc w:val="left"/>
      </w:pPr>
      <w:r>
        <w:rPr>
          <w:rFonts w:ascii="Times New Roman" w:eastAsia="SimSun"/>
          <w:color w:val="000000"/>
          <w:sz w:val="24"/>
          <w:szCs w:val="24"/>
        </w:rPr>
        <w:t xml:space="preserve">(a)	</w:t>
      </w:r>
      <w:r>
        <w:rPr>
          <w:rFonts w:ascii="Times New Roman" w:eastAsia="SimSun"/>
          <w:color w:val="000000"/>
          <w:sz w:val="24"/>
          <w:szCs w:val="24"/>
        </w:rPr>
        <w:t xml:space="preserve">Account data: name, email address, contact number, password in hashed form, role, and account activity.</w:t>
      </w:r>
    </w:p>
    <w:p>
      <w:pPr>
        <w:spacing w:after="100" w:line="360"/>
        <w:ind w:left="1440" w:hanging="720"/>
        <w:jc w:val="left"/>
      </w:pPr>
      <w:r>
        <w:rPr>
          <w:rFonts w:ascii="Times New Roman" w:eastAsia="SimSun"/>
          <w:color w:val="000000"/>
          <w:sz w:val="24"/>
          <w:szCs w:val="24"/>
        </w:rPr>
        <w:t xml:space="preserve">(b)	</w:t>
      </w:r>
      <w:r>
        <w:rPr>
          <w:rFonts w:ascii="Times New Roman" w:eastAsia="SimSun"/>
          <w:color w:val="000000"/>
          <w:sz w:val="24"/>
          <w:szCs w:val="24"/>
        </w:rPr>
        <w:t xml:space="preserve">Applicant profile data: address, date of birth, nationality, civil status, passport details, educational attainment, work experience, years of experience, declared skills, language proficiency, training and certifications, and your resume, whether uploaded as a document or entered as text.</w:t>
      </w:r>
    </w:p>
    <w:p>
      <w:pPr>
        <w:spacing w:after="100" w:line="360"/>
        <w:ind w:left="1440" w:hanging="720"/>
        <w:jc w:val="left"/>
      </w:pPr>
      <w:r>
        <w:rPr>
          <w:rFonts w:ascii="Times New Roman" w:eastAsia="SimSun"/>
          <w:color w:val="000000"/>
          <w:sz w:val="24"/>
          <w:szCs w:val="24"/>
        </w:rPr>
        <w:t xml:space="preserve">(c)	</w:t>
      </w:r>
      <w:r>
        <w:rPr>
          <w:rFonts w:ascii="Times New Roman" w:eastAsia="SimSun"/>
          <w:color w:val="000000"/>
          <w:sz w:val="24"/>
          <w:szCs w:val="24"/>
        </w:rPr>
        <w:t xml:space="preserve">Documents: identity, medical, training, and clearance documents that you upload, including their verification status.</w:t>
      </w:r>
    </w:p>
    <w:p>
      <w:pPr>
        <w:spacing w:after="100" w:line="360"/>
        <w:ind w:left="1440" w:hanging="720"/>
        <w:jc w:val="left"/>
      </w:pPr>
      <w:r>
        <w:rPr>
          <w:rFonts w:ascii="Times New Roman" w:eastAsia="SimSun"/>
          <w:color w:val="000000"/>
          <w:sz w:val="24"/>
          <w:szCs w:val="24"/>
        </w:rPr>
        <w:t xml:space="preserve">(d)	</w:t>
      </w:r>
      <w:r>
        <w:rPr>
          <w:rFonts w:ascii="Times New Roman" w:eastAsia="SimSun"/>
          <w:color w:val="000000"/>
          <w:sz w:val="24"/>
          <w:szCs w:val="24"/>
        </w:rPr>
        <w:t xml:space="preserve">Application and workflow data: Applications submitted, Application status history, Endorsement records, notes entered by authorized reviewers, and audit-trail entries.</w:t>
      </w:r>
    </w:p>
    <w:p>
      <w:pPr>
        <w:spacing w:after="100" w:line="360"/>
        <w:ind w:left="1440" w:hanging="720"/>
        <w:jc w:val="left"/>
      </w:pPr>
      <w:r>
        <w:rPr>
          <w:rFonts w:ascii="Times New Roman" w:eastAsia="SimSun"/>
          <w:color w:val="000000"/>
          <w:sz w:val="24"/>
          <w:szCs w:val="24"/>
        </w:rPr>
        <w:t xml:space="preserve">(e)	</w:t>
      </w:r>
      <w:r>
        <w:rPr>
          <w:rFonts w:ascii="Times New Roman" w:eastAsia="SimSun"/>
          <w:color w:val="000000"/>
          <w:sz w:val="24"/>
          <w:szCs w:val="24"/>
        </w:rPr>
        <w:t xml:space="preserve">Assessment data: the inputs and outputs of the automated matching described in Section 6, including Match Scores and their component measures.</w:t>
      </w:r>
    </w:p>
    <w:p>
      <w:pPr>
        <w:spacing w:after="100" w:line="360"/>
        <w:ind w:left="1440" w:hanging="720"/>
        <w:jc w:val="left"/>
      </w:pPr>
      <w:r>
        <w:rPr>
          <w:rFonts w:ascii="Times New Roman" w:eastAsia="SimSun"/>
          <w:color w:val="000000"/>
          <w:sz w:val="24"/>
          <w:szCs w:val="24"/>
        </w:rPr>
        <w:t xml:space="preserve">(f)	</w:t>
      </w:r>
      <w:r>
        <w:rPr>
          <w:rFonts w:ascii="Times New Roman" w:eastAsia="SimSun"/>
          <w:color w:val="000000"/>
          <w:sz w:val="24"/>
          <w:szCs w:val="24"/>
        </w:rPr>
        <w:t xml:space="preserve">Employer and Agency data: business registration and license information, accreditations, Job Orders, and contact persons.</w:t>
      </w:r>
    </w:p>
    <w:p>
      <w:pPr>
        <w:spacing w:after="100" w:line="360"/>
        <w:ind w:left="1440" w:hanging="720"/>
        <w:jc w:val="left"/>
      </w:pPr>
      <w:r>
        <w:rPr>
          <w:rFonts w:ascii="Times New Roman" w:eastAsia="SimSun"/>
          <w:color w:val="000000"/>
          <w:sz w:val="24"/>
          <w:szCs w:val="24"/>
        </w:rPr>
        <w:t xml:space="preserve">(g)	</w:t>
      </w:r>
      <w:r>
        <w:rPr>
          <w:rFonts w:ascii="Times New Roman" w:eastAsia="SimSun"/>
          <w:color w:val="000000"/>
          <w:sz w:val="24"/>
          <w:szCs w:val="24"/>
        </w:rPr>
        <w:t xml:space="preserve">Technical data: device and browser information, log files, and cookie identifiers, as described in the End-User License Agreement and Cookie Notice.</w:t>
      </w:r>
    </w:p>
    <w:p>
      <w:pPr>
        <w:pStyle w:val="Heading1"/>
        <w:keepNext/>
        <w:spacing w:after="160" w:before="360" w:line="360"/>
      </w:pPr>
      <w:r>
        <w:rPr>
          <w:rFonts w:ascii="Times New Roman" w:eastAsia="SimSun"/>
          <w:b/>
          <w:bCs/>
          <w:color w:val="000000"/>
          <w:sz w:val="26"/>
          <w:szCs w:val="26"/>
        </w:rPr>
        <w:t xml:space="preserve">4. Legal Bases for Processing</w:t>
      </w:r>
    </w:p>
    <w:p>
      <w:pPr>
        <w:spacing w:after="120" w:line="360"/>
        <w:ind w:left="720" w:hanging="720"/>
        <w:jc w:val="left"/>
      </w:pPr>
      <w:r>
        <w:rPr>
          <w:rFonts w:ascii="Times New Roman" w:eastAsia="SimSun"/>
          <w:b/>
          <w:bCs/>
          <w:color w:val="000000"/>
          <w:sz w:val="24"/>
          <w:szCs w:val="24"/>
        </w:rPr>
        <w:t xml:space="preserve">4.1	</w:t>
      </w:r>
      <w:r>
        <w:rPr>
          <w:rFonts w:ascii="Times New Roman" w:eastAsia="SimSun"/>
          <w:color w:val="000000"/>
          <w:sz w:val="24"/>
          <w:szCs w:val="24"/>
        </w:rPr>
        <w:t xml:space="preserve">We process personal data only where allowed by law, on one or more of the following bases: your consent, given at registration or when submitting a form; the performance of, or entry into, a contract with you, including the administration of your Account and Applications; compliance with legal obligations, including those imposed by the DMW and other authorities; and our legitimate interests in operating, securing, and improving the Platform, provided that such interests are not overridden by your rights. Sensitive personal information, where collected, is processed only with your explicit consent or where another lawful basis expressly recognized by the Data Privacy Act applies.</w:t>
      </w:r>
    </w:p>
    <w:p>
      <w:pPr>
        <w:pStyle w:val="Heading1"/>
        <w:keepNext/>
        <w:spacing w:after="160" w:before="360" w:line="360"/>
      </w:pPr>
      <w:r>
        <w:rPr>
          <w:rFonts w:ascii="Times New Roman" w:eastAsia="SimSun"/>
          <w:b/>
          <w:bCs/>
          <w:color w:val="000000"/>
          <w:sz w:val="26"/>
          <w:szCs w:val="26"/>
        </w:rPr>
        <w:t xml:space="preserve">5. How We Use Your Information</w:t>
      </w:r>
    </w:p>
    <w:p>
      <w:pPr>
        <w:spacing w:after="120" w:line="360"/>
        <w:ind w:left="720" w:hanging="720"/>
        <w:jc w:val="left"/>
      </w:pPr>
      <w:r>
        <w:rPr>
          <w:rFonts w:ascii="Times New Roman" w:eastAsia="SimSun"/>
          <w:b/>
          <w:bCs/>
          <w:color w:val="000000"/>
          <w:sz w:val="24"/>
          <w:szCs w:val="24"/>
        </w:rPr>
        <w:t xml:space="preserve">5.1	</w:t>
      </w:r>
      <w:r>
        <w:rPr>
          <w:rFonts w:ascii="Times New Roman" w:eastAsia="SimSun"/>
          <w:color w:val="000000"/>
          <w:sz w:val="24"/>
          <w:szCs w:val="24"/>
        </w:rPr>
        <w:t xml:space="preserve">We use personal data to: create and administer Accounts; verify identities, documents, licenses, and accreditations; operate the Application and Endorsement workflows; publish Job Orders; communicate with Users about Applications, endorsements, deployments, and Platform updates; assess suitability for Job Orders, including through the automated matching described in Section 6; comply with legal and regulatory requirements; detect and prevent fraud, illegal recruitment, and misuse; and improve Platform features and security.</w:t>
      </w:r>
    </w:p>
    <w:p>
      <w:pPr>
        <w:pStyle w:val="Heading1"/>
        <w:keepNext/>
        <w:spacing w:after="160" w:before="360" w:line="360"/>
      </w:pPr>
      <w:r>
        <w:rPr>
          <w:rFonts w:ascii="Times New Roman" w:eastAsia="SimSun"/>
          <w:b/>
          <w:bCs/>
          <w:color w:val="000000"/>
          <w:sz w:val="26"/>
          <w:szCs w:val="26"/>
        </w:rPr>
        <w:t xml:space="preserve">6. Automated Matching and Similarity Scoring</w:t>
      </w:r>
    </w:p>
    <w:p>
      <w:pPr>
        <w:spacing w:after="120" w:line="360"/>
        <w:ind w:left="720" w:hanging="720"/>
        <w:jc w:val="left"/>
      </w:pPr>
      <w:r>
        <w:rPr>
          <w:rFonts w:ascii="Times New Roman" w:eastAsia="SimSun"/>
          <w:b/>
          <w:bCs/>
          <w:color w:val="000000"/>
          <w:sz w:val="24"/>
          <w:szCs w:val="24"/>
        </w:rPr>
        <w:t xml:space="preserve">6.1	</w:t>
      </w:r>
      <w:r>
        <w:rPr>
          <w:rFonts w:ascii="Times New Roman" w:eastAsia="SimSun"/>
          <w:color w:val="000000"/>
          <w:sz w:val="24"/>
          <w:szCs w:val="24"/>
        </w:rPr>
        <w:t xml:space="preserve">Core feature. When you apply for a Job Order, or when an Employer publishes one, the Platform automatically evaluates your profile information to produce a Match Score. The score combines: (a) semantic similarity between your resume or profile narrative and the Job Order description, weighted at forty percent (40%); (b) overlap between your declared skills and the Job Order's required skills, weighted at forty percent (40%); and (c) an experience factor derived from your years of relevant experience, weighted at twenty percent (20%). The result is expressed from zero (0) to one hundred (100) and shown to you and to authorized reviewers.</w:t>
      </w:r>
    </w:p>
    <w:p>
      <w:pPr>
        <w:spacing w:after="120" w:line="360"/>
        <w:ind w:left="720" w:hanging="720"/>
        <w:jc w:val="left"/>
      </w:pPr>
      <w:r>
        <w:rPr>
          <w:rFonts w:ascii="Times New Roman" w:eastAsia="SimSun"/>
          <w:b/>
          <w:bCs/>
          <w:color w:val="000000"/>
          <w:sz w:val="24"/>
          <w:szCs w:val="24"/>
        </w:rPr>
        <w:t xml:space="preserve">6.2	</w:t>
      </w:r>
      <w:r>
        <w:rPr>
          <w:rFonts w:ascii="Times New Roman" w:eastAsia="SimSun"/>
          <w:color w:val="000000"/>
          <w:sz w:val="24"/>
          <w:szCs w:val="24"/>
        </w:rPr>
        <w:t xml:space="preserve">Meaning and limits. The Match Score is a decision-support estimate of similarity at the time of computation. It does not determine, by itself, whether you are shortlisted, endorsed, hired, or deployed. Human review by FIRA personnel, Agencies, or Employers accompanies every progression decision, and reviewers may consider factors beyond the score.</w:t>
      </w:r>
    </w:p>
    <w:p>
      <w:pPr>
        <w:spacing w:after="120" w:line="360"/>
        <w:ind w:left="720" w:hanging="720"/>
        <w:jc w:val="left"/>
      </w:pPr>
      <w:r>
        <w:rPr>
          <w:rFonts w:ascii="Times New Roman" w:eastAsia="SimSun"/>
          <w:b/>
          <w:bCs/>
          <w:color w:val="000000"/>
          <w:sz w:val="24"/>
          <w:szCs w:val="24"/>
        </w:rPr>
        <w:t xml:space="preserve">6.3	</w:t>
      </w:r>
      <w:r>
        <w:rPr>
          <w:rFonts w:ascii="Times New Roman" w:eastAsia="SimSun"/>
          <w:color w:val="000000"/>
          <w:sz w:val="24"/>
          <w:szCs w:val="24"/>
        </w:rPr>
        <w:t xml:space="preserve">Your rights over automated processing. You have the right to object to automated processing, to request human review of, or intervention in, any automated result, and to request rectification of the information that fed the computation. Requests may be made through the contact point in Section 1 and are handled within the periods stated in Section 11. Withdrawing consent to automated assessment, where consent is the relevant legal basis, may limit core matching features of the Platform.</w:t>
      </w:r>
    </w:p>
    <w:p>
      <w:pPr>
        <w:spacing w:after="120" w:line="360"/>
        <w:ind w:left="720" w:hanging="720"/>
        <w:jc w:val="left"/>
      </w:pPr>
      <w:r>
        <w:rPr>
          <w:rFonts w:ascii="Times New Roman" w:eastAsia="SimSun"/>
          <w:b/>
          <w:bCs/>
          <w:color w:val="000000"/>
          <w:sz w:val="24"/>
          <w:szCs w:val="24"/>
        </w:rPr>
        <w:t xml:space="preserve">6.4	</w:t>
      </w:r>
      <w:r>
        <w:rPr>
          <w:rFonts w:ascii="Times New Roman" w:eastAsia="SimSun"/>
          <w:color w:val="000000"/>
          <w:sz w:val="24"/>
          <w:szCs w:val="24"/>
        </w:rPr>
        <w:t xml:space="preserve">Improvement. We may recalibrate the matching methodology over time. Material changes affecting the processing of your information will be reflected in an updated version of this Policy.</w:t>
      </w:r>
    </w:p>
    <w:p>
      <w:pPr>
        <w:pStyle w:val="Heading1"/>
        <w:keepNext/>
        <w:spacing w:after="160" w:before="360" w:line="360"/>
      </w:pPr>
      <w:r>
        <w:rPr>
          <w:rFonts w:ascii="Times New Roman" w:eastAsia="SimSun"/>
          <w:b/>
          <w:bCs/>
          <w:color w:val="000000"/>
          <w:sz w:val="26"/>
          <w:szCs w:val="26"/>
        </w:rPr>
        <w:t xml:space="preserve">7. Disclosure and Sharing</w:t>
      </w:r>
    </w:p>
    <w:p>
      <w:pPr>
        <w:spacing w:after="120" w:line="360"/>
        <w:ind w:left="720" w:hanging="720"/>
        <w:jc w:val="left"/>
      </w:pPr>
      <w:r>
        <w:rPr>
          <w:rFonts w:ascii="Times New Roman" w:eastAsia="SimSun"/>
          <w:b/>
          <w:bCs/>
          <w:color w:val="000000"/>
          <w:sz w:val="24"/>
          <w:szCs w:val="24"/>
        </w:rPr>
        <w:t xml:space="preserve">7.1	</w:t>
      </w:r>
      <w:r>
        <w:rPr>
          <w:rFonts w:ascii="Times New Roman" w:eastAsia="SimSun"/>
          <w:color w:val="000000"/>
          <w:sz w:val="24"/>
          <w:szCs w:val="24"/>
        </w:rPr>
        <w:t xml:space="preserve">We disclose personal data only as described in this Policy, including: to Employers and their Agencies in connection with an Application or Endorsement, limited to what is needed to evaluate and process your candidacy; to Partner Agencies performing licensing-regulated recruitment and deployment steps; to service providers that host, store, secure, or support the Platform, under confidentiality and data protection obligations; to competent authorities, including the DMW, labor, immigration, and law-enforcement bodies, where required by law or to protect vital interests; and to a successor entity in the event of a lawful reorganization or transfer of the Platform's operations, subject to this Policy continuing to apply.</w:t>
      </w:r>
    </w:p>
    <w:p>
      <w:pPr>
        <w:spacing w:after="120" w:line="360"/>
        <w:ind w:left="720" w:hanging="720"/>
        <w:jc w:val="left"/>
      </w:pPr>
      <w:r>
        <w:rPr>
          <w:rFonts w:ascii="Times New Roman" w:eastAsia="SimSun"/>
          <w:b/>
          <w:bCs/>
          <w:color w:val="000000"/>
          <w:sz w:val="24"/>
          <w:szCs w:val="24"/>
        </w:rPr>
        <w:t xml:space="preserve">7.2	</w:t>
      </w:r>
      <w:r>
        <w:rPr>
          <w:rFonts w:ascii="Times New Roman" w:eastAsia="SimSun"/>
          <w:color w:val="000000"/>
          <w:sz w:val="24"/>
          <w:szCs w:val="24"/>
        </w:rPr>
        <w:t xml:space="preserve">We do not sell personal data. Users who receive Applicant information through the Platform shall not further disclose or use it except for the purpose for which it was provided, as stated in the Terms and Conditions.</w:t>
      </w:r>
    </w:p>
    <w:p>
      <w:pPr>
        <w:pStyle w:val="Heading1"/>
        <w:keepNext/>
        <w:spacing w:after="160" w:before="360" w:line="360"/>
      </w:pPr>
      <w:r>
        <w:rPr>
          <w:rFonts w:ascii="Times New Roman" w:eastAsia="SimSun"/>
          <w:b/>
          <w:bCs/>
          <w:color w:val="000000"/>
          <w:sz w:val="26"/>
          <w:szCs w:val="26"/>
        </w:rPr>
        <w:t xml:space="preserve">8. Cross-Border Transfers</w:t>
      </w:r>
    </w:p>
    <w:p>
      <w:pPr>
        <w:spacing w:after="120" w:line="360"/>
        <w:ind w:left="720" w:hanging="720"/>
        <w:jc w:val="left"/>
      </w:pPr>
      <w:r>
        <w:rPr>
          <w:rFonts w:ascii="Times New Roman" w:eastAsia="SimSun"/>
          <w:b/>
          <w:bCs/>
          <w:color w:val="000000"/>
          <w:sz w:val="24"/>
          <w:szCs w:val="24"/>
        </w:rPr>
        <w:t xml:space="preserve">8.1	</w:t>
      </w:r>
      <w:r>
        <w:rPr>
          <w:rFonts w:ascii="Times New Roman" w:eastAsia="SimSun"/>
          <w:color w:val="000000"/>
          <w:sz w:val="24"/>
          <w:szCs w:val="24"/>
        </w:rPr>
        <w:t xml:space="preserve">The Platform is operated from Morocco, and Applicants are ordinarily destined for employers in Morocco and other countries. Your personal data may therefore be transferred to, and processed in, countries other than the Philippines, including our headquarters in Morocco and the countries of Employers. Where your data is transferred abroad, we apply reasonable technical, contractual, and organizational safeguards, process data only for the purposes stated in this Policy, and, where required, obtain your consent for the specific transfer. You may request details of the safeguards applicable to your data through the contact point in Section 1.</w:t>
      </w:r>
    </w:p>
    <w:p>
      <w:pPr>
        <w:pStyle w:val="Heading1"/>
        <w:keepNext/>
        <w:spacing w:after="160" w:before="360" w:line="360"/>
      </w:pPr>
      <w:r>
        <w:rPr>
          <w:rFonts w:ascii="Times New Roman" w:eastAsia="SimSun"/>
          <w:b/>
          <w:bCs/>
          <w:color w:val="000000"/>
          <w:sz w:val="26"/>
          <w:szCs w:val="26"/>
        </w:rPr>
        <w:t xml:space="preserve">9. Data Retention</w:t>
      </w:r>
    </w:p>
    <w:p>
      <w:pPr>
        <w:spacing w:after="120" w:line="360"/>
        <w:ind w:left="720" w:hanging="720"/>
        <w:jc w:val="left"/>
      </w:pPr>
      <w:r>
        <w:rPr>
          <w:rFonts w:ascii="Times New Roman" w:eastAsia="SimSun"/>
          <w:b/>
          <w:bCs/>
          <w:color w:val="000000"/>
          <w:sz w:val="24"/>
          <w:szCs w:val="24"/>
        </w:rPr>
        <w:t xml:space="preserve">9.1	</w:t>
      </w:r>
      <w:r>
        <w:rPr>
          <w:rFonts w:ascii="Times New Roman" w:eastAsia="SimSun"/>
          <w:color w:val="000000"/>
          <w:sz w:val="24"/>
          <w:szCs w:val="24"/>
        </w:rPr>
        <w:t xml:space="preserve">We retain personal data only for as long as necessary to fulfill the purposes stated in this Policy, including: for the duration of your Account and any active Application or deployment; for the period required by laws and regulations applicable to overseas employment records; for the reasonable period needed to establish or defend legal claims; and, after these periods, until deletion or anonymization in accordance with our retention schedule. Copies that remain in backups for a limited period are deleted on the backup cycle.</w:t>
      </w:r>
    </w:p>
    <w:p>
      <w:pPr>
        <w:pStyle w:val="Heading1"/>
        <w:keepNext/>
        <w:spacing w:after="160" w:before="360" w:line="360"/>
      </w:pPr>
      <w:r>
        <w:rPr>
          <w:rFonts w:ascii="Times New Roman" w:eastAsia="SimSun"/>
          <w:b/>
          <w:bCs/>
          <w:color w:val="000000"/>
          <w:sz w:val="26"/>
          <w:szCs w:val="26"/>
        </w:rPr>
        <w:t xml:space="preserve">10. Data Security</w:t>
      </w:r>
    </w:p>
    <w:p>
      <w:pPr>
        <w:spacing w:after="120" w:line="360"/>
        <w:ind w:left="720" w:hanging="720"/>
        <w:jc w:val="left"/>
      </w:pPr>
      <w:r>
        <w:rPr>
          <w:rFonts w:ascii="Times New Roman" w:eastAsia="SimSun"/>
          <w:b/>
          <w:bCs/>
          <w:color w:val="000000"/>
          <w:sz w:val="24"/>
          <w:szCs w:val="24"/>
        </w:rPr>
        <w:t xml:space="preserve">10.1	</w:t>
      </w:r>
      <w:r>
        <w:rPr>
          <w:rFonts w:ascii="Times New Roman" w:eastAsia="SimSun"/>
          <w:color w:val="000000"/>
          <w:sz w:val="24"/>
          <w:szCs w:val="24"/>
        </w:rPr>
        <w:t xml:space="preserve">We apply reasonable administrative, technical, and physical safeguards appropriate to the sensitivity of the data, including access controls based on roles, encryption of data in transit, hashed credentials, audit logging of sensitive workflow actions, and internal policies limiting access to authorized personnel. No system is perfectly secure; you are responsible for keeping your credentials confidential, and we encourage prompt reporting of any suspected incident through the contact points stated in this Policy so that we can investigate and, where required, notify you and the National Privacy Commission within the periods prescribed by law.</w:t>
      </w:r>
    </w:p>
    <w:p>
      <w:pPr>
        <w:pStyle w:val="Heading1"/>
        <w:keepNext/>
        <w:spacing w:after="160" w:before="360" w:line="360"/>
      </w:pPr>
      <w:r>
        <w:rPr>
          <w:rFonts w:ascii="Times New Roman" w:eastAsia="SimSun"/>
          <w:b/>
          <w:bCs/>
          <w:color w:val="000000"/>
          <w:sz w:val="26"/>
          <w:szCs w:val="26"/>
        </w:rPr>
        <w:t xml:space="preserve">11. Your Rights as a Data Subject</w:t>
      </w:r>
    </w:p>
    <w:p>
      <w:pPr>
        <w:spacing w:after="120" w:line="360"/>
        <w:ind w:left="720" w:hanging="720"/>
        <w:jc w:val="left"/>
      </w:pPr>
      <w:r>
        <w:rPr>
          <w:rFonts w:ascii="Times New Roman" w:eastAsia="SimSun"/>
          <w:b/>
          <w:bCs/>
          <w:color w:val="000000"/>
          <w:sz w:val="24"/>
          <w:szCs w:val="24"/>
        </w:rPr>
        <w:t xml:space="preserve">11.1	</w:t>
      </w:r>
      <w:r>
        <w:rPr>
          <w:rFonts w:ascii="Times New Roman" w:eastAsia="SimSun"/>
          <w:color w:val="000000"/>
          <w:sz w:val="24"/>
          <w:szCs w:val="24"/>
        </w:rPr>
        <w:t xml:space="preserve">Under the Data Privacy Act, you have the right to: be informed of how your data is processed; access your personal data and obtain a copy; rectify inaccurate or incomplete data; erasure or blocking of data processed unlawfully or no longer necessary; object to processing, including automated processing; data portability where applicable; and claim compensation for damages suffered due to a violation of the Act. You may also lodge a complaint with the National Privacy Commission of the Philippines.</w:t>
      </w:r>
    </w:p>
    <w:p>
      <w:pPr>
        <w:spacing w:after="120" w:line="360"/>
        <w:ind w:left="720" w:hanging="720"/>
        <w:jc w:val="left"/>
      </w:pPr>
      <w:r>
        <w:rPr>
          <w:rFonts w:ascii="Times New Roman" w:eastAsia="SimSun"/>
          <w:b/>
          <w:bCs/>
          <w:color w:val="000000"/>
          <w:sz w:val="24"/>
          <w:szCs w:val="24"/>
        </w:rPr>
        <w:t xml:space="preserve">11.2	</w:t>
      </w:r>
      <w:r>
        <w:rPr>
          <w:rFonts w:ascii="Times New Roman" w:eastAsia="SimSun"/>
          <w:color w:val="000000"/>
          <w:sz w:val="24"/>
          <w:szCs w:val="24"/>
        </w:rPr>
        <w:t xml:space="preserve">To exercise any right, contact the point stated in Section 1 with sufficient identification and a description of your request. We shall respond within thirty (30) days from receipt of a complete request, or such other period as the applicable rules allow, and shall inform you of any extension. We may charge a reasonable fee only where permitted for repeated or excessive requests.</w:t>
      </w:r>
    </w:p>
    <w:p>
      <w:pPr>
        <w:pStyle w:val="Heading1"/>
        <w:keepNext/>
        <w:spacing w:after="160" w:before="360" w:line="360"/>
      </w:pPr>
      <w:r>
        <w:rPr>
          <w:rFonts w:ascii="Times New Roman" w:eastAsia="SimSun"/>
          <w:b/>
          <w:bCs/>
          <w:color w:val="000000"/>
          <w:sz w:val="26"/>
          <w:szCs w:val="26"/>
        </w:rPr>
        <w:t xml:space="preserve">12. Cookies and Similar Technologies</w:t>
      </w:r>
    </w:p>
    <w:p>
      <w:pPr>
        <w:spacing w:after="120" w:line="360"/>
        <w:ind w:left="720" w:hanging="720"/>
        <w:jc w:val="left"/>
      </w:pPr>
      <w:r>
        <w:rPr>
          <w:rFonts w:ascii="Times New Roman" w:eastAsia="SimSun"/>
          <w:b/>
          <w:bCs/>
          <w:color w:val="000000"/>
          <w:sz w:val="24"/>
          <w:szCs w:val="24"/>
        </w:rPr>
        <w:t xml:space="preserve">12.1	</w:t>
      </w:r>
      <w:r>
        <w:rPr>
          <w:rFonts w:ascii="Times New Roman" w:eastAsia="SimSun"/>
          <w:color w:val="000000"/>
          <w:sz w:val="24"/>
          <w:szCs w:val="24"/>
        </w:rPr>
        <w:t xml:space="preserve">The Platform uses cookies and similar technologies to keep you signed in, remember preferences, and understand aggregate usage. The types of cookies used, their purposes, and how you can control them are described in the End-User License Agreement and Cookie Notice, which forms part of this Policy by reference.</w:t>
      </w:r>
    </w:p>
    <w:p>
      <w:pPr>
        <w:pStyle w:val="Heading1"/>
        <w:keepNext/>
        <w:spacing w:after="160" w:before="360" w:line="360"/>
      </w:pPr>
      <w:r>
        <w:rPr>
          <w:rFonts w:ascii="Times New Roman" w:eastAsia="SimSun"/>
          <w:b/>
          <w:bCs/>
          <w:color w:val="000000"/>
          <w:sz w:val="26"/>
          <w:szCs w:val="26"/>
        </w:rPr>
        <w:t xml:space="preserve">13. Children's Data</w:t>
      </w:r>
    </w:p>
    <w:p>
      <w:pPr>
        <w:spacing w:after="120" w:line="360"/>
        <w:ind w:left="720" w:hanging="720"/>
        <w:jc w:val="left"/>
      </w:pPr>
      <w:r>
        <w:rPr>
          <w:rFonts w:ascii="Times New Roman" w:eastAsia="SimSun"/>
          <w:b/>
          <w:bCs/>
          <w:color w:val="000000"/>
          <w:sz w:val="24"/>
          <w:szCs w:val="24"/>
        </w:rPr>
        <w:t xml:space="preserve">13.1	</w:t>
      </w:r>
      <w:r>
        <w:rPr>
          <w:rFonts w:ascii="Times New Roman" w:eastAsia="SimSun"/>
          <w:color w:val="000000"/>
          <w:sz w:val="24"/>
          <w:szCs w:val="24"/>
        </w:rPr>
        <w:t xml:space="preserve">The Platform is not directed to persons below eighteen (18) years of age, and lawful overseas employment of minors is subject to strict legal restrictions. We do not knowingly collect data of minors. If you believe a minor has registered, contact us so that the Account can be suspended and the data deleted in accordance with applicable law.</w:t>
      </w:r>
    </w:p>
    <w:p>
      <w:pPr>
        <w:pStyle w:val="Heading1"/>
        <w:keepNext/>
        <w:spacing w:after="160" w:before="360" w:line="360"/>
      </w:pPr>
      <w:r>
        <w:rPr>
          <w:rFonts w:ascii="Times New Roman" w:eastAsia="SimSun"/>
          <w:b/>
          <w:bCs/>
          <w:color w:val="000000"/>
          <w:sz w:val="26"/>
          <w:szCs w:val="26"/>
        </w:rPr>
        <w:t xml:space="preserve">14. Changes to This Policy</w:t>
      </w:r>
    </w:p>
    <w:p>
      <w:pPr>
        <w:spacing w:after="120" w:line="360"/>
        <w:ind w:left="720" w:hanging="720"/>
        <w:jc w:val="left"/>
      </w:pPr>
      <w:r>
        <w:rPr>
          <w:rFonts w:ascii="Times New Roman" w:eastAsia="SimSun"/>
          <w:b/>
          <w:bCs/>
          <w:color w:val="000000"/>
          <w:sz w:val="24"/>
          <w:szCs w:val="24"/>
        </w:rPr>
        <w:t xml:space="preserve">14.1	</w:t>
      </w:r>
      <w:r>
        <w:rPr>
          <w:rFonts w:ascii="Times New Roman" w:eastAsia="SimSun"/>
          <w:color w:val="000000"/>
          <w:sz w:val="24"/>
          <w:szCs w:val="24"/>
        </w:rPr>
        <w:t xml:space="preserve">We may update this Policy to reflect changes in the Platform, our processes, or the law. The current version, with its effective date, shall be posted on the Platform. Material changes will be communicated through the Platform or by email before they take effect, and your continued use after the effective date constitutes acknowledgment of the updated Policy, subject to your rights under Section 11.</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00000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Times New Roman" w:eastAsia="SimSun"/>
        <w:color w:val="000000"/>
        <w:sz w:val="18"/>
        <w:szCs w:val="18"/>
      </w:rPr>
      <w:t xml:space="preserve">MatchWise Platform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60"/>
    </w:pPr>
    <w:rPr>
      <w:rFonts w:ascii="Times New Roman" w:eastAsia="SimSun"/>
      <w:b/>
      <w:bCs/>
      <w:color w:val="000000"/>
      <w:sz w:val="26"/>
      <w:szCs w:val="26"/>
    </w:rPr>
  </w:style>
  <w:style w:type="paragraph" w:styleId="Heading2">
    <w:name w:val="Heading 2"/>
    <w:basedOn w:val="Normal"/>
    <w:next w:val="Normal"/>
    <w:qFormat/>
    <w:pPr>
      <w:spacing w:after="120" w:before="240" w:line="360"/>
    </w:pPr>
    <w:rPr>
      <w:rFonts w:ascii="Times New Roman" w:eastAsia="SimSu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MatchWise Platform legal document - FIL International Recruitment Agency (FIRA)</dc:subject>
  <dc:creator>Z.ai</dc:creator>
  <cp:lastModifiedBy>Un-named</cp:lastModifiedBy>
  <cp:revision>1</cp:revision>
  <dcterms:created xsi:type="dcterms:W3CDTF">2026-10-15T18:32:53.466Z</dcterms:created>
  <dcterms:modified xsi:type="dcterms:W3CDTF">2026-10-15T18:32:53.466Z</dcterms:modified>
</cp:coreProperties>
</file>

<file path=docProps/custom.xml><?xml version="1.0" encoding="utf-8"?>
<Properties xmlns="http://schemas.openxmlformats.org/officeDocument/2006/custom-properties" xmlns:vt="http://schemas.openxmlformats.org/officeDocument/2006/docPropsVTypes"/>
</file>