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line="320" w:lineRule="atLeast"/>
        <w:jc w:val="center"/>
      </w:pPr>
      <w:r>
        <w:rPr>
          <w:rFonts w:ascii="Times New Roman" w:eastAsia="SimSun"/>
          <w:b/>
          <w:bCs/>
          <w:color w:val="000000"/>
          <w:sz w:val="26"/>
          <w:szCs w:val="26"/>
        </w:rPr>
        <w:t xml:space="preserve">MATCHWISE PLATFORM</w:t>
      </w:r>
    </w:p>
    <w:p>
      <w:pPr>
        <w:spacing w:after="160" w:before="120" w:line="506" w:lineRule="atLeast"/>
        <w:jc w:val="center"/>
      </w:pPr>
      <w:r>
        <w:rPr>
          <w:rFonts w:ascii="Times New Roman" w:eastAsia="SimSun"/>
          <w:b/>
          <w:bCs/>
          <w:color w:val="000000"/>
          <w:sz w:val="44"/>
          <w:szCs w:val="44"/>
        </w:rPr>
        <w:t xml:space="preserve">TERMS AND CONDITIONS OF USE</w:t>
      </w:r>
    </w:p>
    <w:p>
      <w:pPr>
        <w:spacing w:after="120" w:line="320"/>
        <w:jc w:val="center"/>
      </w:pPr>
      <w:r>
        <w:rPr>
          <w:rFonts w:ascii="Times New Roman" w:eastAsia="SimSun"/>
          <w:color w:val="000000"/>
          <w:sz w:val="24"/>
          <w:szCs w:val="24"/>
        </w:rPr>
        <w:t xml:space="preserve">Operated by FIL International Recruitment Agency (FIRA)</w:t>
      </w:r>
    </w:p>
    <w:p>
      <w:pPr>
        <w:spacing w:after="40" w:line="300"/>
        <w:jc w:val="center"/>
      </w:pPr>
      <w:r>
        <w:rPr>
          <w:rFonts w:ascii="Times New Roman" w:eastAsia="SimSun"/>
          <w:color w:val="000000"/>
          <w:sz w:val="21"/>
          <w:szCs w:val="21"/>
        </w:rPr>
        <w:t xml:space="preserve">Registered office: 59 Boulevard Zerktouni, Residence Les Fleurs, 6th Floor, Apartment 19, 20360 Casablanca, Morocco</w:t>
      </w:r>
    </w:p>
    <w:p>
      <w:pPr>
        <w:spacing w:after="40" w:line="300"/>
        <w:jc w:val="center"/>
      </w:pPr>
      <w:r>
        <w:rPr>
          <w:rFonts w:ascii="Times New Roman" w:eastAsia="SimSun"/>
          <w:color w:val="000000"/>
          <w:sz w:val="21"/>
          <w:szCs w:val="21"/>
        </w:rPr>
        <w:t xml:space="preserve">Version 1.0 - Effective on 【Effective Date】</w:t>
      </w:r>
    </w:p>
    <w:p>
      <w:pPr>
        <w:pBdr>
          <w:bottom w:val="single" w:color="000000" w:sz="6" w:space="4"/>
        </w:pBdr>
        <w:spacing w:after="240" w:before="160"/>
      </w:pPr>
      <w:r>
        <w:rPr>
          <w:sz w:val="2"/>
          <w:szCs w:val="2"/>
        </w:rPr>
        <w:t xml:space="preserve"/>
      </w:r>
    </w:p>
    <w:p>
      <w:pPr>
        <w:spacing w:after="360" w:before="480" w:line="360"/>
        <w:jc w:val="center"/>
      </w:pPr>
      <w:r>
        <w:rPr>
          <w:rFonts w:ascii="Times New Roman" w:eastAsia="SimSun"/>
          <w:b/>
          <w:bCs/>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Article 1 - Acceptance of These Terms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Article 2 - Definitions and Interpretation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Article 3 - About the Platform and Our Role</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Article 4 - Eligibility, Registration and Accounts</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Article 5 - User Roles and Scope of Use</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Article 6 - AI-Assisted Matching and Assessment</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Article 7 - Verification, Licensing and Anti-Illegal Recruitment</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Article 8 - Applicants' Obligations</w:t>
            </w:r>
            <w:r>
              <w:tab/>
            </w:r>
            <w:r>
              <w:fldChar w:fldCharType="begin"/>
            </w:r>
            <w:r>
              <w:instrText xml:space="preserve"> PAGEREF _Toc100007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Article 9 - Agencies' Obligations</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Article 10 - Employers' Obligations</w:t>
            </w:r>
            <w:r>
              <w:tab/>
            </w:r>
            <w:r>
              <w:fldChar w:fldCharType="begin"/>
            </w:r>
            <w:r>
              <w:instrText xml:space="preserve"> PAGEREF _Toc100009 \h </w:instrText>
            </w:r>
            <w:r>
              <w:fldChar w:fldCharType="separate"/>
            </w:r>
            <w:r>
              <w:t>9</w:t>
            </w:r>
            <w:r>
              <w:fldChar w:fldCharType="end"/>
            </w:r>
          </w:hyperlink>
        </w:p>
        <w:p>
          <w:pPr>
            <w:pStyle w:val="9"/>
            <w:tabs>
              <w:tab w:val="right" w:leader="dot" w:pos="9026"/>
            </w:tabs>
            <w:spacing w:before="120" w:after="60"/>
          </w:pPr>
          <w:hyperlink w:anchor="_Toc100010" w:history="1">
            <w:r>
              <w:rPr>
                <w:rStyle w:val="Hyperlink"/>
              </w:rPr>
              <w:t>Article 11 - Job Orders, Applications and Endorsements</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Article 12 - Fees, Payments and Refunds</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Article 13 - Data Privacy and Protection</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Article 14 - Intellectual Property</w:t>
            </w:r>
            <w:r>
              <w:tab/>
            </w:r>
            <w:r>
              <w:fldChar w:fldCharType="begin"/>
            </w:r>
            <w:r>
              <w:instrText xml:space="preserve"> PAGEREF _Toc100013 \h </w:instrText>
            </w:r>
            <w:r>
              <w:fldChar w:fldCharType="separate"/>
            </w:r>
            <w:r>
              <w:t>11</w:t>
            </w:r>
            <w:r>
              <w:fldChar w:fldCharType="end"/>
            </w:r>
          </w:hyperlink>
        </w:p>
        <w:p>
          <w:pPr>
            <w:pStyle w:val="9"/>
            <w:tabs>
              <w:tab w:val="right" w:leader="dot" w:pos="9026"/>
            </w:tabs>
            <w:spacing w:before="120" w:after="60"/>
          </w:pPr>
          <w:hyperlink w:anchor="_Toc100014" w:history="1">
            <w:r>
              <w:rPr>
                <w:rStyle w:val="Hyperlink"/>
              </w:rPr>
              <w:t>Article 15 - Acceptable Use and Prohibited Conduct</w:t>
            </w:r>
            <w:r>
              <w:tab/>
            </w:r>
            <w:r>
              <w:fldChar w:fldCharType="begin"/>
            </w:r>
            <w:r>
              <w:instrText xml:space="preserve"> PAGEREF _Toc100014 \h </w:instrText>
            </w:r>
            <w:r>
              <w:fldChar w:fldCharType="separate"/>
            </w:r>
            <w:r>
              <w:t>12</w:t>
            </w:r>
            <w:r>
              <w:fldChar w:fldCharType="end"/>
            </w:r>
          </w:hyperlink>
        </w:p>
        <w:p>
          <w:pPr>
            <w:pStyle w:val="9"/>
            <w:tabs>
              <w:tab w:val="right" w:leader="dot" w:pos="9026"/>
            </w:tabs>
            <w:spacing w:before="120" w:after="60"/>
          </w:pPr>
          <w:hyperlink w:anchor="_Toc100015" w:history="1">
            <w:r>
              <w:rPr>
                <w:rStyle w:val="Hyperlink"/>
              </w:rPr>
              <w:t>Article 16 - Disclaimers</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Article 17 - Limitation of Liability</w:t>
            </w:r>
            <w:r>
              <w:tab/>
            </w:r>
            <w:r>
              <w:fldChar w:fldCharType="begin"/>
            </w:r>
            <w:r>
              <w:instrText xml:space="preserve"> PAGEREF _Toc100016 \h </w:instrText>
            </w:r>
            <w:r>
              <w:fldChar w:fldCharType="separate"/>
            </w:r>
            <w:r>
              <w:t>13</w:t>
            </w:r>
            <w:r>
              <w:fldChar w:fldCharType="end"/>
            </w:r>
          </w:hyperlink>
        </w:p>
        <w:p>
          <w:pPr>
            <w:pStyle w:val="9"/>
            <w:tabs>
              <w:tab w:val="right" w:leader="dot" w:pos="9026"/>
            </w:tabs>
            <w:spacing w:before="120" w:after="60"/>
          </w:pPr>
          <w:hyperlink w:anchor="_Toc100017" w:history="1">
            <w:r>
              <w:rPr>
                <w:rStyle w:val="Hyperlink"/>
              </w:rPr>
              <w:t>Article 18 - Indemnification</w:t>
            </w:r>
            <w:r>
              <w:tab/>
            </w:r>
            <w:r>
              <w:fldChar w:fldCharType="begin"/>
            </w:r>
            <w:r>
              <w:instrText xml:space="preserve"> PAGEREF _Toc100017 \h </w:instrText>
            </w:r>
            <w:r>
              <w:fldChar w:fldCharType="separate"/>
            </w:r>
            <w:r>
              <w:t>13</w:t>
            </w:r>
            <w:r>
              <w:fldChar w:fldCharType="end"/>
            </w:r>
          </w:hyperlink>
        </w:p>
        <w:p>
          <w:pPr>
            <w:pStyle w:val="9"/>
            <w:tabs>
              <w:tab w:val="right" w:leader="dot" w:pos="9026"/>
            </w:tabs>
            <w:spacing w:before="120" w:after="60"/>
          </w:pPr>
          <w:hyperlink w:anchor="_Toc100018" w:history="1">
            <w:r>
              <w:rPr>
                <w:rStyle w:val="Hyperlink"/>
              </w:rPr>
              <w:t>Article 19 - Suspension and Termination</w:t>
            </w:r>
            <w:r>
              <w:tab/>
            </w:r>
            <w:r>
              <w:fldChar w:fldCharType="begin"/>
            </w:r>
            <w:r>
              <w:instrText xml:space="preserve"> PAGEREF _Toc100018 \h </w:instrText>
            </w:r>
            <w:r>
              <w:fldChar w:fldCharType="separate"/>
            </w:r>
            <w:r>
              <w:t>14</w:t>
            </w:r>
            <w:r>
              <w:fldChar w:fldCharType="end"/>
            </w:r>
          </w:hyperlink>
        </w:p>
        <w:p>
          <w:pPr>
            <w:pStyle w:val="9"/>
            <w:tabs>
              <w:tab w:val="right" w:leader="dot" w:pos="9026"/>
            </w:tabs>
            <w:spacing w:before="120" w:after="60"/>
          </w:pPr>
          <w:hyperlink w:anchor="_Toc100019" w:history="1">
            <w:r>
              <w:rPr>
                <w:rStyle w:val="Hyperlink"/>
              </w:rPr>
              <w:t>Article 20 - Amendments</w:t>
            </w:r>
            <w:r>
              <w:tab/>
            </w:r>
            <w:r>
              <w:fldChar w:fldCharType="begin"/>
            </w:r>
            <w:r>
              <w:instrText xml:space="preserve"> PAGEREF _Toc100019 \h </w:instrText>
            </w:r>
            <w:r>
              <w:fldChar w:fldCharType="separate"/>
            </w:r>
            <w:r>
              <w:t>14</w:t>
            </w:r>
            <w:r>
              <w:fldChar w:fldCharType="end"/>
            </w:r>
          </w:hyperlink>
        </w:p>
        <w:p>
          <w:pPr>
            <w:pStyle w:val="9"/>
            <w:tabs>
              <w:tab w:val="right" w:leader="dot" w:pos="9026"/>
            </w:tabs>
            <w:spacing w:before="120" w:after="60"/>
          </w:pPr>
          <w:hyperlink w:anchor="_Toc100020" w:history="1">
            <w:r>
              <w:rPr>
                <w:rStyle w:val="Hyperlink"/>
              </w:rPr>
              <w:t>Article 21 - Governing Law and Dispute Resolution</w:t>
            </w:r>
            <w:r>
              <w:tab/>
            </w:r>
            <w:r>
              <w:fldChar w:fldCharType="begin"/>
            </w:r>
            <w:r>
              <w:instrText xml:space="preserve"> PAGEREF _Toc100020 \h </w:instrText>
            </w:r>
            <w:r>
              <w:fldChar w:fldCharType="separate"/>
            </w:r>
            <w:r>
              <w:t>14</w:t>
            </w:r>
            <w:r>
              <w:fldChar w:fldCharType="end"/>
            </w:r>
          </w:hyperlink>
        </w:p>
        <w:p>
          <w:pPr>
            <w:pStyle w:val="9"/>
            <w:tabs>
              <w:tab w:val="right" w:leader="dot" w:pos="9026"/>
            </w:tabs>
            <w:spacing w:before="120" w:after="60"/>
          </w:pPr>
          <w:hyperlink w:anchor="_Toc100021" w:history="1">
            <w:r>
              <w:rPr>
                <w:rStyle w:val="Hyperlink"/>
              </w:rPr>
              <w:t>Article 22 - Miscellaneous</w:t>
            </w:r>
            <w:r>
              <w:tab/>
            </w:r>
            <w:r>
              <w:fldChar w:fldCharType="begin"/>
            </w:r>
            <w:r>
              <w:instrText xml:space="preserve"> PAGEREF _Toc100021 \h </w:instrText>
            </w:r>
            <w:r>
              <w:fldChar w:fldCharType="separate"/>
            </w:r>
            <w:r>
              <w:t>15</w:t>
            </w:r>
            <w:r>
              <w:fldChar w:fldCharType="end"/>
            </w:r>
          </w:hyperlink>
        </w:p>
        <w:p>
          <w:pPr>
            <w:pStyle w:val="9"/>
            <w:tabs>
              <w:tab w:val="right" w:leader="dot" w:pos="9026"/>
            </w:tabs>
            <w:spacing w:before="120" w:after="60"/>
          </w:pPr>
          <w:hyperlink w:anchor="_Toc100022" w:history="1">
            <w:r>
              <w:rPr>
                <w:rStyle w:val="Hyperlink"/>
              </w:rPr>
              <w:t>Article 23 - Notices and Contact Information</w:t>
            </w:r>
            <w:r>
              <w:tab/>
            </w:r>
            <w:r>
              <w:fldChar w:fldCharType="begin"/>
            </w:r>
            <w:r>
              <w:instrText xml:space="preserve"> PAGEREF _Toc100022 \h </w:instrText>
            </w:r>
            <w:r>
              <w:fldChar w:fldCharType="separate"/>
            </w:r>
            <w:r>
              <w:t>16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spacing w:after="120" w:line="360"/>
        <w:ind w:firstLine="480"/>
        <w:jc w:val="both"/>
      </w:pPr>
      <w:r>
        <w:rPr>
          <w:rFonts w:ascii="Times New Roman" w:eastAsia="SimSun"/>
          <w:color w:val="000000"/>
          <w:sz w:val="24"/>
          <w:szCs w:val="24"/>
        </w:rPr>
        <w:t xml:space="preserve">These Terms and Conditions of Use (“the Terms”) govern access to and use of the MatchWise online platform, including its website, web application, and related services (collectively, “the Platform”), operated by FIL International Recruitment Agency (“FIRA”, “we”, “us”, or “the Operator”), with registered office at 59 Boulevard Zerktouni, Residence Les Fleurs, 6th Floor, Apartment 19, 20360 Casablanca, Morocco. By creating an account, accessing, browsing, or otherwise using the Platform, the user (“you” or “the User”) agrees to be bound by these Terms. If you do not agree to these Terms, you shall not access or use the Platform.</w:t>
      </w:r>
    </w:p>
    <w:p>
      <w:pPr>
        <w:pStyle w:val="Heading1"/>
        <w:keepNext/>
        <w:spacing w:after="160" w:before="360" w:line="360"/>
      </w:pPr>
      <w:bookmarkStart w:id="100000" w:name="_Toc100000"/>
      <w:r>
        <w:rPr>
          <w:rFonts w:ascii="Times New Roman" w:eastAsia="SimSun"/>
          <w:b/>
          <w:bCs/>
          <w:color w:val="000000"/>
          <w:sz w:val="26"/>
          <w:szCs w:val="26"/>
        </w:rPr>
        <w:t xml:space="preserve">Article 1 - Acceptance of These Terms</w:t>
      </w:r>
      <w:bookmarkEnd w:id="100000"/>
    </w:p>
    <w:p>
      <w:pPr>
        <w:spacing w:after="120" w:line="360"/>
        <w:ind w:left="720" w:hanging="720"/>
        <w:jc w:val="left"/>
      </w:pPr>
      <w:r>
        <w:rPr>
          <w:rFonts w:ascii="Times New Roman" w:eastAsia="SimSun"/>
          <w:b/>
          <w:bCs/>
          <w:color w:val="000000"/>
          <w:sz w:val="24"/>
          <w:szCs w:val="24"/>
        </w:rPr>
        <w:t xml:space="preserve">1.1	</w:t>
      </w:r>
      <w:r>
        <w:rPr>
          <w:rFonts w:ascii="Times New Roman" w:eastAsia="SimSun"/>
          <w:color w:val="000000"/>
          <w:sz w:val="24"/>
          <w:szCs w:val="24"/>
        </w:rPr>
        <w:t xml:space="preserve">By clicking the acceptance checkbox during account registration, or by accessing or using the Platform in any manner, you acknowledge that you have read, understood, and agree to be bound by these Terms, together with the MatchWise Privacy Policy and the MatchWise End-User License Agreement and Cookie Notice, each of which is incorporated into these Terms by reference.</w:t>
      </w:r>
    </w:p>
    <w:p>
      <w:pPr>
        <w:spacing w:after="120" w:line="360"/>
        <w:ind w:left="720" w:hanging="720"/>
        <w:jc w:val="left"/>
      </w:pPr>
      <w:r>
        <w:rPr>
          <w:rFonts w:ascii="Times New Roman" w:eastAsia="SimSun"/>
          <w:b/>
          <w:bCs/>
          <w:color w:val="000000"/>
          <w:sz w:val="24"/>
          <w:szCs w:val="24"/>
        </w:rPr>
        <w:t xml:space="preserve">1.2	</w:t>
      </w:r>
      <w:r>
        <w:rPr>
          <w:rFonts w:ascii="Times New Roman" w:eastAsia="SimSun"/>
          <w:color w:val="000000"/>
          <w:sz w:val="24"/>
          <w:szCs w:val="24"/>
        </w:rPr>
        <w:t xml:space="preserve">These Terms constitute a binding agreement between you and FIRA. If you are using the Platform on behalf of a company, agency, or other organization, you represent and warrant that you have the authority to bind that organization to these Terms, and “you” shall refer to that organization.</w:t>
      </w:r>
    </w:p>
    <w:p>
      <w:pPr>
        <w:spacing w:after="120" w:line="360"/>
        <w:ind w:left="720" w:hanging="720"/>
        <w:jc w:val="left"/>
      </w:pPr>
      <w:r>
        <w:rPr>
          <w:rFonts w:ascii="Times New Roman" w:eastAsia="SimSun"/>
          <w:b/>
          <w:bCs/>
          <w:color w:val="000000"/>
          <w:sz w:val="24"/>
          <w:szCs w:val="24"/>
        </w:rPr>
        <w:t xml:space="preserve">1.3	</w:t>
      </w:r>
      <w:r>
        <w:rPr>
          <w:rFonts w:ascii="Times New Roman" w:eastAsia="SimSun"/>
          <w:color w:val="000000"/>
          <w:sz w:val="24"/>
          <w:szCs w:val="24"/>
        </w:rPr>
        <w:t xml:space="preserve">You shall not use the Platform if you are below eighteen (18) years of age. Accounts of Users identified as minors shall be suspended and their data handled in accordance with the Privacy Policy.</w:t>
      </w:r>
    </w:p>
    <w:p>
      <w:pPr>
        <w:spacing w:after="120" w:line="360"/>
        <w:ind w:left="720" w:hanging="720"/>
        <w:jc w:val="left"/>
      </w:pPr>
      <w:r>
        <w:rPr>
          <w:rFonts w:ascii="Times New Roman" w:eastAsia="SimSun"/>
          <w:b/>
          <w:bCs/>
          <w:color w:val="000000"/>
          <w:sz w:val="24"/>
          <w:szCs w:val="24"/>
        </w:rPr>
        <w:t xml:space="preserve">1.4	</w:t>
      </w:r>
      <w:r>
        <w:rPr>
          <w:rFonts w:ascii="Times New Roman" w:eastAsia="SimSun"/>
          <w:color w:val="000000"/>
          <w:sz w:val="24"/>
          <w:szCs w:val="24"/>
        </w:rPr>
        <w:t xml:space="preserve">We may modify these Terms from time to time in accordance with Article 20. Your continued use of the Platform after the revised Terms take effect constitutes acceptance of the revised Terms.</w:t>
      </w:r>
    </w:p>
    <w:p>
      <w:pPr>
        <w:pStyle w:val="Heading1"/>
        <w:keepNext/>
        <w:spacing w:after="160" w:before="360" w:line="360"/>
      </w:pPr>
      <w:bookmarkStart w:id="100001" w:name="_Toc100001"/>
      <w:r>
        <w:rPr>
          <w:rFonts w:ascii="Times New Roman" w:eastAsia="SimSun"/>
          <w:b/>
          <w:bCs/>
          <w:color w:val="000000"/>
          <w:sz w:val="26"/>
          <w:szCs w:val="26"/>
        </w:rPr>
        <w:t xml:space="preserve">Article 2 - Definitions and Interpretation</w:t>
      </w:r>
      <w:bookmarkEnd w:id="100001"/>
    </w:p>
    <w:p>
      <w:pPr>
        <w:spacing w:after="120" w:line="360"/>
        <w:ind w:left="720" w:hanging="720"/>
        <w:jc w:val="left"/>
      </w:pPr>
      <w:r>
        <w:rPr>
          <w:rFonts w:ascii="Times New Roman" w:eastAsia="SimSun"/>
          <w:b/>
          <w:bCs/>
          <w:color w:val="000000"/>
          <w:sz w:val="24"/>
          <w:szCs w:val="24"/>
        </w:rPr>
        <w:t xml:space="preserve">2.1	</w:t>
      </w:r>
      <w:r>
        <w:rPr>
          <w:rFonts w:ascii="Times New Roman" w:eastAsia="SimSun"/>
          <w:color w:val="000000"/>
          <w:sz w:val="24"/>
          <w:szCs w:val="24"/>
        </w:rPr>
        <w:t xml:space="preserve">In these Terms, the following definitions apply:</w:t>
      </w:r>
    </w:p>
    <w:p>
      <w:pPr>
        <w:spacing w:after="100" w:line="360"/>
        <w:ind w:left="1440" w:hanging="720"/>
        <w:jc w:val="left"/>
      </w:pPr>
      <w:r>
        <w:rPr>
          <w:rFonts w:ascii="Times New Roman" w:eastAsia="SimSun"/>
          <w:color w:val="000000"/>
          <w:sz w:val="24"/>
          <w:szCs w:val="24"/>
        </w:rPr>
        <w:t xml:space="preserve">(a)	</w:t>
      </w:r>
      <w:r>
        <w:rPr>
          <w:rFonts w:ascii="Times New Roman" w:eastAsia="SimSun"/>
          <w:color w:val="000000"/>
          <w:sz w:val="24"/>
          <w:szCs w:val="24"/>
        </w:rPr>
        <w:t xml:space="preserve">“Applicant” means a registered user who applies for overseas employment opportunities through the Platform.</w:t>
      </w:r>
    </w:p>
    <w:p>
      <w:pPr>
        <w:spacing w:after="100" w:line="360"/>
        <w:ind w:left="1440" w:hanging="720"/>
        <w:jc w:val="left"/>
      </w:pPr>
      <w:r>
        <w:rPr>
          <w:rFonts w:ascii="Times New Roman" w:eastAsia="SimSun"/>
          <w:color w:val="000000"/>
          <w:sz w:val="24"/>
          <w:szCs w:val="24"/>
        </w:rPr>
        <w:t xml:space="preserve">(b)	</w:t>
      </w:r>
      <w:r>
        <w:rPr>
          <w:rFonts w:ascii="Times New Roman" w:eastAsia="SimSun"/>
          <w:color w:val="000000"/>
          <w:sz w:val="24"/>
          <w:szCs w:val="24"/>
        </w:rPr>
        <w:t xml:space="preserve">“Agency” means a licensed manning or recruitment agency, whether local or international, that uses the Platform to source, screen, endorse, or process Applicants.</w:t>
      </w:r>
    </w:p>
    <w:p>
      <w:pPr>
        <w:spacing w:after="100" w:line="360"/>
        <w:ind w:left="1440" w:hanging="720"/>
        <w:jc w:val="left"/>
      </w:pPr>
      <w:r>
        <w:rPr>
          <w:rFonts w:ascii="Times New Roman" w:eastAsia="SimSun"/>
          <w:color w:val="000000"/>
          <w:sz w:val="24"/>
          <w:szCs w:val="24"/>
        </w:rPr>
        <w:t xml:space="preserve">(c)	</w:t>
      </w:r>
      <w:r>
        <w:rPr>
          <w:rFonts w:ascii="Times New Roman" w:eastAsia="SimSun"/>
          <w:color w:val="000000"/>
          <w:sz w:val="24"/>
          <w:szCs w:val="24"/>
        </w:rPr>
        <w:t xml:space="preserve">“Employer” means a foreign principal, company, household, or organization that posts Job Orders or receives endorsed candidates through the Platform.</w:t>
      </w:r>
    </w:p>
    <w:p>
      <w:pPr>
        <w:spacing w:after="100" w:line="360"/>
        <w:ind w:left="1440" w:hanging="720"/>
        <w:jc w:val="left"/>
      </w:pPr>
      <w:r>
        <w:rPr>
          <w:rFonts w:ascii="Times New Roman" w:eastAsia="SimSun"/>
          <w:color w:val="000000"/>
          <w:sz w:val="24"/>
          <w:szCs w:val="24"/>
        </w:rPr>
        <w:t xml:space="preserve">(d)	</w:t>
      </w:r>
      <w:r>
        <w:rPr>
          <w:rFonts w:ascii="Times New Roman" w:eastAsia="SimSun"/>
          <w:color w:val="000000"/>
          <w:sz w:val="24"/>
          <w:szCs w:val="24"/>
        </w:rPr>
        <w:t xml:space="preserve">“Partner Agency” means a land-based recruitment agency duly licensed by the Department of Migrant Workers (DMW) of the Republic of the Philippines that conducts licensing-regulated recruitment and placement activities in the Philippines in connection with the Platform, which may include MY K STAR International Manpower Services Corporation and such other agencies as we may appoint from time to time.</w:t>
      </w:r>
    </w:p>
    <w:p>
      <w:pPr>
        <w:spacing w:after="100" w:line="360"/>
        <w:ind w:left="1440" w:hanging="720"/>
        <w:jc w:val="left"/>
      </w:pPr>
      <w:r>
        <w:rPr>
          <w:rFonts w:ascii="Times New Roman" w:eastAsia="SimSun"/>
          <w:color w:val="000000"/>
          <w:sz w:val="24"/>
          <w:szCs w:val="24"/>
        </w:rPr>
        <w:t xml:space="preserve">(e)	</w:t>
      </w:r>
      <w:r>
        <w:rPr>
          <w:rFonts w:ascii="Times New Roman" w:eastAsia="SimSun"/>
          <w:color w:val="000000"/>
          <w:sz w:val="24"/>
          <w:szCs w:val="24"/>
        </w:rPr>
        <w:t xml:space="preserve">“Job Order” means a job posting or demand request published on the Platform by or on behalf of an Employer, including the position, country of destination, salary and benefits, qualifications, and required skills.</w:t>
      </w:r>
    </w:p>
    <w:p>
      <w:pPr>
        <w:spacing w:after="100" w:line="360"/>
        <w:ind w:left="1440" w:hanging="720"/>
        <w:jc w:val="left"/>
      </w:pPr>
      <w:r>
        <w:rPr>
          <w:rFonts w:ascii="Times New Roman" w:eastAsia="SimSun"/>
          <w:color w:val="000000"/>
          <w:sz w:val="24"/>
          <w:szCs w:val="24"/>
        </w:rPr>
        <w:t xml:space="preserve">(f)	</w:t>
      </w:r>
      <w:r>
        <w:rPr>
          <w:rFonts w:ascii="Times New Roman" w:eastAsia="SimSun"/>
          <w:color w:val="000000"/>
          <w:sz w:val="24"/>
          <w:szCs w:val="24"/>
        </w:rPr>
        <w:t xml:space="preserve">“Application” means a candidate's submission for a Job Order through the Platform and its associated review workflow.</w:t>
      </w:r>
    </w:p>
    <w:p>
      <w:pPr>
        <w:spacing w:after="100" w:line="360"/>
        <w:ind w:left="1440" w:hanging="720"/>
        <w:jc w:val="left"/>
      </w:pPr>
      <w:r>
        <w:rPr>
          <w:rFonts w:ascii="Times New Roman" w:eastAsia="SimSun"/>
          <w:color w:val="000000"/>
          <w:sz w:val="24"/>
          <w:szCs w:val="24"/>
        </w:rPr>
        <w:t xml:space="preserve">(g)	</w:t>
      </w:r>
      <w:r>
        <w:rPr>
          <w:rFonts w:ascii="Times New Roman" w:eastAsia="SimSun"/>
          <w:color w:val="000000"/>
          <w:sz w:val="24"/>
          <w:szCs w:val="24"/>
        </w:rPr>
        <w:t xml:space="preserve">“Endorsement” means the facilitated referral of an Applicant to an Employer through the two-step review workflow described in Article 11.</w:t>
      </w:r>
    </w:p>
    <w:p>
      <w:pPr>
        <w:spacing w:after="100" w:line="360"/>
        <w:ind w:left="1440" w:hanging="720"/>
        <w:jc w:val="left"/>
      </w:pPr>
      <w:r>
        <w:rPr>
          <w:rFonts w:ascii="Times New Roman" w:eastAsia="SimSun"/>
          <w:color w:val="000000"/>
          <w:sz w:val="24"/>
          <w:szCs w:val="24"/>
        </w:rPr>
        <w:t xml:space="preserve">(h)	</w:t>
      </w:r>
      <w:r>
        <w:rPr>
          <w:rFonts w:ascii="Times New Roman" w:eastAsia="SimSun"/>
          <w:color w:val="000000"/>
          <w:sz w:val="24"/>
          <w:szCs w:val="24"/>
        </w:rPr>
        <w:t xml:space="preserve">“Match Score” means the computer-generated similarity and suitability score described in Article 6.</w:t>
      </w:r>
    </w:p>
    <w:p>
      <w:pPr>
        <w:spacing w:after="100" w:line="360"/>
        <w:ind w:left="1440" w:hanging="720"/>
        <w:jc w:val="left"/>
      </w:pPr>
      <w:r>
        <w:rPr>
          <w:rFonts w:ascii="Times New Roman" w:eastAsia="SimSun"/>
          <w:color w:val="000000"/>
          <w:sz w:val="24"/>
          <w:szCs w:val="24"/>
        </w:rPr>
        <w:t xml:space="preserve">(i)	</w:t>
      </w:r>
      <w:r>
        <w:rPr>
          <w:rFonts w:ascii="Times New Roman" w:eastAsia="SimSun"/>
          <w:color w:val="000000"/>
          <w:sz w:val="24"/>
          <w:szCs w:val="24"/>
        </w:rPr>
        <w:t xml:space="preserve">“Content” means any text, documents, images, profiles, resumes, job postings, messages, and other materials submitted to or made available on the Platform.</w:t>
      </w:r>
    </w:p>
    <w:p>
      <w:pPr>
        <w:spacing w:after="100" w:line="360"/>
        <w:ind w:left="1440" w:hanging="720"/>
        <w:jc w:val="left"/>
      </w:pPr>
      <w:r>
        <w:rPr>
          <w:rFonts w:ascii="Times New Roman" w:eastAsia="SimSun"/>
          <w:color w:val="000000"/>
          <w:sz w:val="24"/>
          <w:szCs w:val="24"/>
        </w:rPr>
        <w:t xml:space="preserve">(j)	</w:t>
      </w:r>
      <w:r>
        <w:rPr>
          <w:rFonts w:ascii="Times New Roman" w:eastAsia="SimSun"/>
          <w:color w:val="000000"/>
          <w:sz w:val="24"/>
          <w:szCs w:val="24"/>
        </w:rPr>
        <w:t xml:space="preserve">“DMW” means the Department of Migrant Workers of the Republic of the Philippines, the successor of the Philippine Overseas Employment Administration (POEA).</w:t>
      </w:r>
    </w:p>
    <w:p>
      <w:pPr>
        <w:spacing w:after="120" w:line="360"/>
        <w:ind w:left="720" w:hanging="720"/>
        <w:jc w:val="left"/>
      </w:pPr>
      <w:r>
        <w:rPr>
          <w:rFonts w:ascii="Times New Roman" w:eastAsia="SimSun"/>
          <w:b/>
          <w:bCs/>
          <w:color w:val="000000"/>
          <w:sz w:val="24"/>
          <w:szCs w:val="24"/>
        </w:rPr>
        <w:t xml:space="preserve">2.2	</w:t>
      </w:r>
      <w:r>
        <w:rPr>
          <w:rFonts w:ascii="Times New Roman" w:eastAsia="SimSun"/>
          <w:color w:val="000000"/>
          <w:sz w:val="24"/>
          <w:szCs w:val="24"/>
        </w:rPr>
        <w:t xml:space="preserve">Headings are for convenience only and shall not affect interpretation. Words importing the singular include the plural and vice versa. References to statutes include amendments, re-enactments, and implementing rules and regulations issued under them.</w:t>
      </w:r>
    </w:p>
    <w:p>
      <w:pPr>
        <w:pStyle w:val="Heading1"/>
        <w:keepNext/>
        <w:spacing w:after="160" w:before="360" w:line="360"/>
      </w:pPr>
      <w:bookmarkStart w:id="100002" w:name="_Toc100002"/>
      <w:r>
        <w:rPr>
          <w:rFonts w:ascii="Times New Roman" w:eastAsia="SimSun"/>
          <w:b/>
          <w:bCs/>
          <w:color w:val="000000"/>
          <w:sz w:val="26"/>
          <w:szCs w:val="26"/>
        </w:rPr>
        <w:t xml:space="preserve">Article 3 - About the Platform and Our Role</w:t>
      </w:r>
      <w:bookmarkEnd w:id="100002"/>
    </w:p>
    <w:p>
      <w:pPr>
        <w:spacing w:after="120" w:line="360"/>
        <w:ind w:left="720" w:hanging="720"/>
        <w:jc w:val="left"/>
      </w:pPr>
      <w:r>
        <w:rPr>
          <w:rFonts w:ascii="Times New Roman" w:eastAsia="SimSun"/>
          <w:b/>
          <w:bCs/>
          <w:color w:val="000000"/>
          <w:sz w:val="24"/>
          <w:szCs w:val="24"/>
        </w:rPr>
        <w:t xml:space="preserve">3.1	</w:t>
      </w:r>
      <w:r>
        <w:rPr>
          <w:rFonts w:ascii="Times New Roman" w:eastAsia="SimSun"/>
          <w:color w:val="000000"/>
          <w:sz w:val="24"/>
          <w:szCs w:val="24"/>
        </w:rPr>
        <w:t xml:space="preserve">The Platform is an online matching, facilitation, and workflow-management system that connects Filipino and other Applicants with international Employers, principally for deployment to Morocco and other destinations, through licensed Agencies and Partner Agencies. The Platform provides job discovery, profile management, automated matching, application tracking, endorsement workflow, document management, and related communication features.</w:t>
      </w:r>
    </w:p>
    <w:p>
      <w:pPr>
        <w:spacing w:after="120" w:line="360"/>
        <w:ind w:left="720" w:hanging="720"/>
        <w:jc w:val="left"/>
      </w:pPr>
      <w:r>
        <w:rPr>
          <w:rFonts w:ascii="Times New Roman" w:eastAsia="SimSun"/>
          <w:b/>
          <w:bCs/>
          <w:color w:val="000000"/>
          <w:sz w:val="24"/>
          <w:szCs w:val="24"/>
        </w:rPr>
        <w:t xml:space="preserve">3.2	</w:t>
      </w:r>
      <w:r>
        <w:rPr>
          <w:rFonts w:ascii="Times New Roman" w:eastAsia="SimSun"/>
          <w:color w:val="000000"/>
          <w:sz w:val="24"/>
          <w:szCs w:val="24"/>
        </w:rPr>
        <w:t xml:space="preserve">We operate the Platform as a facilitator. FIRA, the Platform, and our technology providers are not the employer of any Applicant, are not a party to any employment contract between an Applicant and an Employer, and do not assume any obligation of an employer under any applicable labour or social legislation.</w:t>
      </w:r>
    </w:p>
    <w:p>
      <w:pPr>
        <w:spacing w:after="120" w:line="360"/>
        <w:ind w:left="720" w:hanging="720"/>
        <w:jc w:val="left"/>
      </w:pPr>
      <w:r>
        <w:rPr>
          <w:rFonts w:ascii="Times New Roman" w:eastAsia="SimSun"/>
          <w:b/>
          <w:bCs/>
          <w:color w:val="000000"/>
          <w:sz w:val="24"/>
          <w:szCs w:val="24"/>
        </w:rPr>
        <w:t xml:space="preserve">3.3	</w:t>
      </w:r>
      <w:r>
        <w:rPr>
          <w:rFonts w:ascii="Times New Roman" w:eastAsia="SimSun"/>
          <w:color w:val="000000"/>
          <w:sz w:val="24"/>
          <w:szCs w:val="24"/>
        </w:rPr>
        <w:t xml:space="preserve">Recruitment and placement activities that are regulated under Philippine law, including the recruitment and deployment of Overseas Filipino Workers, are conducted exclusively through Partner Agencies duly licensed by the DMW. Platform features do not themselves constitute licensed recruitment activity, and nothing in these Terms authorizes any unlicensed person or entity to engage in regulated recruitment and placement.</w:t>
      </w:r>
    </w:p>
    <w:p>
      <w:pPr>
        <w:spacing w:after="120" w:line="360"/>
        <w:ind w:left="720" w:hanging="720"/>
        <w:jc w:val="left"/>
      </w:pPr>
      <w:r>
        <w:rPr>
          <w:rFonts w:ascii="Times New Roman" w:eastAsia="SimSun"/>
          <w:b/>
          <w:bCs/>
          <w:color w:val="000000"/>
          <w:sz w:val="24"/>
          <w:szCs w:val="24"/>
        </w:rPr>
        <w:t xml:space="preserve">3.4	</w:t>
      </w:r>
      <w:r>
        <w:rPr>
          <w:rFonts w:ascii="Times New Roman" w:eastAsia="SimSun"/>
          <w:color w:val="000000"/>
          <w:sz w:val="24"/>
          <w:szCs w:val="24"/>
        </w:rPr>
        <w:t xml:space="preserve">Employment offers, employment contracts, salaries, benefits, working conditions, and deployment are determined solely by the Employer and processed in accordance with the applicable laws of the Philippines, the country of destination, and any applicable bilateral labour agreement. We do not guarantee that any Application will result in an interview, an offer, deployment, or continued employment.</w:t>
      </w:r>
    </w:p>
    <w:p>
      <w:pPr>
        <w:pStyle w:val="Heading1"/>
        <w:keepNext/>
        <w:spacing w:after="160" w:before="360" w:line="360"/>
      </w:pPr>
      <w:bookmarkStart w:id="100003" w:name="_Toc100003"/>
      <w:r>
        <w:rPr>
          <w:rFonts w:ascii="Times New Roman" w:eastAsia="SimSun"/>
          <w:b/>
          <w:bCs/>
          <w:color w:val="000000"/>
          <w:sz w:val="26"/>
          <w:szCs w:val="26"/>
        </w:rPr>
        <w:t xml:space="preserve">Article 4 - Eligibility, Registration and Accounts</w:t>
      </w:r>
      <w:bookmarkEnd w:id="100003"/>
    </w:p>
    <w:p>
      <w:pPr>
        <w:spacing w:after="120" w:line="360"/>
        <w:ind w:left="720" w:hanging="720"/>
        <w:jc w:val="left"/>
      </w:pPr>
      <w:r>
        <w:rPr>
          <w:rFonts w:ascii="Times New Roman" w:eastAsia="SimSun"/>
          <w:b/>
          <w:bCs/>
          <w:color w:val="000000"/>
          <w:sz w:val="24"/>
          <w:szCs w:val="24"/>
        </w:rPr>
        <w:t xml:space="preserve">4.1	</w:t>
      </w:r>
      <w:r>
        <w:rPr>
          <w:rFonts w:ascii="Times New Roman" w:eastAsia="SimSun"/>
          <w:color w:val="000000"/>
          <w:sz w:val="24"/>
          <w:szCs w:val="24"/>
        </w:rPr>
        <w:t xml:space="preserve">To register an Account, you shall provide accurate, complete, and current information, including your legal name, a valid email address, and, where applicable, your contact number and credentials. You shall update your information whenever it changes.</w:t>
      </w:r>
    </w:p>
    <w:p>
      <w:pPr>
        <w:spacing w:after="120" w:line="360"/>
        <w:ind w:left="720" w:hanging="720"/>
        <w:jc w:val="left"/>
      </w:pPr>
      <w:r>
        <w:rPr>
          <w:rFonts w:ascii="Times New Roman" w:eastAsia="SimSun"/>
          <w:b/>
          <w:bCs/>
          <w:color w:val="000000"/>
          <w:sz w:val="24"/>
          <w:szCs w:val="24"/>
        </w:rPr>
        <w:t xml:space="preserve">4.2	</w:t>
      </w:r>
      <w:r>
        <w:rPr>
          <w:rFonts w:ascii="Times New Roman" w:eastAsia="SimSun"/>
          <w:color w:val="000000"/>
          <w:sz w:val="24"/>
          <w:szCs w:val="24"/>
        </w:rPr>
        <w:t xml:space="preserve">You shall keep your credentials confidential and are responsible for all activity that occurs under your Account. You shall notify us immediately of any unauthorized use or security breach through the contact details in Article 23.</w:t>
      </w:r>
    </w:p>
    <w:p>
      <w:pPr>
        <w:spacing w:after="120" w:line="360"/>
        <w:ind w:left="720" w:hanging="720"/>
        <w:jc w:val="left"/>
      </w:pPr>
      <w:r>
        <w:rPr>
          <w:rFonts w:ascii="Times New Roman" w:eastAsia="SimSun"/>
          <w:b/>
          <w:bCs/>
          <w:color w:val="000000"/>
          <w:sz w:val="24"/>
          <w:szCs w:val="24"/>
        </w:rPr>
        <w:t xml:space="preserve">4.3	</w:t>
      </w:r>
      <w:r>
        <w:rPr>
          <w:rFonts w:ascii="Times New Roman" w:eastAsia="SimSun"/>
          <w:color w:val="000000"/>
          <w:sz w:val="24"/>
          <w:szCs w:val="24"/>
        </w:rPr>
        <w:t xml:space="preserve">One person or organization shall maintain only one principal Account unless we approve otherwise in writing. Accounts may be suspended where duplicate, fraudulent, or misrepresented registrations are detected.</w:t>
      </w:r>
    </w:p>
    <w:p>
      <w:pPr>
        <w:spacing w:after="120" w:line="360"/>
        <w:ind w:left="720" w:hanging="720"/>
        <w:jc w:val="left"/>
      </w:pPr>
      <w:r>
        <w:rPr>
          <w:rFonts w:ascii="Times New Roman" w:eastAsia="SimSun"/>
          <w:b/>
          <w:bCs/>
          <w:color w:val="000000"/>
          <w:sz w:val="24"/>
          <w:szCs w:val="24"/>
        </w:rPr>
        <w:t xml:space="preserve">4.4	</w:t>
      </w:r>
      <w:r>
        <w:rPr>
          <w:rFonts w:ascii="Times New Roman" w:eastAsia="SimSun"/>
          <w:color w:val="000000"/>
          <w:sz w:val="24"/>
          <w:szCs w:val="24"/>
        </w:rPr>
        <w:t xml:space="preserve">Applicant accounts may additionally require profile completion, identity details, and supporting documents before certain features, such as endorsement to Employers, become available. We may approve, defer, or decline activations at our reasonable discretion in accordance with Article 7.</w:t>
      </w:r>
    </w:p>
    <w:p>
      <w:pPr>
        <w:pStyle w:val="Heading1"/>
        <w:keepNext/>
        <w:spacing w:after="160" w:before="360" w:line="360"/>
      </w:pPr>
      <w:bookmarkStart w:id="100004" w:name="_Toc100004"/>
      <w:r>
        <w:rPr>
          <w:rFonts w:ascii="Times New Roman" w:eastAsia="SimSun"/>
          <w:b/>
          <w:bCs/>
          <w:color w:val="000000"/>
          <w:sz w:val="26"/>
          <w:szCs w:val="26"/>
        </w:rPr>
        <w:t xml:space="preserve">Article 5 - User Roles and Scope of Use</w:t>
      </w:r>
      <w:bookmarkEnd w:id="100004"/>
    </w:p>
    <w:p>
      <w:pPr>
        <w:spacing w:after="120" w:line="360"/>
        <w:ind w:left="720" w:hanging="720"/>
        <w:jc w:val="left"/>
      </w:pPr>
      <w:r>
        <w:rPr>
          <w:rFonts w:ascii="Times New Roman" w:eastAsia="SimSun"/>
          <w:b/>
          <w:bCs/>
          <w:color w:val="000000"/>
          <w:sz w:val="24"/>
          <w:szCs w:val="24"/>
        </w:rPr>
        <w:t xml:space="preserve">5.1	</w:t>
      </w:r>
      <w:r>
        <w:rPr>
          <w:rFonts w:ascii="Times New Roman" w:eastAsia="SimSun"/>
          <w:color w:val="000000"/>
          <w:sz w:val="24"/>
          <w:szCs w:val="24"/>
        </w:rPr>
        <w:t xml:space="preserve">The Platform grants role-based access. Each role may use only those features assigned to it, and you shall not attempt to access features, data, or workspaces of another role.</w:t>
      </w:r>
    </w:p>
    <w:p>
      <w:pPr>
        <w:spacing w:after="120" w:line="360"/>
        <w:ind w:left="720" w:hanging="720"/>
        <w:jc w:val="left"/>
      </w:pPr>
      <w:r>
        <w:rPr>
          <w:rFonts w:ascii="Times New Roman" w:eastAsia="SimSun"/>
          <w:b/>
          <w:bCs/>
          <w:color w:val="000000"/>
          <w:sz w:val="24"/>
          <w:szCs w:val="24"/>
        </w:rPr>
        <w:t xml:space="preserve">5.2	</w:t>
      </w:r>
      <w:r>
        <w:rPr>
          <w:rFonts w:ascii="Times New Roman" w:eastAsia="SimSun"/>
          <w:color w:val="000000"/>
          <w:sz w:val="24"/>
          <w:szCs w:val="24"/>
        </w:rPr>
        <w:t xml:space="preserve">Applicants may browse published Job Orders, maintain their profile and documents, submit Applications, receive Match Scores, and track their Application status.</w:t>
      </w:r>
    </w:p>
    <w:p>
      <w:pPr>
        <w:spacing w:after="120" w:line="360"/>
        <w:ind w:left="720" w:hanging="720"/>
        <w:jc w:val="left"/>
      </w:pPr>
      <w:r>
        <w:rPr>
          <w:rFonts w:ascii="Times New Roman" w:eastAsia="SimSun"/>
          <w:b/>
          <w:bCs/>
          <w:color w:val="000000"/>
          <w:sz w:val="24"/>
          <w:szCs w:val="24"/>
        </w:rPr>
        <w:t xml:space="preserve">5.3	</w:t>
      </w:r>
      <w:r>
        <w:rPr>
          <w:rFonts w:ascii="Times New Roman" w:eastAsia="SimSun"/>
          <w:color w:val="000000"/>
          <w:sz w:val="24"/>
          <w:szCs w:val="24"/>
        </w:rPr>
        <w:t xml:space="preserve">Agencies may manage endorsed or assigned Applicants, conduct screening and interview stages, prepare endorsements, and perform workflow actions within their authorization level.</w:t>
      </w:r>
    </w:p>
    <w:p>
      <w:pPr>
        <w:spacing w:after="120" w:line="360"/>
        <w:ind w:left="720" w:hanging="720"/>
        <w:jc w:val="left"/>
      </w:pPr>
      <w:r>
        <w:rPr>
          <w:rFonts w:ascii="Times New Roman" w:eastAsia="SimSun"/>
          <w:b/>
          <w:bCs/>
          <w:color w:val="000000"/>
          <w:sz w:val="24"/>
          <w:szCs w:val="24"/>
        </w:rPr>
        <w:t xml:space="preserve">5.4	</w:t>
      </w:r>
      <w:r>
        <w:rPr>
          <w:rFonts w:ascii="Times New Roman" w:eastAsia="SimSun"/>
          <w:color w:val="000000"/>
          <w:sz w:val="24"/>
          <w:szCs w:val="24"/>
        </w:rPr>
        <w:t xml:space="preserve">Employers may publish approved Job Orders, review endorsed candidates with their Match Scores, and accept or decline endorsements.</w:t>
      </w:r>
    </w:p>
    <w:p>
      <w:pPr>
        <w:spacing w:after="120" w:line="360"/>
        <w:ind w:left="720" w:hanging="720"/>
        <w:jc w:val="left"/>
      </w:pPr>
      <w:r>
        <w:rPr>
          <w:rFonts w:ascii="Times New Roman" w:eastAsia="SimSun"/>
          <w:b/>
          <w:bCs/>
          <w:color w:val="000000"/>
          <w:sz w:val="24"/>
          <w:szCs w:val="24"/>
        </w:rPr>
        <w:t xml:space="preserve">5.5	</w:t>
      </w:r>
      <w:r>
        <w:rPr>
          <w:rFonts w:ascii="Times New Roman" w:eastAsia="SimSun"/>
          <w:color w:val="000000"/>
          <w:sz w:val="24"/>
          <w:szCs w:val="24"/>
        </w:rPr>
        <w:t xml:space="preserve">FIRA administrative personnel operate governance functions, including compliance review, verification, and endorsement approval, in accordance with our internal policies and applicable regulations.</w:t>
      </w:r>
    </w:p>
    <w:p>
      <w:pPr>
        <w:pStyle w:val="Heading1"/>
        <w:keepNext/>
        <w:spacing w:after="160" w:before="360" w:line="360"/>
      </w:pPr>
      <w:bookmarkStart w:id="100005" w:name="_Toc100005"/>
      <w:r>
        <w:rPr>
          <w:rFonts w:ascii="Times New Roman" w:eastAsia="SimSun"/>
          <w:b/>
          <w:bCs/>
          <w:color w:val="000000"/>
          <w:sz w:val="26"/>
          <w:szCs w:val="26"/>
        </w:rPr>
        <w:t xml:space="preserve">Article 6 - AI-Assisted Matching and Assessment</w:t>
      </w:r>
      <w:bookmarkEnd w:id="100005"/>
    </w:p>
    <w:p>
      <w:pPr>
        <w:spacing w:after="120" w:line="360"/>
        <w:ind w:left="720" w:hanging="720"/>
        <w:jc w:val="left"/>
      </w:pPr>
      <w:r>
        <w:rPr>
          <w:rFonts w:ascii="Times New Roman" w:eastAsia="SimSun"/>
          <w:b/>
          <w:bCs/>
          <w:color w:val="000000"/>
          <w:sz w:val="24"/>
          <w:szCs w:val="24"/>
        </w:rPr>
        <w:t xml:space="preserve">6.1	</w:t>
      </w:r>
      <w:r>
        <w:rPr>
          <w:rFonts w:ascii="Times New Roman" w:eastAsia="SimSun"/>
          <w:color w:val="000000"/>
          <w:sz w:val="24"/>
          <w:szCs w:val="24"/>
        </w:rPr>
        <w:t xml:space="preserve">The Platform automatically evaluates and assesses the information you provide in order to produce a Match Score for each Applicant and Job Order pair. The Match Score is computed by combining, in substantially the following weights: (a) semantic similarity between the Applicant's resume or profile narrative and the Job Order description, weighted at forty percent (40%); (b) skills overlap between the Applicant's declared skills and the Job Order's required skills, weighted at forty percent (40%); and (c) experience factor derived from the Applicant's years of relevant experience, weighted at twenty percent (20%). The resulting score is expressed on a scale of zero (0) to one hundred (100).</w:t>
      </w:r>
    </w:p>
    <w:p>
      <w:pPr>
        <w:spacing w:after="120" w:line="360"/>
        <w:ind w:left="720" w:hanging="720"/>
        <w:jc w:val="left"/>
      </w:pPr>
      <w:r>
        <w:rPr>
          <w:rFonts w:ascii="Times New Roman" w:eastAsia="SimSun"/>
          <w:b/>
          <w:bCs/>
          <w:color w:val="000000"/>
          <w:sz w:val="24"/>
          <w:szCs w:val="24"/>
        </w:rPr>
        <w:t xml:space="preserve">6.2	</w:t>
      </w:r>
      <w:r>
        <w:rPr>
          <w:rFonts w:ascii="Times New Roman" w:eastAsia="SimSun"/>
          <w:color w:val="000000"/>
          <w:sz w:val="24"/>
          <w:szCs w:val="24"/>
        </w:rPr>
        <w:t xml:space="preserve">The Match Score is generated for decision-support purposes only. It is an estimate of textual and skill-based similarity at the time of computation. It is not a measure of a person's worth, competence, character, or entitlement to employment, and it shall not be treated as a guarantee of any outcome.</w:t>
      </w:r>
    </w:p>
    <w:p>
      <w:pPr>
        <w:spacing w:after="120" w:line="360"/>
        <w:ind w:left="720" w:hanging="720"/>
        <w:jc w:val="left"/>
      </w:pPr>
      <w:r>
        <w:rPr>
          <w:rFonts w:ascii="Times New Roman" w:eastAsia="SimSun"/>
          <w:b/>
          <w:bCs/>
          <w:color w:val="000000"/>
          <w:sz w:val="24"/>
          <w:szCs w:val="24"/>
        </w:rPr>
        <w:t xml:space="preserve">6.3	</w:t>
      </w:r>
      <w:r>
        <w:rPr>
          <w:rFonts w:ascii="Times New Roman" w:eastAsia="SimSun"/>
          <w:color w:val="000000"/>
          <w:sz w:val="24"/>
          <w:szCs w:val="24"/>
        </w:rPr>
        <w:t xml:space="preserve">Match Scores do not, by themselves, decide any Application. Every progression through the workflow, including shortlisting, endorsement approval, and Employer acceptance, involves human review by FIRA personnel, an Agency, or an Employer, as applicable.</w:t>
      </w:r>
    </w:p>
    <w:p>
      <w:pPr>
        <w:spacing w:after="120" w:line="360"/>
        <w:ind w:left="720" w:hanging="720"/>
        <w:jc w:val="left"/>
      </w:pPr>
      <w:r>
        <w:rPr>
          <w:rFonts w:ascii="Times New Roman" w:eastAsia="SimSun"/>
          <w:b/>
          <w:bCs/>
          <w:color w:val="000000"/>
          <w:sz w:val="24"/>
          <w:szCs w:val="24"/>
        </w:rPr>
        <w:t xml:space="preserve">6.4	</w:t>
      </w:r>
      <w:r>
        <w:rPr>
          <w:rFonts w:ascii="Times New Roman" w:eastAsia="SimSun"/>
          <w:color w:val="000000"/>
          <w:sz w:val="24"/>
          <w:szCs w:val="24"/>
        </w:rPr>
        <w:t xml:space="preserve">You acknowledge and accept that automated processing of the kind described in this Article is a core feature of the Platform. Where the automated processing of your personal data requires your consent under applicable data protection law, including Republic Act No. 10173 (the “Data Privacy Act”), such consent is requested at registration; you may withdraw it or request human review of any automated result in accordance with the Privacy Policy, understanding that essential matching features may cease to function upon such withdrawal.</w:t>
      </w:r>
    </w:p>
    <w:p>
      <w:pPr>
        <w:spacing w:after="120" w:line="360"/>
        <w:ind w:left="720" w:hanging="720"/>
        <w:jc w:val="left"/>
      </w:pPr>
      <w:r>
        <w:rPr>
          <w:rFonts w:ascii="Times New Roman" w:eastAsia="SimSun"/>
          <w:b/>
          <w:bCs/>
          <w:color w:val="000000"/>
          <w:sz w:val="24"/>
          <w:szCs w:val="24"/>
        </w:rPr>
        <w:t xml:space="preserve">6.5	</w:t>
      </w:r>
      <w:r>
        <w:rPr>
          <w:rFonts w:ascii="Times New Roman" w:eastAsia="SimSun"/>
          <w:color w:val="000000"/>
          <w:sz w:val="24"/>
          <w:szCs w:val="24"/>
        </w:rPr>
        <w:t xml:space="preserve">We may improve, recalibrate, or replace the matching methodology from time to time. Material changes that affect how your information is evaluated shall be described in an updated Privacy Policy or by notice on the Platform.</w:t>
      </w:r>
    </w:p>
    <w:p>
      <w:pPr>
        <w:pStyle w:val="Heading1"/>
        <w:keepNext/>
        <w:spacing w:after="160" w:before="360" w:line="360"/>
      </w:pPr>
      <w:bookmarkStart w:id="100006" w:name="_Toc100006"/>
      <w:r>
        <w:rPr>
          <w:rFonts w:ascii="Times New Roman" w:eastAsia="SimSun"/>
          <w:b/>
          <w:bCs/>
          <w:color w:val="000000"/>
          <w:sz w:val="26"/>
          <w:szCs w:val="26"/>
        </w:rPr>
        <w:t xml:space="preserve">Article 7 - Verification, Licensing and Anti-Illegal Recruitment</w:t>
      </w:r>
      <w:bookmarkEnd w:id="100006"/>
    </w:p>
    <w:p>
      <w:pPr>
        <w:spacing w:after="120" w:line="360"/>
        <w:ind w:left="720" w:hanging="720"/>
        <w:jc w:val="left"/>
      </w:pPr>
      <w:r>
        <w:rPr>
          <w:rFonts w:ascii="Times New Roman" w:eastAsia="SimSun"/>
          <w:b/>
          <w:bCs/>
          <w:color w:val="000000"/>
          <w:sz w:val="24"/>
          <w:szCs w:val="24"/>
        </w:rPr>
        <w:t xml:space="preserve">7.1	</w:t>
      </w:r>
      <w:r>
        <w:rPr>
          <w:rFonts w:ascii="Times New Roman" w:eastAsia="SimSun"/>
          <w:color w:val="000000"/>
          <w:sz w:val="24"/>
          <w:szCs w:val="24"/>
        </w:rPr>
        <w:t xml:space="preserve">Agencies. An Agency shall, before using Platform features that involve Philippine-sourced workers, hold a valid license from the DMW or the equivalent authority of its jurisdiction, and shall provide its license number and validity details for verification. The Platform may display verified license information on Agency profiles.</w:t>
      </w:r>
    </w:p>
    <w:p>
      <w:pPr>
        <w:spacing w:after="120" w:line="360"/>
        <w:ind w:left="720" w:hanging="720"/>
        <w:jc w:val="left"/>
      </w:pPr>
      <w:r>
        <w:rPr>
          <w:rFonts w:ascii="Times New Roman" w:eastAsia="SimSun"/>
          <w:b/>
          <w:bCs/>
          <w:color w:val="000000"/>
          <w:sz w:val="24"/>
          <w:szCs w:val="24"/>
        </w:rPr>
        <w:t xml:space="preserve">7.2	</w:t>
      </w:r>
      <w:r>
        <w:rPr>
          <w:rFonts w:ascii="Times New Roman" w:eastAsia="SimSun"/>
          <w:color w:val="000000"/>
          <w:sz w:val="24"/>
          <w:szCs w:val="24"/>
        </w:rPr>
        <w:t xml:space="preserve">Employers. An Employer shall submit business registration documents and, where the Employer intends to hire Overseas Filipino Workers, the applicable DMW accreditation or job order approval documents. We may condition Job Order publication and Endorsement on satisfactory verification.</w:t>
      </w:r>
    </w:p>
    <w:p>
      <w:pPr>
        <w:spacing w:after="120" w:line="360"/>
        <w:ind w:left="720" w:hanging="720"/>
        <w:jc w:val="left"/>
      </w:pPr>
      <w:r>
        <w:rPr>
          <w:rFonts w:ascii="Times New Roman" w:eastAsia="SimSun"/>
          <w:b/>
          <w:bCs/>
          <w:color w:val="000000"/>
          <w:sz w:val="24"/>
          <w:szCs w:val="24"/>
        </w:rPr>
        <w:t xml:space="preserve">7.3	</w:t>
      </w:r>
      <w:r>
        <w:rPr>
          <w:rFonts w:ascii="Times New Roman" w:eastAsia="SimSun"/>
          <w:color w:val="000000"/>
          <w:sz w:val="24"/>
          <w:szCs w:val="24"/>
        </w:rPr>
        <w:t xml:space="preserve">Applicants. An Applicant certifies that all personal information, identity documents, educational records, training certificates, and experience documents submitted to the Platform are authentic, accurate, and belong to the Applicant. Submission of forged, falsified, or third-party documents is a material breach of these Terms.</w:t>
      </w:r>
    </w:p>
    <w:p>
      <w:pPr>
        <w:spacing w:after="120" w:line="360"/>
        <w:ind w:left="720" w:hanging="720"/>
        <w:jc w:val="left"/>
      </w:pPr>
      <w:r>
        <w:rPr>
          <w:rFonts w:ascii="Times New Roman" w:eastAsia="SimSun"/>
          <w:b/>
          <w:bCs/>
          <w:color w:val="000000"/>
          <w:sz w:val="24"/>
          <w:szCs w:val="24"/>
        </w:rPr>
        <w:t xml:space="preserve">7.4	</w:t>
      </w:r>
      <w:r>
        <w:rPr>
          <w:rFonts w:ascii="Times New Roman" w:eastAsia="SimSun"/>
          <w:color w:val="000000"/>
          <w:sz w:val="24"/>
          <w:szCs w:val="24"/>
        </w:rPr>
        <w:t xml:space="preserve">Anti-illegal recruitment. Illegal recruitment and other prohibited practices under Republic Act No. 8042, as amended, and its implementing rules are strictly prohibited on the Platform. No User shall, through the Platform: charge or collect placement or recruitment fees from Applicants except as allowed under the DMW schedule of fees; promise employment that does not exist; deploy or advertise for deployment without the required licenses and approvals; or misrepresent licenses, approvals, job sites, or terms of employment.</w:t>
      </w:r>
    </w:p>
    <w:p>
      <w:pPr>
        <w:spacing w:after="120" w:line="360"/>
        <w:ind w:left="720" w:hanging="720"/>
        <w:jc w:val="left"/>
      </w:pPr>
      <w:r>
        <w:rPr>
          <w:rFonts w:ascii="Times New Roman" w:eastAsia="SimSun"/>
          <w:b/>
          <w:bCs/>
          <w:color w:val="000000"/>
          <w:sz w:val="24"/>
          <w:szCs w:val="24"/>
        </w:rPr>
        <w:t xml:space="preserve">7.5	</w:t>
      </w:r>
      <w:r>
        <w:rPr>
          <w:rFonts w:ascii="Times New Roman" w:eastAsia="SimSun"/>
          <w:color w:val="000000"/>
          <w:sz w:val="24"/>
          <w:szCs w:val="24"/>
        </w:rPr>
        <w:t xml:space="preserve">We may request additional verification at any time, conduct periodic re-verification, and suspend or remove any User whose licenses, accreditations, or documents lapse, are revoked, or are found to be misrepresented. Suspected illegal recruitment or document fraud may be reported to the DMW, the National Privacy Commission where applicable, and other competent authorities.</w:t>
      </w:r>
    </w:p>
    <w:p>
      <w:pPr>
        <w:pStyle w:val="Heading1"/>
        <w:keepNext/>
        <w:spacing w:after="160" w:before="360" w:line="360"/>
      </w:pPr>
      <w:bookmarkStart w:id="100007" w:name="_Toc100007"/>
      <w:r>
        <w:rPr>
          <w:rFonts w:ascii="Times New Roman" w:eastAsia="SimSun"/>
          <w:b/>
          <w:bCs/>
          <w:color w:val="000000"/>
          <w:sz w:val="26"/>
          <w:szCs w:val="26"/>
        </w:rPr>
        <w:t xml:space="preserve">Article 8 - Applicants' Obligations</w:t>
      </w:r>
      <w:bookmarkEnd w:id="100007"/>
    </w:p>
    <w:p>
      <w:pPr>
        <w:spacing w:after="120" w:line="360"/>
        <w:ind w:left="720" w:hanging="720"/>
        <w:jc w:val="left"/>
      </w:pPr>
      <w:r>
        <w:rPr>
          <w:rFonts w:ascii="Times New Roman" w:eastAsia="SimSun"/>
          <w:b/>
          <w:bCs/>
          <w:color w:val="000000"/>
          <w:sz w:val="24"/>
          <w:szCs w:val="24"/>
        </w:rPr>
        <w:t xml:space="preserve">8.1	</w:t>
      </w:r>
      <w:r>
        <w:rPr>
          <w:rFonts w:ascii="Times New Roman" w:eastAsia="SimSun"/>
          <w:color w:val="000000"/>
          <w:sz w:val="24"/>
          <w:szCs w:val="24"/>
        </w:rPr>
        <w:t xml:space="preserve">An Applicant shall: provide truthful and complete profile information; keep documents current, including passport, medical, and training documents; use the Platform only for the Applicant's own job seeking; and communicate respectfully with Agencies, Employers, and Platform personnel.</w:t>
      </w:r>
    </w:p>
    <w:p>
      <w:pPr>
        <w:spacing w:after="120" w:line="360"/>
        <w:ind w:left="720" w:hanging="720"/>
        <w:jc w:val="left"/>
      </w:pPr>
      <w:r>
        <w:rPr>
          <w:rFonts w:ascii="Times New Roman" w:eastAsia="SimSun"/>
          <w:b/>
          <w:bCs/>
          <w:color w:val="000000"/>
          <w:sz w:val="24"/>
          <w:szCs w:val="24"/>
        </w:rPr>
        <w:t xml:space="preserve">8.2	</w:t>
      </w:r>
      <w:r>
        <w:rPr>
          <w:rFonts w:ascii="Times New Roman" w:eastAsia="SimSun"/>
          <w:color w:val="000000"/>
          <w:sz w:val="24"/>
          <w:szCs w:val="24"/>
        </w:rPr>
        <w:t xml:space="preserve">An Applicant shall not: create multiple candidate profiles; submit another person's documents or identity; pay any fee to any person in exchange for employment through the Platform except fees expressly allowed under the DMW schedule of fees and officially receipted by the licensed entity; or circumvent the Platform workflow, including by soliciting or accepting off-platform deployment arrangements that evade verification and government-mandated documentation.</w:t>
      </w:r>
    </w:p>
    <w:p>
      <w:pPr>
        <w:spacing w:after="120" w:line="360"/>
        <w:ind w:left="720" w:hanging="720"/>
        <w:jc w:val="left"/>
      </w:pPr>
      <w:r>
        <w:rPr>
          <w:rFonts w:ascii="Times New Roman" w:eastAsia="SimSun"/>
          <w:b/>
          <w:bCs/>
          <w:color w:val="000000"/>
          <w:sz w:val="24"/>
          <w:szCs w:val="24"/>
        </w:rPr>
        <w:t xml:space="preserve">8.3	</w:t>
      </w:r>
      <w:r>
        <w:rPr>
          <w:rFonts w:ascii="Times New Roman" w:eastAsia="SimSun"/>
          <w:color w:val="000000"/>
          <w:sz w:val="24"/>
          <w:szCs w:val="24"/>
        </w:rPr>
        <w:t xml:space="preserve">An Applicant may withdraw an Application at any time before deployment through the Platform's withdrawal feature. Withdrawal after endorsement may affect future matching eligibility in accordance with our internal policies.</w:t>
      </w:r>
    </w:p>
    <w:p>
      <w:pPr>
        <w:spacing w:after="120" w:line="360"/>
        <w:ind w:left="720" w:hanging="720"/>
        <w:jc w:val="left"/>
      </w:pPr>
      <w:r>
        <w:rPr>
          <w:rFonts w:ascii="Times New Roman" w:eastAsia="SimSun"/>
          <w:b/>
          <w:bCs/>
          <w:color w:val="000000"/>
          <w:sz w:val="24"/>
          <w:szCs w:val="24"/>
        </w:rPr>
        <w:t xml:space="preserve">8.4	</w:t>
      </w:r>
      <w:r>
        <w:rPr>
          <w:rFonts w:ascii="Times New Roman" w:eastAsia="SimSun"/>
          <w:color w:val="000000"/>
          <w:sz w:val="24"/>
          <w:szCs w:val="24"/>
        </w:rPr>
        <w:t xml:space="preserve">An Applicant acknowledges that deployment is contingent on, among others, passing medical examinations, completing required training and documentation, securing the applicable visa or work permit, and the issuance of government clearances, and that we and the Partner Agencies do not control and do not guarantee these outcomes.</w:t>
      </w:r>
    </w:p>
    <w:p>
      <w:pPr>
        <w:pStyle w:val="Heading1"/>
        <w:keepNext/>
        <w:spacing w:after="160" w:before="360" w:line="360"/>
      </w:pPr>
      <w:bookmarkStart w:id="100008" w:name="_Toc100008"/>
      <w:r>
        <w:rPr>
          <w:rFonts w:ascii="Times New Roman" w:eastAsia="SimSun"/>
          <w:b/>
          <w:bCs/>
          <w:color w:val="000000"/>
          <w:sz w:val="26"/>
          <w:szCs w:val="26"/>
        </w:rPr>
        <w:t xml:space="preserve">Article 9 - Agencies' Obligations</w:t>
      </w:r>
      <w:bookmarkEnd w:id="100008"/>
    </w:p>
    <w:p>
      <w:pPr>
        <w:spacing w:after="120" w:line="360"/>
        <w:ind w:left="720" w:hanging="720"/>
        <w:jc w:val="left"/>
      </w:pPr>
      <w:r>
        <w:rPr>
          <w:rFonts w:ascii="Times New Roman" w:eastAsia="SimSun"/>
          <w:b/>
          <w:bCs/>
          <w:color w:val="000000"/>
          <w:sz w:val="24"/>
          <w:szCs w:val="24"/>
        </w:rPr>
        <w:t xml:space="preserve">9.1	</w:t>
      </w:r>
      <w:r>
        <w:rPr>
          <w:rFonts w:ascii="Times New Roman" w:eastAsia="SimSun"/>
          <w:color w:val="000000"/>
          <w:sz w:val="24"/>
          <w:szCs w:val="24"/>
        </w:rPr>
        <w:t xml:space="preserve">An Agency shall: maintain the validity of its licenses and accreditations throughout its use of the Platform; perform its workflow duties diligently and within its authorization level; keep Applicant documents secure and use them only for authorized processing; and record workflow actions truthfully in the Platform.</w:t>
      </w:r>
    </w:p>
    <w:p>
      <w:pPr>
        <w:spacing w:after="120" w:line="360"/>
        <w:ind w:left="720" w:hanging="720"/>
        <w:jc w:val="left"/>
      </w:pPr>
      <w:r>
        <w:rPr>
          <w:rFonts w:ascii="Times New Roman" w:eastAsia="SimSun"/>
          <w:b/>
          <w:bCs/>
          <w:color w:val="000000"/>
          <w:sz w:val="24"/>
          <w:szCs w:val="24"/>
        </w:rPr>
        <w:t xml:space="preserve">9.2	</w:t>
      </w:r>
      <w:r>
        <w:rPr>
          <w:rFonts w:ascii="Times New Roman" w:eastAsia="SimSun"/>
          <w:color w:val="000000"/>
          <w:sz w:val="24"/>
          <w:szCs w:val="24"/>
        </w:rPr>
        <w:t xml:space="preserve">An Agency shall not: alter, fabricate, or suppress Application records; endorse candidates it knows or ought to know to be unqualified or undocumented; impose charges on Applicants that are not authorized by law; or use Platform data to build competing databases or for unauthorized solicitation.</w:t>
      </w:r>
    </w:p>
    <w:p>
      <w:pPr>
        <w:spacing w:after="120" w:line="360"/>
        <w:ind w:left="720" w:hanging="720"/>
        <w:jc w:val="left"/>
      </w:pPr>
      <w:r>
        <w:rPr>
          <w:rFonts w:ascii="Times New Roman" w:eastAsia="SimSun"/>
          <w:b/>
          <w:bCs/>
          <w:color w:val="000000"/>
          <w:sz w:val="24"/>
          <w:szCs w:val="24"/>
        </w:rPr>
        <w:t xml:space="preserve">9.3	</w:t>
      </w:r>
      <w:r>
        <w:rPr>
          <w:rFonts w:ascii="Times New Roman" w:eastAsia="SimSun"/>
          <w:color w:val="000000"/>
          <w:sz w:val="24"/>
          <w:szCs w:val="24"/>
        </w:rPr>
        <w:t xml:space="preserve">Where an Agency acts as the employer's representative for a Job Order, it shall ensure that the Job Order terms it publishes match the approved Job Order and the actual employment terms offered at destination.</w:t>
      </w:r>
    </w:p>
    <w:p>
      <w:pPr>
        <w:pStyle w:val="Heading1"/>
        <w:keepNext/>
        <w:spacing w:after="160" w:before="360" w:line="360"/>
      </w:pPr>
      <w:bookmarkStart w:id="100009" w:name="_Toc100009"/>
      <w:r>
        <w:rPr>
          <w:rFonts w:ascii="Times New Roman" w:eastAsia="SimSun"/>
          <w:b/>
          <w:bCs/>
          <w:color w:val="000000"/>
          <w:sz w:val="26"/>
          <w:szCs w:val="26"/>
        </w:rPr>
        <w:t xml:space="preserve">Article 10 - Employers' Obligations</w:t>
      </w:r>
      <w:bookmarkEnd w:id="100009"/>
    </w:p>
    <w:p>
      <w:pPr>
        <w:spacing w:after="120" w:line="360"/>
        <w:ind w:left="720" w:hanging="720"/>
        <w:jc w:val="left"/>
      </w:pPr>
      <w:r>
        <w:rPr>
          <w:rFonts w:ascii="Times New Roman" w:eastAsia="SimSun"/>
          <w:b/>
          <w:bCs/>
          <w:color w:val="000000"/>
          <w:sz w:val="24"/>
          <w:szCs w:val="24"/>
        </w:rPr>
        <w:t xml:space="preserve">10.1	</w:t>
      </w:r>
      <w:r>
        <w:rPr>
          <w:rFonts w:ascii="Times New Roman" w:eastAsia="SimSun"/>
          <w:color w:val="000000"/>
          <w:sz w:val="24"/>
          <w:szCs w:val="24"/>
        </w:rPr>
        <w:t xml:space="preserve">An Employer shall: publish only genuine Job Orders with accurate position, salary, benefits, and qualification information; honour the employment terms stated in the Job Order and the resulting employment contract; review endorsed candidates with reasonable diligence; and record acceptances and declinations truthfully.</w:t>
      </w:r>
    </w:p>
    <w:p>
      <w:pPr>
        <w:spacing w:after="120" w:line="360"/>
        <w:ind w:left="720" w:hanging="720"/>
        <w:jc w:val="left"/>
      </w:pPr>
      <w:r>
        <w:rPr>
          <w:rFonts w:ascii="Times New Roman" w:eastAsia="SimSun"/>
          <w:b/>
          <w:bCs/>
          <w:color w:val="000000"/>
          <w:sz w:val="24"/>
          <w:szCs w:val="24"/>
        </w:rPr>
        <w:t xml:space="preserve">10.2	</w:t>
      </w:r>
      <w:r>
        <w:rPr>
          <w:rFonts w:ascii="Times New Roman" w:eastAsia="SimSun"/>
          <w:color w:val="000000"/>
          <w:sz w:val="24"/>
          <w:szCs w:val="24"/>
        </w:rPr>
        <w:t xml:space="preserve">An Employer shall not: publish Job Orders for the purpose of harvesting personal data; discriminate among candidates on grounds protected by applicable law; request or require fees, deposits, or documents from Applicants outside the lawful recruitment process; or use Platform contact information for purposes unrelated to a genuine hiring process.</w:t>
      </w:r>
    </w:p>
    <w:p>
      <w:pPr>
        <w:spacing w:after="120" w:line="360"/>
        <w:ind w:left="720" w:hanging="720"/>
        <w:jc w:val="left"/>
      </w:pPr>
      <w:r>
        <w:rPr>
          <w:rFonts w:ascii="Times New Roman" w:eastAsia="SimSun"/>
          <w:b/>
          <w:bCs/>
          <w:color w:val="000000"/>
          <w:sz w:val="24"/>
          <w:szCs w:val="24"/>
        </w:rPr>
        <w:t xml:space="preserve">10.3	</w:t>
      </w:r>
      <w:r>
        <w:rPr>
          <w:rFonts w:ascii="Times New Roman" w:eastAsia="SimSun"/>
          <w:color w:val="000000"/>
          <w:sz w:val="24"/>
          <w:szCs w:val="24"/>
        </w:rPr>
        <w:t xml:space="preserve">An Employer is solely responsible for its compliance with the labour, immigration, and social-security laws of its jurisdiction with respect to any worker it engages, and for securing the approvals required in its jurisdiction for the engagement of foreign workers.</w:t>
      </w:r>
    </w:p>
    <w:p>
      <w:pPr>
        <w:pStyle w:val="Heading1"/>
        <w:keepNext/>
        <w:spacing w:after="160" w:before="360" w:line="360"/>
      </w:pPr>
      <w:bookmarkStart w:id="100010" w:name="_Toc100010"/>
      <w:r>
        <w:rPr>
          <w:rFonts w:ascii="Times New Roman" w:eastAsia="SimSun"/>
          <w:b/>
          <w:bCs/>
          <w:color w:val="000000"/>
          <w:sz w:val="26"/>
          <w:szCs w:val="26"/>
        </w:rPr>
        <w:t xml:space="preserve">Article 11 - Job Orders, Applications and Endorsements</w:t>
      </w:r>
      <w:bookmarkEnd w:id="100010"/>
    </w:p>
    <w:p>
      <w:pPr>
        <w:spacing w:after="120" w:line="360"/>
        <w:ind w:left="720" w:hanging="720"/>
        <w:jc w:val="left"/>
      </w:pPr>
      <w:r>
        <w:rPr>
          <w:rFonts w:ascii="Times New Roman" w:eastAsia="SimSun"/>
          <w:b/>
          <w:bCs/>
          <w:color w:val="000000"/>
          <w:sz w:val="24"/>
          <w:szCs w:val="24"/>
        </w:rPr>
        <w:t xml:space="preserve">11.1	</w:t>
      </w:r>
      <w:r>
        <w:rPr>
          <w:rFonts w:ascii="Times New Roman" w:eastAsia="SimSun"/>
          <w:color w:val="000000"/>
          <w:sz w:val="24"/>
          <w:szCs w:val="24"/>
        </w:rPr>
        <w:t xml:space="preserve">Job Orders shall be published subject to verification under Article 7 and may be withdrawn, paused, or removed by us where the Job Order is inaccurate, non-compliant, expired, or the subject of a dispute. Published salaries shall be stated in the currency and period indicated on the Job Order.</w:t>
      </w:r>
    </w:p>
    <w:p>
      <w:pPr>
        <w:spacing w:after="120" w:line="360"/>
        <w:ind w:left="720" w:hanging="720"/>
        <w:jc w:val="left"/>
      </w:pPr>
      <w:r>
        <w:rPr>
          <w:rFonts w:ascii="Times New Roman" w:eastAsia="SimSun"/>
          <w:b/>
          <w:bCs/>
          <w:color w:val="000000"/>
          <w:sz w:val="24"/>
          <w:szCs w:val="24"/>
        </w:rPr>
        <w:t xml:space="preserve">11.2	</w:t>
      </w:r>
      <w:r>
        <w:rPr>
          <w:rFonts w:ascii="Times New Roman" w:eastAsia="SimSun"/>
          <w:color w:val="000000"/>
          <w:sz w:val="24"/>
          <w:szCs w:val="24"/>
        </w:rPr>
        <w:t xml:space="preserve">Applications progress through a defined status workflow from submission to deployment or closure. The current status of each Application is displayed to authorized Users in the Platform. We may add, retire, or rename workflow states as our processes evolve, provided that material changes are communicated on the Platform.</w:t>
      </w:r>
    </w:p>
    <w:p>
      <w:pPr>
        <w:spacing w:after="120" w:line="360"/>
        <w:ind w:left="720" w:hanging="720"/>
        <w:jc w:val="left"/>
      </w:pPr>
      <w:r>
        <w:rPr>
          <w:rFonts w:ascii="Times New Roman" w:eastAsia="SimSun"/>
          <w:b/>
          <w:bCs/>
          <w:color w:val="000000"/>
          <w:sz w:val="24"/>
          <w:szCs w:val="24"/>
        </w:rPr>
        <w:t xml:space="preserve">11.3	</w:t>
      </w:r>
      <w:r>
        <w:rPr>
          <w:rFonts w:ascii="Times New Roman" w:eastAsia="SimSun"/>
          <w:color w:val="000000"/>
          <w:sz w:val="24"/>
          <w:szCs w:val="24"/>
        </w:rPr>
        <w:t xml:space="preserve">Endorsement to an Employer follows a two-step review: first, review and approval by FIRA governance personnel; and second, review and acceptance or declination by the Employer. The Platform records the actions, actors, and timestamps of each step in an audit trail.</w:t>
      </w:r>
    </w:p>
    <w:p>
      <w:pPr>
        <w:spacing w:after="120" w:line="360"/>
        <w:ind w:left="720" w:hanging="720"/>
        <w:jc w:val="left"/>
      </w:pPr>
      <w:r>
        <w:rPr>
          <w:rFonts w:ascii="Times New Roman" w:eastAsia="SimSun"/>
          <w:b/>
          <w:bCs/>
          <w:color w:val="000000"/>
          <w:sz w:val="24"/>
          <w:szCs w:val="24"/>
        </w:rPr>
        <w:t xml:space="preserve">11.4	</w:t>
      </w:r>
      <w:r>
        <w:rPr>
          <w:rFonts w:ascii="Times New Roman" w:eastAsia="SimSun"/>
          <w:color w:val="000000"/>
          <w:sz w:val="24"/>
          <w:szCs w:val="24"/>
        </w:rPr>
        <w:t xml:space="preserve">Acceptance of an Endorsement by an Employer is not, by itself, an employment contract. The employment relationship arises only upon execution of the applicable employment contract and completion of the documentation required by the relevant authorities.</w:t>
      </w:r>
    </w:p>
    <w:p>
      <w:pPr>
        <w:pStyle w:val="Heading1"/>
        <w:keepNext/>
        <w:spacing w:after="160" w:before="360" w:line="360"/>
      </w:pPr>
      <w:bookmarkStart w:id="100011" w:name="_Toc100011"/>
      <w:r>
        <w:rPr>
          <w:rFonts w:ascii="Times New Roman" w:eastAsia="SimSun"/>
          <w:b/>
          <w:bCs/>
          <w:color w:val="000000"/>
          <w:sz w:val="26"/>
          <w:szCs w:val="26"/>
        </w:rPr>
        <w:t xml:space="preserve">Article 12 - Fees, Payments and Refunds</w:t>
      </w:r>
      <w:bookmarkEnd w:id="100011"/>
    </w:p>
    <w:p>
      <w:pPr>
        <w:spacing w:after="120" w:line="360"/>
        <w:ind w:left="720" w:hanging="720"/>
        <w:jc w:val="left"/>
      </w:pPr>
      <w:r>
        <w:rPr>
          <w:rFonts w:ascii="Times New Roman" w:eastAsia="SimSun"/>
          <w:b/>
          <w:bCs/>
          <w:color w:val="000000"/>
          <w:sz w:val="24"/>
          <w:szCs w:val="24"/>
        </w:rPr>
        <w:t xml:space="preserve">12.1	</w:t>
      </w:r>
      <w:r>
        <w:rPr>
          <w:rFonts w:ascii="Times New Roman" w:eastAsia="SimSun"/>
          <w:color w:val="000000"/>
          <w:sz w:val="24"/>
          <w:szCs w:val="24"/>
        </w:rPr>
        <w:t xml:space="preserve">Applicants. Registration, profile creation, and job application features are provided to Applicants free of charge unless otherwise stated on the Platform. No placement fee shall be charged to any Applicant except as expressly allowed under the schedule of fees issued by the DMW and collected by the duly licensed entity with official issuance of receipts. Any demand for unauthorized payments shall be reported to us through the contact details in Article 23 and may be reported to the DMW.</w:t>
      </w:r>
    </w:p>
    <w:p>
      <w:pPr>
        <w:spacing w:after="120" w:line="360"/>
        <w:ind w:left="720" w:hanging="720"/>
        <w:jc w:val="left"/>
      </w:pPr>
      <w:r>
        <w:rPr>
          <w:rFonts w:ascii="Times New Roman" w:eastAsia="SimSun"/>
          <w:b/>
          <w:bCs/>
          <w:color w:val="000000"/>
          <w:sz w:val="24"/>
          <w:szCs w:val="24"/>
        </w:rPr>
        <w:t xml:space="preserve">12.2	</w:t>
      </w:r>
      <w:r>
        <w:rPr>
          <w:rFonts w:ascii="Times New Roman" w:eastAsia="SimSun"/>
          <w:color w:val="000000"/>
          <w:sz w:val="24"/>
          <w:szCs w:val="24"/>
        </w:rPr>
        <w:t xml:space="preserve">Agencies and Employers. We may charge Agencies and Employers subscription, posting, or service fees in accordance with the fee schedule published on the Platform or stated in an applicable order form or service agreement, which is incorporated by reference. Unless otherwise stated, fees are exclusive of value-added tax and other applicable taxes, which shall be borne by the paying party.</w:t>
      </w:r>
    </w:p>
    <w:p>
      <w:pPr>
        <w:spacing w:after="120" w:line="360"/>
        <w:ind w:left="720" w:hanging="720"/>
        <w:jc w:val="left"/>
      </w:pPr>
      <w:r>
        <w:rPr>
          <w:rFonts w:ascii="Times New Roman" w:eastAsia="SimSun"/>
          <w:b/>
          <w:bCs/>
          <w:color w:val="000000"/>
          <w:sz w:val="24"/>
          <w:szCs w:val="24"/>
        </w:rPr>
        <w:t xml:space="preserve">12.3	</w:t>
      </w:r>
      <w:r>
        <w:rPr>
          <w:rFonts w:ascii="Times New Roman" w:eastAsia="SimSun"/>
          <w:color w:val="000000"/>
          <w:sz w:val="24"/>
          <w:szCs w:val="24"/>
        </w:rPr>
        <w:t xml:space="preserve">Payment terms. Invoiced fees are payable within 【number of days, e.g. fifteen (15) days】 from the invoice date by the payment method stated on the invoice. Late payments may incur interest at the rate of 【rate per month】 or the maximum rate allowed by law, whichever is lower, and may result in suspension of paid features after written notice.</w:t>
      </w:r>
    </w:p>
    <w:p>
      <w:pPr>
        <w:spacing w:after="120" w:line="360"/>
        <w:ind w:left="720" w:hanging="720"/>
        <w:jc w:val="left"/>
      </w:pPr>
      <w:r>
        <w:rPr>
          <w:rFonts w:ascii="Times New Roman" w:eastAsia="SimSun"/>
          <w:b/>
          <w:bCs/>
          <w:color w:val="000000"/>
          <w:sz w:val="24"/>
          <w:szCs w:val="24"/>
        </w:rPr>
        <w:t xml:space="preserve">12.4	</w:t>
      </w:r>
      <w:r>
        <w:rPr>
          <w:rFonts w:ascii="Times New Roman" w:eastAsia="SimSun"/>
          <w:color w:val="000000"/>
          <w:sz w:val="24"/>
          <w:szCs w:val="24"/>
        </w:rPr>
        <w:t xml:space="preserve">Refunds. Fees already consumed by the provision of a service are non-refundable. Where a fee is payable in advance for a defined service period and the Platform ceases to provide that period's service for reasons attributable to us, we shall refund the un consumed portion on a pro-rata basis, or remedy the failure by extending the service period, at our election. Refund requests shall be submitted in writing and are processed within a reasonable period after validation. Nothing in this Section limits any mandatory refund right granted to consumers by applicable law.</w:t>
      </w:r>
    </w:p>
    <w:p>
      <w:pPr>
        <w:spacing w:after="120" w:line="360"/>
        <w:ind w:left="720" w:hanging="720"/>
        <w:jc w:val="left"/>
      </w:pPr>
      <w:r>
        <w:rPr>
          <w:rFonts w:ascii="Times New Roman" w:eastAsia="SimSun"/>
          <w:b/>
          <w:bCs/>
          <w:color w:val="000000"/>
          <w:sz w:val="24"/>
          <w:szCs w:val="24"/>
        </w:rPr>
        <w:t xml:space="preserve">12.5	</w:t>
      </w:r>
      <w:r>
        <w:rPr>
          <w:rFonts w:ascii="Times New Roman" w:eastAsia="SimSun"/>
          <w:color w:val="000000"/>
          <w:sz w:val="24"/>
          <w:szCs w:val="24"/>
        </w:rPr>
        <w:t xml:space="preserve">Applicant-side costs such as passport fees, medical examinations, training, NBI or police clearances, and government charges are borne by the Applicant unless a Job Order or service agreement expressly provides otherwise, and are outside the scope of Platform fees.</w:t>
      </w:r>
    </w:p>
    <w:p>
      <w:pPr>
        <w:pStyle w:val="Heading1"/>
        <w:keepNext/>
        <w:spacing w:after="160" w:before="360" w:line="360"/>
      </w:pPr>
      <w:bookmarkStart w:id="100012" w:name="_Toc100012"/>
      <w:r>
        <w:rPr>
          <w:rFonts w:ascii="Times New Roman" w:eastAsia="SimSun"/>
          <w:b/>
          <w:bCs/>
          <w:color w:val="000000"/>
          <w:sz w:val="26"/>
          <w:szCs w:val="26"/>
        </w:rPr>
        <w:t xml:space="preserve">Article 13 - Data Privacy and Protection</w:t>
      </w:r>
      <w:bookmarkEnd w:id="100012"/>
    </w:p>
    <w:p>
      <w:pPr>
        <w:spacing w:after="120" w:line="360"/>
        <w:ind w:left="720" w:hanging="720"/>
        <w:jc w:val="left"/>
      </w:pPr>
      <w:r>
        <w:rPr>
          <w:rFonts w:ascii="Times New Roman" w:eastAsia="SimSun"/>
          <w:b/>
          <w:bCs/>
          <w:color w:val="000000"/>
          <w:sz w:val="24"/>
          <w:szCs w:val="24"/>
        </w:rPr>
        <w:t xml:space="preserve">13.1	</w:t>
      </w:r>
      <w:r>
        <w:rPr>
          <w:rFonts w:ascii="Times New Roman" w:eastAsia="SimSun"/>
          <w:color w:val="000000"/>
          <w:sz w:val="24"/>
          <w:szCs w:val="24"/>
        </w:rPr>
        <w:t xml:space="preserve">We collect and process personal data in accordance with the Data Privacy Act of the Philippines (Republic Act No. 10173), Morocco's Law No. 09-08 on the protection of individuals with regard to the processing of personal data, and other applicable data protection laws. The categories of data collected, the purposes of processing, the disclosure practices, and the exercise of data subject rights are described in the MatchWise Privacy Policy, which forms an integral part of these Terms.</w:t>
      </w:r>
    </w:p>
    <w:p>
      <w:pPr>
        <w:spacing w:after="120" w:line="360"/>
        <w:ind w:left="720" w:hanging="720"/>
        <w:jc w:val="left"/>
      </w:pPr>
      <w:r>
        <w:rPr>
          <w:rFonts w:ascii="Times New Roman" w:eastAsia="SimSun"/>
          <w:b/>
          <w:bCs/>
          <w:color w:val="000000"/>
          <w:sz w:val="24"/>
          <w:szCs w:val="24"/>
        </w:rPr>
        <w:t xml:space="preserve">13.2	</w:t>
      </w:r>
      <w:r>
        <w:rPr>
          <w:rFonts w:ascii="Times New Roman" w:eastAsia="SimSun"/>
          <w:color w:val="000000"/>
          <w:sz w:val="24"/>
          <w:szCs w:val="24"/>
        </w:rPr>
        <w:t xml:space="preserve">By using the Platform, you consent to the collection, use, disclosure, and cross-border transfer of your information as described in the Privacy Policy, including the transfer of Applicant information to Employers and Agencies in connection with an Application or Endorsement, and to our service providers and competent authorities as permitted or required by law.</w:t>
      </w:r>
    </w:p>
    <w:p>
      <w:pPr>
        <w:spacing w:after="120" w:line="360"/>
        <w:ind w:left="720" w:hanging="720"/>
        <w:jc w:val="left"/>
      </w:pPr>
      <w:r>
        <w:rPr>
          <w:rFonts w:ascii="Times New Roman" w:eastAsia="SimSun"/>
          <w:b/>
          <w:bCs/>
          <w:color w:val="000000"/>
          <w:sz w:val="24"/>
          <w:szCs w:val="24"/>
        </w:rPr>
        <w:t xml:space="preserve">13.3	</w:t>
      </w:r>
      <w:r>
        <w:rPr>
          <w:rFonts w:ascii="Times New Roman" w:eastAsia="SimSun"/>
          <w:color w:val="000000"/>
          <w:sz w:val="24"/>
          <w:szCs w:val="24"/>
        </w:rPr>
        <w:t xml:space="preserve">Each User shall handle personal data made available to it through the Platform lawfully and only for the purpose for which it was disclosed. A User that receives Applicant information through an Endorsement shall not further disclose, sell, or use that information for unrelated purposes. Each User is responsible as an independent personal information controller or processor, as the case may be, for the data it processes through its use of the Platform.</w:t>
      </w:r>
    </w:p>
    <w:p>
      <w:pPr>
        <w:pStyle w:val="Heading1"/>
        <w:keepNext/>
        <w:spacing w:after="160" w:before="360" w:line="360"/>
      </w:pPr>
      <w:bookmarkStart w:id="100013" w:name="_Toc100013"/>
      <w:r>
        <w:rPr>
          <w:rFonts w:ascii="Times New Roman" w:eastAsia="SimSun"/>
          <w:b/>
          <w:bCs/>
          <w:color w:val="000000"/>
          <w:sz w:val="26"/>
          <w:szCs w:val="26"/>
        </w:rPr>
        <w:t xml:space="preserve">Article 14 - Intellectual Property</w:t>
      </w:r>
      <w:bookmarkEnd w:id="100013"/>
    </w:p>
    <w:p>
      <w:pPr>
        <w:spacing w:after="120" w:line="360"/>
        <w:ind w:left="720" w:hanging="720"/>
        <w:jc w:val="left"/>
      </w:pPr>
      <w:r>
        <w:rPr>
          <w:rFonts w:ascii="Times New Roman" w:eastAsia="SimSun"/>
          <w:b/>
          <w:bCs/>
          <w:color w:val="000000"/>
          <w:sz w:val="24"/>
          <w:szCs w:val="24"/>
        </w:rPr>
        <w:t xml:space="preserve">14.1	</w:t>
      </w:r>
      <w:r>
        <w:rPr>
          <w:rFonts w:ascii="Times New Roman" w:eastAsia="SimSun"/>
          <w:color w:val="000000"/>
          <w:sz w:val="24"/>
          <w:szCs w:val="24"/>
        </w:rPr>
        <w:t xml:space="preserve">The Platform, including its software, interfaces, design, text, graphics, logos, and databases, is owned by FIRA or its licensors and is protected by intellectual property laws. MatchWise and the FIRA name and marks, together with related logos, are our trademarks or those of our affiliates. No right or license is granted under these Terms to use our marks except as expressly allowed for fair reference to the Platform.</w:t>
      </w:r>
    </w:p>
    <w:p>
      <w:pPr>
        <w:spacing w:after="120" w:line="360"/>
        <w:ind w:left="720" w:hanging="720"/>
        <w:jc w:val="left"/>
      </w:pPr>
      <w:r>
        <w:rPr>
          <w:rFonts w:ascii="Times New Roman" w:eastAsia="SimSun"/>
          <w:b/>
          <w:bCs/>
          <w:color w:val="000000"/>
          <w:sz w:val="24"/>
          <w:szCs w:val="24"/>
        </w:rPr>
        <w:t xml:space="preserve">14.2	</w:t>
      </w:r>
      <w:r>
        <w:rPr>
          <w:rFonts w:ascii="Times New Roman" w:eastAsia="SimSun"/>
          <w:color w:val="000000"/>
          <w:sz w:val="24"/>
          <w:szCs w:val="24"/>
        </w:rPr>
        <w:t xml:space="preserve">We grant you a limited, non-exclusive, non-transferable, revocable license to access and use the Platform for its intended purpose in accordance with these Terms and the End-User License Agreement. You shall not copy, modify, reverse engineer, decompile, scrape, frame, or create derivative works of the Platform, nor use automated means to extract data, except as permitted by mandatory law.</w:t>
      </w:r>
    </w:p>
    <w:p>
      <w:pPr>
        <w:spacing w:after="120" w:line="360"/>
        <w:ind w:left="720" w:hanging="720"/>
        <w:jc w:val="left"/>
      </w:pPr>
      <w:r>
        <w:rPr>
          <w:rFonts w:ascii="Times New Roman" w:eastAsia="SimSun"/>
          <w:b/>
          <w:bCs/>
          <w:color w:val="000000"/>
          <w:sz w:val="24"/>
          <w:szCs w:val="24"/>
        </w:rPr>
        <w:t xml:space="preserve">14.3	</w:t>
      </w:r>
      <w:r>
        <w:rPr>
          <w:rFonts w:ascii="Times New Roman" w:eastAsia="SimSun"/>
          <w:color w:val="000000"/>
          <w:sz w:val="24"/>
          <w:szCs w:val="24"/>
        </w:rPr>
        <w:t xml:space="preserve">You retain ownership of the Content you submit. You grant us a worldwide, royalty-free, non-exclusive license to host, store, reproduce, process, and display your Content to the extent necessary to operate, secure, and improve the Platform and to provide the services described in these Terms, including the automated assessment described in Article 6.</w:t>
      </w:r>
    </w:p>
    <w:p>
      <w:pPr>
        <w:pStyle w:val="Heading1"/>
        <w:keepNext/>
        <w:spacing w:after="160" w:before="360" w:line="360"/>
      </w:pPr>
      <w:bookmarkStart w:id="100014" w:name="_Toc100014"/>
      <w:r>
        <w:rPr>
          <w:rFonts w:ascii="Times New Roman" w:eastAsia="SimSun"/>
          <w:b/>
          <w:bCs/>
          <w:color w:val="000000"/>
          <w:sz w:val="26"/>
          <w:szCs w:val="26"/>
        </w:rPr>
        <w:t xml:space="preserve">Article 15 - Acceptable Use and Prohibited Conduct</w:t>
      </w:r>
      <w:bookmarkEnd w:id="100014"/>
    </w:p>
    <w:p>
      <w:pPr>
        <w:spacing w:after="120" w:line="360"/>
        <w:ind w:left="720" w:hanging="720"/>
        <w:jc w:val="left"/>
      </w:pPr>
      <w:r>
        <w:rPr>
          <w:rFonts w:ascii="Times New Roman" w:eastAsia="SimSun"/>
          <w:b/>
          <w:bCs/>
          <w:color w:val="000000"/>
          <w:sz w:val="24"/>
          <w:szCs w:val="24"/>
        </w:rPr>
        <w:t xml:space="preserve">15.1	</w:t>
      </w:r>
      <w:r>
        <w:rPr>
          <w:rFonts w:ascii="Times New Roman" w:eastAsia="SimSun"/>
          <w:color w:val="000000"/>
          <w:sz w:val="24"/>
          <w:szCs w:val="24"/>
        </w:rPr>
        <w:t xml:space="preserve">In using the Platform, you shall not: violate any applicable law or regulation; infringe the rights of any person, including intellectual property, privacy, and data protection rights; upload malicious code; interfere with or disrupt the integrity or performance of the Platform; gain unauthorized access to any account, system, or data; or impersonate any person or entity.</w:t>
      </w:r>
    </w:p>
    <w:p>
      <w:pPr>
        <w:spacing w:after="120" w:line="360"/>
        <w:ind w:left="720" w:hanging="720"/>
        <w:jc w:val="left"/>
      </w:pPr>
      <w:r>
        <w:rPr>
          <w:rFonts w:ascii="Times New Roman" w:eastAsia="SimSun"/>
          <w:b/>
          <w:bCs/>
          <w:color w:val="000000"/>
          <w:sz w:val="24"/>
          <w:szCs w:val="24"/>
        </w:rPr>
        <w:t xml:space="preserve">15.2	</w:t>
      </w:r>
      <w:r>
        <w:rPr>
          <w:rFonts w:ascii="Times New Roman" w:eastAsia="SimSun"/>
          <w:color w:val="000000"/>
          <w:sz w:val="24"/>
          <w:szCs w:val="24"/>
        </w:rPr>
        <w:t xml:space="preserve">You shall not use the Platform to: publish false, misleading, defamatory, obscene, or discriminatory material; send unsolicited advertising or chain messages; recruit for purposes unrelated to genuine overseas employment; facilitate human trafficking, smuggling, or exploitation of workers; or conduct any scheme that constitutes estafa, fraud, or illegal recruitment under applicable law.</w:t>
      </w:r>
    </w:p>
    <w:p>
      <w:pPr>
        <w:spacing w:after="120" w:line="360"/>
        <w:ind w:left="720" w:hanging="720"/>
        <w:jc w:val="left"/>
      </w:pPr>
      <w:r>
        <w:rPr>
          <w:rFonts w:ascii="Times New Roman" w:eastAsia="SimSun"/>
          <w:b/>
          <w:bCs/>
          <w:color w:val="000000"/>
          <w:sz w:val="24"/>
          <w:szCs w:val="24"/>
        </w:rPr>
        <w:t xml:space="preserve">15.3	</w:t>
      </w:r>
      <w:r>
        <w:rPr>
          <w:rFonts w:ascii="Times New Roman" w:eastAsia="SimSun"/>
          <w:color w:val="000000"/>
          <w:sz w:val="24"/>
          <w:szCs w:val="24"/>
        </w:rPr>
        <w:t xml:space="preserve">We reserve the right, but not the obligation, to monitor Content and activity on the Platform to the extent permitted by law and our Privacy Policy, and to investigate suspected violations of these Terms in cooperation with competent authorities.</w:t>
      </w:r>
    </w:p>
    <w:p>
      <w:pPr>
        <w:pStyle w:val="Heading1"/>
        <w:keepNext/>
        <w:spacing w:after="160" w:before="360" w:line="360"/>
      </w:pPr>
      <w:bookmarkStart w:id="100015" w:name="_Toc100015"/>
      <w:r>
        <w:rPr>
          <w:rFonts w:ascii="Times New Roman" w:eastAsia="SimSun"/>
          <w:b/>
          <w:bCs/>
          <w:color w:val="000000"/>
          <w:sz w:val="26"/>
          <w:szCs w:val="26"/>
        </w:rPr>
        <w:t xml:space="preserve">Article 16 - Disclaimers</w:t>
      </w:r>
      <w:bookmarkEnd w:id="100015"/>
    </w:p>
    <w:p>
      <w:pPr>
        <w:spacing w:after="120" w:line="360"/>
        <w:ind w:left="720" w:hanging="720"/>
        <w:jc w:val="left"/>
      </w:pPr>
      <w:r>
        <w:rPr>
          <w:rFonts w:ascii="Times New Roman" w:eastAsia="SimSun"/>
          <w:b/>
          <w:bCs/>
          <w:color w:val="000000"/>
          <w:sz w:val="24"/>
          <w:szCs w:val="24"/>
        </w:rPr>
        <w:t xml:space="preserve">16.1	</w:t>
      </w:r>
      <w:r>
        <w:rPr>
          <w:rFonts w:ascii="Times New Roman" w:eastAsia="SimSun"/>
          <w:color w:val="000000"/>
          <w:sz w:val="24"/>
          <w:szCs w:val="24"/>
        </w:rPr>
        <w:t xml:space="preserve">The Platform is provided on an “as is” and “as available” basis. While we strive to keep the Platform accurate, secure, and available, we do not warrant that the Platform will be uninterrupted, error-free, or free of harmful components, or that any particular result, such as a match, endorsement, offer, visa, or deployment, will be achieved.</w:t>
      </w:r>
    </w:p>
    <w:p>
      <w:pPr>
        <w:spacing w:after="120" w:line="360"/>
        <w:ind w:left="720" w:hanging="720"/>
        <w:jc w:val="left"/>
      </w:pPr>
      <w:r>
        <w:rPr>
          <w:rFonts w:ascii="Times New Roman" w:eastAsia="SimSun"/>
          <w:b/>
          <w:bCs/>
          <w:color w:val="000000"/>
          <w:sz w:val="24"/>
          <w:szCs w:val="24"/>
        </w:rPr>
        <w:t xml:space="preserve">16.2	</w:t>
      </w:r>
      <w:r>
        <w:rPr>
          <w:rFonts w:ascii="Times New Roman" w:eastAsia="SimSun"/>
          <w:color w:val="000000"/>
          <w:sz w:val="24"/>
          <w:szCs w:val="24"/>
        </w:rPr>
        <w:t xml:space="preserve">Content supplied by Users, including Job Orders, profiles, resumes, and documents, is the responsibility of the User that supplied it. We do not independently warrant the accuracy, currency, or completeness of such User Content, and verification features described in Article 7 do not constitute a warranty of any User's identity, qualifications, or intentions.</w:t>
      </w:r>
    </w:p>
    <w:p>
      <w:pPr>
        <w:spacing w:after="120" w:line="360"/>
        <w:ind w:left="720" w:hanging="720"/>
        <w:jc w:val="left"/>
      </w:pPr>
      <w:r>
        <w:rPr>
          <w:rFonts w:ascii="Times New Roman" w:eastAsia="SimSun"/>
          <w:b/>
          <w:bCs/>
          <w:color w:val="000000"/>
          <w:sz w:val="24"/>
          <w:szCs w:val="24"/>
        </w:rPr>
        <w:t xml:space="preserve">16.3	</w:t>
      </w:r>
      <w:r>
        <w:rPr>
          <w:rFonts w:ascii="Times New Roman" w:eastAsia="SimSun"/>
          <w:color w:val="000000"/>
          <w:sz w:val="24"/>
          <w:szCs w:val="24"/>
        </w:rPr>
        <w:t xml:space="preserve">To the maximum extent permitted by law, we disclaim all other warranties, representations, and conditions, whether express, implied, or statutory, including implied warranties of merchantability, fitness for a particular purpose, and non-infringement.</w:t>
      </w:r>
    </w:p>
    <w:p>
      <w:pPr>
        <w:pStyle w:val="Heading1"/>
        <w:keepNext/>
        <w:spacing w:after="160" w:before="360" w:line="360"/>
      </w:pPr>
      <w:bookmarkStart w:id="100016" w:name="_Toc100016"/>
      <w:r>
        <w:rPr>
          <w:rFonts w:ascii="Times New Roman" w:eastAsia="SimSun"/>
          <w:b/>
          <w:bCs/>
          <w:color w:val="000000"/>
          <w:sz w:val="26"/>
          <w:szCs w:val="26"/>
        </w:rPr>
        <w:t xml:space="preserve">Article 17 - Limitation of Liability</w:t>
      </w:r>
      <w:bookmarkEnd w:id="100016"/>
    </w:p>
    <w:p>
      <w:pPr>
        <w:spacing w:after="120" w:line="360"/>
        <w:ind w:left="720" w:hanging="720"/>
        <w:jc w:val="left"/>
      </w:pPr>
      <w:r>
        <w:rPr>
          <w:rFonts w:ascii="Times New Roman" w:eastAsia="SimSun"/>
          <w:b/>
          <w:bCs/>
          <w:color w:val="000000"/>
          <w:sz w:val="24"/>
          <w:szCs w:val="24"/>
        </w:rPr>
        <w:t xml:space="preserve">17.1	</w:t>
      </w:r>
      <w:r>
        <w:rPr>
          <w:rFonts w:ascii="Times New Roman" w:eastAsia="SimSun"/>
          <w:color w:val="000000"/>
          <w:sz w:val="24"/>
          <w:szCs w:val="24"/>
        </w:rPr>
        <w:t xml:space="preserve">To the maximum extent permitted by law, neither FIRA nor its affiliates, officers, employees, technology providers, or Partner Agencies shall be liable to any User for any indirect, incidental, special, consequential, exemplary, or punitive damages, or for loss of profits, loss of opportunity, loss of data, or business interruption, arising out of or in connection with the Platform or these Terms, even if advised of the possibility of such damages.</w:t>
      </w:r>
    </w:p>
    <w:p>
      <w:pPr>
        <w:spacing w:after="120" w:line="360"/>
        <w:ind w:left="720" w:hanging="720"/>
        <w:jc w:val="left"/>
      </w:pPr>
      <w:r>
        <w:rPr>
          <w:rFonts w:ascii="Times New Roman" w:eastAsia="SimSun"/>
          <w:b/>
          <w:bCs/>
          <w:color w:val="000000"/>
          <w:sz w:val="24"/>
          <w:szCs w:val="24"/>
        </w:rPr>
        <w:t xml:space="preserve">17.2	</w:t>
      </w:r>
      <w:r>
        <w:rPr>
          <w:rFonts w:ascii="Times New Roman" w:eastAsia="SimSun"/>
          <w:color w:val="000000"/>
          <w:sz w:val="24"/>
          <w:szCs w:val="24"/>
        </w:rPr>
        <w:t xml:space="preserve">To the maximum extent permitted by law, our total aggregate liability arising out of or in connection with these Terms or the Platform shall not exceed the total fees paid by the complaining User to us, if any, for the service giving rise to the claim during the six (6) months immediately preceding the event giving rise to the liability; and for Users who have paid no fees, our aggregate liability shall not exceed One Thousand Philippine Pesos (PHP 1,000.00) or the equivalent in Moroccan dirhams.</w:t>
      </w:r>
    </w:p>
    <w:p>
      <w:pPr>
        <w:spacing w:after="120" w:line="360"/>
        <w:ind w:left="720" w:hanging="720"/>
        <w:jc w:val="left"/>
      </w:pPr>
      <w:r>
        <w:rPr>
          <w:rFonts w:ascii="Times New Roman" w:eastAsia="SimSun"/>
          <w:b/>
          <w:bCs/>
          <w:color w:val="000000"/>
          <w:sz w:val="24"/>
          <w:szCs w:val="24"/>
        </w:rPr>
        <w:t xml:space="preserve">17.3	</w:t>
      </w:r>
      <w:r>
        <w:rPr>
          <w:rFonts w:ascii="Times New Roman" w:eastAsia="SimSun"/>
          <w:color w:val="000000"/>
          <w:sz w:val="24"/>
          <w:szCs w:val="24"/>
        </w:rPr>
        <w:t xml:space="preserve">Nothing in these Terms limits liability that cannot be limited by law, including liability for death or personal injury caused by negligence, for fraud, or for any other liability that may not be excluded or limited under the mandatory provisions of applicable law.</w:t>
      </w:r>
    </w:p>
    <w:p>
      <w:pPr>
        <w:spacing w:after="100" w:line="360"/>
        <w:ind w:left="1440" w:hanging="720"/>
        <w:jc w:val="left"/>
      </w:pPr>
      <w:r>
        <w:rPr>
          <w:rFonts w:ascii="Times New Roman" w:eastAsia="SimSun"/>
          <w:color w:val="000000"/>
          <w:sz w:val="24"/>
          <w:szCs w:val="24"/>
        </w:rPr>
        <w:t xml:space="preserve">Note:	</w:t>
      </w:r>
      <w:r>
        <w:rPr>
          <w:rFonts w:ascii="Times New Roman" w:eastAsia="SimSun"/>
          <w:color w:val="000000"/>
          <w:sz w:val="24"/>
          <w:szCs w:val="24"/>
        </w:rPr>
        <w:t xml:space="preserve">This Article contains liability limitations. Its enforceability may vary depending on the applicable law and the circumstances of a particular claim, and it is recommended that this Article be reviewed by counsel before reliance in any specific transaction.</w:t>
      </w:r>
    </w:p>
    <w:p>
      <w:pPr>
        <w:pStyle w:val="Heading1"/>
        <w:keepNext/>
        <w:spacing w:after="160" w:before="360" w:line="360"/>
      </w:pPr>
      <w:bookmarkStart w:id="100017" w:name="_Toc100017"/>
      <w:r>
        <w:rPr>
          <w:rFonts w:ascii="Times New Roman" w:eastAsia="SimSun"/>
          <w:b/>
          <w:bCs/>
          <w:color w:val="000000"/>
          <w:sz w:val="26"/>
          <w:szCs w:val="26"/>
        </w:rPr>
        <w:t xml:space="preserve">Article 18 - Indemnification</w:t>
      </w:r>
      <w:bookmarkEnd w:id="100017"/>
    </w:p>
    <w:p>
      <w:pPr>
        <w:spacing w:after="120" w:line="360"/>
        <w:ind w:left="720" w:hanging="720"/>
        <w:jc w:val="left"/>
      </w:pPr>
      <w:r>
        <w:rPr>
          <w:rFonts w:ascii="Times New Roman" w:eastAsia="SimSun"/>
          <w:b/>
          <w:bCs/>
          <w:color w:val="000000"/>
          <w:sz w:val="24"/>
          <w:szCs w:val="24"/>
        </w:rPr>
        <w:t xml:space="preserve">18.1	</w:t>
      </w:r>
      <w:r>
        <w:rPr>
          <w:rFonts w:ascii="Times New Roman" w:eastAsia="SimSun"/>
          <w:color w:val="000000"/>
          <w:sz w:val="24"/>
          <w:szCs w:val="24"/>
        </w:rPr>
        <w:t xml:space="preserve">You shall indemnify, defend, and hold harmless FIRA, its affiliates, and their respective officers, employees, and agents from and against any third-party claims, demands, actions, investigations, losses, damages, liabilities, and reasonable costs, including reasonable legal fees, arising out of or relating to: (a) your breach of these Terms; (b) your violation of any law or regulation, including laws on recruitment, labour, immigration, and data protection; (c) any Content you submit; or (d) your negligence or willful misconduct in connection with the Platform.</w:t>
      </w:r>
    </w:p>
    <w:p>
      <w:pPr>
        <w:spacing w:after="120" w:line="360"/>
        <w:ind w:left="720" w:hanging="720"/>
        <w:jc w:val="left"/>
      </w:pPr>
      <w:r>
        <w:rPr>
          <w:rFonts w:ascii="Times New Roman" w:eastAsia="SimSun"/>
          <w:b/>
          <w:bCs/>
          <w:color w:val="000000"/>
          <w:sz w:val="24"/>
          <w:szCs w:val="24"/>
        </w:rPr>
        <w:t xml:space="preserve">18.2	</w:t>
      </w:r>
      <w:r>
        <w:rPr>
          <w:rFonts w:ascii="Times New Roman" w:eastAsia="SimSun"/>
          <w:color w:val="000000"/>
          <w:sz w:val="24"/>
          <w:szCs w:val="24"/>
        </w:rPr>
        <w:t xml:space="preserve">We shall notify you promptly in writing of any claim subject to indemnification under this Article, allow you sole control of the defense and settlement, and provide reasonable cooperation at your expense, provided that we may participate with our own counsel at our cost, and provided further that you shall not settle any claim in a manner that imposes an admission of liability or a payment obligation on us without our prior written consent.</w:t>
      </w:r>
    </w:p>
    <w:p>
      <w:pPr>
        <w:pStyle w:val="Heading1"/>
        <w:keepNext/>
        <w:spacing w:after="160" w:before="360" w:line="360"/>
      </w:pPr>
      <w:bookmarkStart w:id="100018" w:name="_Toc100018"/>
      <w:r>
        <w:rPr>
          <w:rFonts w:ascii="Times New Roman" w:eastAsia="SimSun"/>
          <w:b/>
          <w:bCs/>
          <w:color w:val="000000"/>
          <w:sz w:val="26"/>
          <w:szCs w:val="26"/>
        </w:rPr>
        <w:t xml:space="preserve">Article 19 - Suspension and Termination</w:t>
      </w:r>
      <w:bookmarkEnd w:id="100018"/>
    </w:p>
    <w:p>
      <w:pPr>
        <w:spacing w:after="120" w:line="360"/>
        <w:ind w:left="720" w:hanging="720"/>
        <w:jc w:val="left"/>
      </w:pPr>
      <w:r>
        <w:rPr>
          <w:rFonts w:ascii="Times New Roman" w:eastAsia="SimSun"/>
          <w:b/>
          <w:bCs/>
          <w:color w:val="000000"/>
          <w:sz w:val="24"/>
          <w:szCs w:val="24"/>
        </w:rPr>
        <w:t xml:space="preserve">19.1	</w:t>
      </w:r>
      <w:r>
        <w:rPr>
          <w:rFonts w:ascii="Times New Roman" w:eastAsia="SimSun"/>
          <w:color w:val="000000"/>
          <w:sz w:val="24"/>
          <w:szCs w:val="24"/>
        </w:rPr>
        <w:t xml:space="preserve">We may, with or without prior notice where reasonably necessary, suspend or restrict a User's access where: required verifications fail or lapse; these Terms are breached; a competent authority requests it; a serious dispute arises concerning the User; or the Platform or its users are or may be harmed.</w:t>
      </w:r>
    </w:p>
    <w:p>
      <w:pPr>
        <w:spacing w:after="120" w:line="360"/>
        <w:ind w:left="720" w:hanging="720"/>
        <w:jc w:val="left"/>
      </w:pPr>
      <w:r>
        <w:rPr>
          <w:rFonts w:ascii="Times New Roman" w:eastAsia="SimSun"/>
          <w:b/>
          <w:bCs/>
          <w:color w:val="000000"/>
          <w:sz w:val="24"/>
          <w:szCs w:val="24"/>
        </w:rPr>
        <w:t xml:space="preserve">19.2	</w:t>
      </w:r>
      <w:r>
        <w:rPr>
          <w:rFonts w:ascii="Times New Roman" w:eastAsia="SimSun"/>
          <w:color w:val="000000"/>
          <w:sz w:val="24"/>
          <w:szCs w:val="24"/>
        </w:rPr>
        <w:t xml:space="preserve">You may stop using the Platform and may request account closure at any time through the contact details in Article 23. Closure of an Applicant account is subject to the completion of any Application or deployment already in progress, unless the Applicant validly withdraws under Article 8.3.</w:t>
      </w:r>
    </w:p>
    <w:p>
      <w:pPr>
        <w:spacing w:after="120" w:line="360"/>
        <w:ind w:left="720" w:hanging="720"/>
        <w:jc w:val="left"/>
      </w:pPr>
      <w:r>
        <w:rPr>
          <w:rFonts w:ascii="Times New Roman" w:eastAsia="SimSun"/>
          <w:b/>
          <w:bCs/>
          <w:color w:val="000000"/>
          <w:sz w:val="24"/>
          <w:szCs w:val="24"/>
        </w:rPr>
        <w:t xml:space="preserve">19.3	</w:t>
      </w:r>
      <w:r>
        <w:rPr>
          <w:rFonts w:ascii="Times New Roman" w:eastAsia="SimSun"/>
          <w:color w:val="000000"/>
          <w:sz w:val="24"/>
          <w:szCs w:val="24"/>
        </w:rPr>
        <w:t xml:space="preserve">Upon termination or closure for any reason: the license granted to you terminates; accrued payment obligations survive; and we may retain or delete data in accordance with our retention schedule and applicable law. Provisions that by their nature should survive termination, including Articles 13, 14, 15, 16, 17, 18, and 21 to 23, shall survive.</w:t>
      </w:r>
    </w:p>
    <w:p>
      <w:pPr>
        <w:pStyle w:val="Heading1"/>
        <w:keepNext/>
        <w:spacing w:after="160" w:before="360" w:line="360"/>
      </w:pPr>
      <w:bookmarkStart w:id="100019" w:name="_Toc100019"/>
      <w:r>
        <w:rPr>
          <w:rFonts w:ascii="Times New Roman" w:eastAsia="SimSun"/>
          <w:b/>
          <w:bCs/>
          <w:color w:val="000000"/>
          <w:sz w:val="26"/>
          <w:szCs w:val="26"/>
        </w:rPr>
        <w:t xml:space="preserve">Article 20 - Amendments</w:t>
      </w:r>
      <w:bookmarkEnd w:id="100019"/>
    </w:p>
    <w:p>
      <w:pPr>
        <w:spacing w:after="120" w:line="360"/>
        <w:ind w:left="720" w:hanging="720"/>
        <w:jc w:val="left"/>
      </w:pPr>
      <w:r>
        <w:rPr>
          <w:rFonts w:ascii="Times New Roman" w:eastAsia="SimSun"/>
          <w:b/>
          <w:bCs/>
          <w:color w:val="000000"/>
          <w:sz w:val="24"/>
          <w:szCs w:val="24"/>
        </w:rPr>
        <w:t xml:space="preserve">20.1	</w:t>
      </w:r>
      <w:r>
        <w:rPr>
          <w:rFonts w:ascii="Times New Roman" w:eastAsia="SimSun"/>
          <w:color w:val="000000"/>
          <w:sz w:val="24"/>
          <w:szCs w:val="24"/>
        </w:rPr>
        <w:t xml:space="preserve">We may amend these Terms from time to time. The current version shall be published on the Platform with its effective date. Where the amendment is material, we shall give reasonable advance notice through the Platform or by email before the amendment takes effect.</w:t>
      </w:r>
    </w:p>
    <w:p>
      <w:pPr>
        <w:spacing w:after="120" w:line="360"/>
        <w:ind w:left="720" w:hanging="720"/>
        <w:jc w:val="left"/>
      </w:pPr>
      <w:r>
        <w:rPr>
          <w:rFonts w:ascii="Times New Roman" w:eastAsia="SimSun"/>
          <w:b/>
          <w:bCs/>
          <w:color w:val="000000"/>
          <w:sz w:val="24"/>
          <w:szCs w:val="24"/>
        </w:rPr>
        <w:t xml:space="preserve">20.2	</w:t>
      </w:r>
      <w:r>
        <w:rPr>
          <w:rFonts w:ascii="Times New Roman" w:eastAsia="SimSun"/>
          <w:color w:val="000000"/>
          <w:sz w:val="24"/>
          <w:szCs w:val="24"/>
        </w:rPr>
        <w:t xml:space="preserve">If you do not agree to an amendment, you shall stop using the Platform and may close your Account under Article 19.2. Continued use after the effective date of an amendment constitutes acceptance of the amended Terms.</w:t>
      </w:r>
    </w:p>
    <w:p>
      <w:pPr>
        <w:pStyle w:val="Heading1"/>
        <w:keepNext/>
        <w:spacing w:after="160" w:before="360" w:line="360"/>
      </w:pPr>
      <w:bookmarkStart w:id="100020" w:name="_Toc100020"/>
      <w:r>
        <w:rPr>
          <w:rFonts w:ascii="Times New Roman" w:eastAsia="SimSun"/>
          <w:b/>
          <w:bCs/>
          <w:color w:val="000000"/>
          <w:sz w:val="26"/>
          <w:szCs w:val="26"/>
        </w:rPr>
        <w:t xml:space="preserve">Article 21 - Governing Law and Dispute Resolution</w:t>
      </w:r>
      <w:bookmarkEnd w:id="100020"/>
    </w:p>
    <w:p>
      <w:pPr>
        <w:spacing w:after="120" w:line="360"/>
        <w:ind w:left="720" w:hanging="720"/>
        <w:jc w:val="left"/>
      </w:pPr>
      <w:r>
        <w:rPr>
          <w:rFonts w:ascii="Times New Roman" w:eastAsia="SimSun"/>
          <w:b/>
          <w:bCs/>
          <w:color w:val="000000"/>
          <w:sz w:val="24"/>
          <w:szCs w:val="24"/>
        </w:rPr>
        <w:t xml:space="preserve">21.1	</w:t>
      </w:r>
      <w:r>
        <w:rPr>
          <w:rFonts w:ascii="Times New Roman" w:eastAsia="SimSun"/>
          <w:color w:val="000000"/>
          <w:sz w:val="24"/>
          <w:szCs w:val="24"/>
        </w:rPr>
        <w:t xml:space="preserve">These Terms and any dispute arising out of or in connection with them, including the use of the Platform, shall be governed by and construed in accordance with the laws of the Republic of the Philippines, without regard to its conflict-of-laws rules, and, where mandatory, the consumer protection and data protection laws of the User's jurisdiction of residence.</w:t>
      </w:r>
    </w:p>
    <w:p>
      <w:pPr>
        <w:spacing w:after="120" w:line="360"/>
        <w:ind w:left="720" w:hanging="720"/>
        <w:jc w:val="left"/>
      </w:pPr>
      <w:r>
        <w:rPr>
          <w:rFonts w:ascii="Times New Roman" w:eastAsia="SimSun"/>
          <w:b/>
          <w:bCs/>
          <w:color w:val="000000"/>
          <w:sz w:val="24"/>
          <w:szCs w:val="24"/>
        </w:rPr>
        <w:t xml:space="preserve">21.2	</w:t>
      </w:r>
      <w:r>
        <w:rPr>
          <w:rFonts w:ascii="Times New Roman" w:eastAsia="SimSun"/>
          <w:color w:val="000000"/>
          <w:sz w:val="24"/>
          <w:szCs w:val="24"/>
        </w:rPr>
        <w:t xml:space="preserve">The parties shall first attempt in good faith to resolve any dispute through negotiation for a period of thirty (30) days from written notice of the dispute. Disputes involving an Applicant acting primarily for personal, domestic, or household purposes may also be elevated to the appropriate consumer protection or labor authorities, including the DMW, in accordance with applicable procedures.</w:t>
      </w:r>
    </w:p>
    <w:p>
      <w:pPr>
        <w:spacing w:after="120" w:line="360"/>
        <w:ind w:left="720" w:hanging="720"/>
        <w:jc w:val="left"/>
      </w:pPr>
      <w:r>
        <w:rPr>
          <w:rFonts w:ascii="Times New Roman" w:eastAsia="SimSun"/>
          <w:b/>
          <w:bCs/>
          <w:color w:val="000000"/>
          <w:sz w:val="24"/>
          <w:szCs w:val="24"/>
        </w:rPr>
        <w:t xml:space="preserve">21.3	</w:t>
      </w:r>
      <w:r>
        <w:rPr>
          <w:rFonts w:ascii="Times New Roman" w:eastAsia="SimSun"/>
          <w:color w:val="000000"/>
          <w:sz w:val="24"/>
          <w:szCs w:val="24"/>
        </w:rPr>
        <w:t xml:space="preserve">Any dispute not resolved by negotiation shall be brought exclusively before the competent courts of the City of Manila, Philippines, and each party submits to the personal jurisdiction of those courts and waives any objection based on inconvenient forum, without prejudice to our right to seek interim or injunctive relief in any competent jurisdiction to protect our intellectual property, confidential information, or the security of the Platform.</w:t>
      </w:r>
    </w:p>
    <w:p>
      <w:pPr>
        <w:pStyle w:val="Heading1"/>
        <w:keepNext/>
        <w:spacing w:after="160" w:before="360" w:line="360"/>
      </w:pPr>
      <w:bookmarkStart w:id="100021" w:name="_Toc100021"/>
      <w:r>
        <w:rPr>
          <w:rFonts w:ascii="Times New Roman" w:eastAsia="SimSun"/>
          <w:b/>
          <w:bCs/>
          <w:color w:val="000000"/>
          <w:sz w:val="26"/>
          <w:szCs w:val="26"/>
        </w:rPr>
        <w:t xml:space="preserve">Article 22 - Miscellaneous</w:t>
      </w:r>
      <w:bookmarkEnd w:id="100021"/>
    </w:p>
    <w:p>
      <w:pPr>
        <w:spacing w:after="120" w:line="360"/>
        <w:ind w:left="720" w:hanging="720"/>
        <w:jc w:val="left"/>
      </w:pPr>
      <w:r>
        <w:rPr>
          <w:rFonts w:ascii="Times New Roman" w:eastAsia="SimSun"/>
          <w:b/>
          <w:bCs/>
          <w:color w:val="000000"/>
          <w:sz w:val="24"/>
          <w:szCs w:val="24"/>
        </w:rPr>
        <w:t xml:space="preserve">22.1	</w:t>
      </w:r>
      <w:r>
        <w:rPr>
          <w:rFonts w:ascii="Times New Roman" w:eastAsia="SimSun"/>
          <w:color w:val="000000"/>
          <w:sz w:val="24"/>
          <w:szCs w:val="24"/>
        </w:rPr>
        <w:t xml:space="preserve">Severability. If any provision of these Terms is held invalid, illegal, or unenforceable, the remaining provisions shall remain in full force, and the affected provision shall be modified to the minimum extent necessary to make it enforceable.</w:t>
      </w:r>
    </w:p>
    <w:p>
      <w:pPr>
        <w:spacing w:after="120" w:line="360"/>
        <w:ind w:left="720" w:hanging="720"/>
        <w:jc w:val="left"/>
      </w:pPr>
      <w:r>
        <w:rPr>
          <w:rFonts w:ascii="Times New Roman" w:eastAsia="SimSun"/>
          <w:b/>
          <w:bCs/>
          <w:color w:val="000000"/>
          <w:sz w:val="24"/>
          <w:szCs w:val="24"/>
        </w:rPr>
        <w:t xml:space="preserve">22.2	</w:t>
      </w:r>
      <w:r>
        <w:rPr>
          <w:rFonts w:ascii="Times New Roman" w:eastAsia="SimSun"/>
          <w:color w:val="000000"/>
          <w:sz w:val="24"/>
          <w:szCs w:val="24"/>
        </w:rPr>
        <w:t xml:space="preserve">No waiver. No failure or delay by us in exercising any right under these Terms constitutes a waiver of that right. A waiver is effective only if in writing.</w:t>
      </w:r>
    </w:p>
    <w:p>
      <w:pPr>
        <w:spacing w:after="120" w:line="360"/>
        <w:ind w:left="720" w:hanging="720"/>
        <w:jc w:val="left"/>
      </w:pPr>
      <w:r>
        <w:rPr>
          <w:rFonts w:ascii="Times New Roman" w:eastAsia="SimSun"/>
          <w:b/>
          <w:bCs/>
          <w:color w:val="000000"/>
          <w:sz w:val="24"/>
          <w:szCs w:val="24"/>
        </w:rPr>
        <w:t xml:space="preserve">22.3	</w:t>
      </w:r>
      <w:r>
        <w:rPr>
          <w:rFonts w:ascii="Times New Roman" w:eastAsia="SimSun"/>
          <w:color w:val="000000"/>
          <w:sz w:val="24"/>
          <w:szCs w:val="24"/>
        </w:rPr>
        <w:t xml:space="preserve">Assignment. You shall not assign or transfer your rights or obligations under these Terms without our prior written consent. We may assign or transfer these Terms, in whole or in part, in connection with a reorganization, merger, or transfer of the Platform's operations, with notice to affected Users.</w:t>
      </w:r>
    </w:p>
    <w:p>
      <w:pPr>
        <w:spacing w:after="120" w:line="360"/>
        <w:ind w:left="720" w:hanging="720"/>
        <w:jc w:val="left"/>
      </w:pPr>
      <w:r>
        <w:rPr>
          <w:rFonts w:ascii="Times New Roman" w:eastAsia="SimSun"/>
          <w:b/>
          <w:bCs/>
          <w:color w:val="000000"/>
          <w:sz w:val="24"/>
          <w:szCs w:val="24"/>
        </w:rPr>
        <w:t xml:space="preserve">22.4	</w:t>
      </w:r>
      <w:r>
        <w:rPr>
          <w:rFonts w:ascii="Times New Roman" w:eastAsia="SimSun"/>
          <w:color w:val="000000"/>
          <w:sz w:val="24"/>
          <w:szCs w:val="24"/>
        </w:rPr>
        <w:t xml:space="preserve">Independent parties. Nothing in these Terms creates any partnership, joint venture, agency, or employment relationship between you and FIRA. Partner Agencies and Employers are independent entities and are not our agents for the purpose of incurring obligations on our behalf.</w:t>
      </w:r>
    </w:p>
    <w:p>
      <w:pPr>
        <w:spacing w:after="120" w:line="360"/>
        <w:ind w:left="720" w:hanging="720"/>
        <w:jc w:val="left"/>
      </w:pPr>
      <w:r>
        <w:rPr>
          <w:rFonts w:ascii="Times New Roman" w:eastAsia="SimSun"/>
          <w:b/>
          <w:bCs/>
          <w:color w:val="000000"/>
          <w:sz w:val="24"/>
          <w:szCs w:val="24"/>
        </w:rPr>
        <w:t xml:space="preserve">22.5	</w:t>
      </w:r>
      <w:r>
        <w:rPr>
          <w:rFonts w:ascii="Times New Roman" w:eastAsia="SimSun"/>
          <w:color w:val="000000"/>
          <w:sz w:val="24"/>
          <w:szCs w:val="24"/>
        </w:rPr>
        <w:t xml:space="preserve">Entire agreement. These Terms, together with the Privacy Policy, the End-User License Agreement and Cookie Notice, and any service agreement or order form expressly incorporated, constitute the entire agreement between the parties regarding the Platform and supersede prior arrangements on the same subject matter.</w:t>
      </w:r>
    </w:p>
    <w:p>
      <w:pPr>
        <w:spacing w:after="120" w:line="360"/>
        <w:ind w:left="720" w:hanging="720"/>
        <w:jc w:val="left"/>
      </w:pPr>
      <w:r>
        <w:rPr>
          <w:rFonts w:ascii="Times New Roman" w:eastAsia="SimSun"/>
          <w:b/>
          <w:bCs/>
          <w:color w:val="000000"/>
          <w:sz w:val="24"/>
          <w:szCs w:val="24"/>
        </w:rPr>
        <w:t xml:space="preserve">22.6	</w:t>
      </w:r>
      <w:r>
        <w:rPr>
          <w:rFonts w:ascii="Times New Roman" w:eastAsia="SimSun"/>
          <w:color w:val="000000"/>
          <w:sz w:val="24"/>
          <w:szCs w:val="24"/>
        </w:rPr>
        <w:t xml:space="preserve">Language. These Terms are drafted in English. Where a translation is provided for convenience, the English version prevails in case of conflict, except where local law grants precedence to a translation or to the local language version.</w:t>
      </w:r>
    </w:p>
    <w:p>
      <w:pPr>
        <w:pStyle w:val="Heading1"/>
        <w:keepNext/>
        <w:spacing w:after="160" w:before="360" w:line="360"/>
      </w:pPr>
      <w:bookmarkStart w:id="100022" w:name="_Toc100022"/>
      <w:r>
        <w:rPr>
          <w:rFonts w:ascii="Times New Roman" w:eastAsia="SimSun"/>
          <w:b/>
          <w:bCs/>
          <w:color w:val="000000"/>
          <w:sz w:val="26"/>
          <w:szCs w:val="26"/>
        </w:rPr>
        <w:t xml:space="preserve">Article 23 - Notices and Contact Information</w:t>
      </w:r>
      <w:bookmarkEnd w:id="100022"/>
    </w:p>
    <w:p>
      <w:pPr>
        <w:spacing w:after="120" w:line="360"/>
        <w:ind w:left="720" w:hanging="720"/>
        <w:jc w:val="left"/>
      </w:pPr>
      <w:r>
        <w:rPr>
          <w:rFonts w:ascii="Times New Roman" w:eastAsia="SimSun"/>
          <w:b/>
          <w:bCs/>
          <w:color w:val="000000"/>
          <w:sz w:val="24"/>
          <w:szCs w:val="24"/>
        </w:rPr>
        <w:t xml:space="preserve">23.1	</w:t>
      </w:r>
      <w:r>
        <w:rPr>
          <w:rFonts w:ascii="Times New Roman" w:eastAsia="SimSun"/>
          <w:color w:val="000000"/>
          <w:sz w:val="24"/>
          <w:szCs w:val="24"/>
        </w:rPr>
        <w:t xml:space="preserve">Notices from us to you may be given through in-Platform notifications, the email address registered to your Account, or postings on the Platform, and are deemed received on the date of posting or dispatch, as applicable. Notices from you to us shall be sent in writing to the contact points below and are deemed received on confirmed receipt.</w:t>
      </w:r>
    </w:p>
    <w:p>
      <w:pPr>
        <w:spacing w:after="120" w:line="360"/>
        <w:ind w:left="720" w:hanging="720"/>
        <w:jc w:val="left"/>
      </w:pPr>
      <w:r>
        <w:rPr>
          <w:rFonts w:ascii="Times New Roman" w:eastAsia="SimSun"/>
          <w:b/>
          <w:bCs/>
          <w:color w:val="000000"/>
          <w:sz w:val="24"/>
          <w:szCs w:val="24"/>
        </w:rPr>
        <w:t xml:space="preserve">23.2	</w:t>
      </w:r>
      <w:r>
        <w:rPr>
          <w:rFonts w:ascii="Times New Roman" w:eastAsia="SimSun"/>
          <w:color w:val="000000"/>
          <w:sz w:val="24"/>
          <w:szCs w:val="24"/>
        </w:rPr>
        <w:t xml:space="preserve">Operator and platform inquiries: FIL International Recruitment Agency (FIRA), 59 Boulevard Zerktouni, Residence Les Fleurs, 6th Floor, Apartment 19, 20360 Casablanca, Morocco; email: client@filinternational.ma; telephone: +212 6 62 26 14 99 / +212 6 62 26 03 36; website: filinternational.ma.</w:t>
      </w:r>
    </w:p>
    <w:p>
      <w:pPr>
        <w:spacing w:after="120" w:line="360"/>
        <w:ind w:left="720" w:hanging="720"/>
        <w:jc w:val="left"/>
      </w:pPr>
      <w:r>
        <w:rPr>
          <w:rFonts w:ascii="Times New Roman" w:eastAsia="SimSun"/>
          <w:b/>
          <w:bCs/>
          <w:color w:val="000000"/>
          <w:sz w:val="24"/>
          <w:szCs w:val="24"/>
        </w:rPr>
        <w:t xml:space="preserve">23.3	</w:t>
      </w:r>
      <w:r>
        <w:rPr>
          <w:rFonts w:ascii="Times New Roman" w:eastAsia="SimSun"/>
          <w:color w:val="000000"/>
          <w:sz w:val="24"/>
          <w:szCs w:val="24"/>
        </w:rPr>
        <w:t xml:space="preserve">Manpower and applicant inquiries: manpower@filinternational.ma. Privacy inquiries and data subject requests: through the channels stated in the Privacy Policy. Reports of suspected illegal recruitment or document fraud may also be directed to the Department of Migrant Workers of the Philippines through its official channels.</w:t>
      </w:r>
    </w:p>
    <w:p>
      <w:pPr>
        <w:spacing w:after="120" w:line="360"/>
        <w:ind w:left="720" w:hanging="720"/>
        <w:jc w:val="left"/>
      </w:pPr>
      <w:r>
        <w:rPr>
          <w:rFonts w:ascii="Times New Roman" w:eastAsia="SimSun"/>
          <w:b/>
          <w:bCs/>
          <w:color w:val="000000"/>
          <w:sz w:val="24"/>
          <w:szCs w:val="24"/>
        </w:rPr>
        <w:t xml:space="preserve">23.4	</w:t>
      </w:r>
      <w:r>
        <w:rPr>
          <w:rFonts w:ascii="Times New Roman" w:eastAsia="SimSun"/>
          <w:color w:val="000000"/>
          <w:sz w:val="24"/>
          <w:szCs w:val="24"/>
        </w:rPr>
        <w:t xml:space="preserve">For purposes of service of formal legal notices on FIRA within the Philippines, notices may be served on the appointed Philippine partner office: 【Philippine partner office and address for service】.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SimSun"/>
        <w:color w:val="000000"/>
        <w:sz w:val="18"/>
        <w:szCs w:val="18"/>
      </w:rPr>
      <w:t xml:space="preserve">MatchWise Platform - Terms and Conditions of Use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SimSun"/>
        <w:color w:val="000000"/>
        <w:sz w:val="18"/>
        <w:szCs w:val="18"/>
      </w:rPr>
      <w:t xml:space="preserve">MatchWise Platform - Terms and Conditions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60"/>
      <w:outlineLvl w:val="0"/>
    </w:pPr>
    <w:rPr>
      <w:rFonts w:ascii="Times New Roman" w:eastAsia="SimSun"/>
      <w:b/>
      <w:bCs/>
      <w:color w:val="000000"/>
      <w:sz w:val="26"/>
      <w:szCs w:val="26"/>
    </w:rPr>
  </w:style>
  <w:style w:type="paragraph" w:styleId="Heading2">
    <w:name w:val="Heading 2"/>
    <w:basedOn w:val="Normal"/>
    <w:next w:val="Normal"/>
    <w:qFormat/>
    <w:pPr>
      <w:spacing w:after="120" w:before="240" w:line="360"/>
      <w:outlineLvl w:val="1"/>
    </w:pPr>
    <w:rPr>
      <w:rFonts w:ascii="Times New Roman" w:eastAsia="SimSun"/>
      <w:b/>
      <w:bCs/>
      <w:color w:val="000000"/>
      <w:sz w:val="24"/>
      <w:szCs w:val="24"/>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OF USE</dc:title>
  <dc:subject>MatchWise Platform legal document - FIL International Recruitment Agency (FIRA)</dc:subject>
  <dc:creator>Z.ai</dc:creator>
  <cp:lastModifiedBy>Un-named</cp:lastModifiedBy>
  <cp:revision>1</cp:revision>
  <dcterms:created xsi:type="dcterms:W3CDTF">2026-10-15T18:32:53.408Z</dcterms:created>
  <dcterms:modified xsi:type="dcterms:W3CDTF">2026-10-15T18:32:53.408Z</dcterms:modified>
</cp:coreProperties>
</file>

<file path=docProps/custom.xml><?xml version="1.0" encoding="utf-8"?>
<Properties xmlns="http://schemas.openxmlformats.org/officeDocument/2006/custom-properties" xmlns:vt="http://schemas.openxmlformats.org/officeDocument/2006/docPropsVTypes"/>
</file>