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0" w:line="320" w:lineRule="atLeast"/>
        <w:jc w:val="center"/>
      </w:pPr>
      <w:r>
        <w:rPr>
          <w:rFonts w:ascii="Times New Roman" w:eastAsia="SimSun"/>
          <w:b/>
          <w:bCs/>
          <w:color w:val="000000"/>
          <w:sz w:val="26"/>
          <w:szCs w:val="26"/>
        </w:rPr>
        <w:t xml:space="preserve">MATCHWISE PLATFORM</w:t>
      </w:r>
    </w:p>
    <w:p>
      <w:pPr>
        <w:spacing w:after="160" w:before="120" w:line="506" w:lineRule="atLeast"/>
        <w:jc w:val="center"/>
      </w:pPr>
      <w:r>
        <w:rPr>
          <w:rFonts w:ascii="Times New Roman" w:eastAsia="SimSun"/>
          <w:b/>
          <w:bCs/>
          <w:color w:val="000000"/>
          <w:sz w:val="44"/>
          <w:szCs w:val="44"/>
        </w:rPr>
        <w:t xml:space="preserve">TERMS AND CONDITIONS OF USE</w:t>
      </w:r>
    </w:p>
    <w:p>
      <w:pPr>
        <w:spacing w:after="120" w:line="320"/>
        <w:jc w:val="center"/>
      </w:pPr>
      <w:r>
        <w:rPr>
          <w:rFonts w:ascii="Times New Roman" w:eastAsia="SimSun"/>
          <w:color w:val="000000"/>
          <w:sz w:val="24"/>
          <w:szCs w:val="24"/>
        </w:rPr>
        <w:t xml:space="preserve">Medium-Length Edition - Operated by FIL International Recruitment Agency (FIRA)</w:t>
      </w:r>
    </w:p>
    <w:p>
      <w:pPr>
        <w:spacing w:after="40" w:line="300"/>
        <w:jc w:val="center"/>
      </w:pPr>
      <w:r>
        <w:rPr>
          <w:rFonts w:ascii="Times New Roman" w:eastAsia="SimSun"/>
          <w:color w:val="000000"/>
          <w:sz w:val="21"/>
          <w:szCs w:val="21"/>
        </w:rPr>
        <w:t xml:space="preserve">Registered office: 59 Boulevard Zerktouni, Residence Les Fleurs, 6th Floor, Apartment 19, 20360 Casablanca, Morocco</w:t>
      </w:r>
    </w:p>
    <w:p>
      <w:pPr>
        <w:spacing w:after="40" w:line="300"/>
        <w:jc w:val="center"/>
      </w:pPr>
      <w:r>
        <w:rPr>
          <w:rFonts w:ascii="Times New Roman" w:eastAsia="SimSun"/>
          <w:color w:val="000000"/>
          <w:sz w:val="21"/>
          <w:szCs w:val="21"/>
        </w:rPr>
        <w:t xml:space="preserve">Version 1.0 (Medium) - Effective on 【Effective Date】</w:t>
      </w:r>
    </w:p>
    <w:p>
      <w:pPr>
        <w:pBdr>
          <w:bottom w:val="single" w:color="000000" w:sz="6" w:space="4"/>
        </w:pBdr>
        <w:spacing w:after="240" w:before="160"/>
      </w:pPr>
      <w:r>
        <w:rPr>
          <w:sz w:val="2"/>
          <w:szCs w:val="2"/>
        </w:rPr>
        <w:t xml:space="preserve"/>
      </w:r>
    </w:p>
    <w:p>
      <w:pPr>
        <w:spacing w:after="360" w:before="480" w:line="360"/>
        <w:jc w:val="center"/>
      </w:pPr>
      <w:r>
        <w:rPr>
          <w:rFonts w:ascii="Times New Roman" w:eastAsia="SimSun"/>
          <w:b/>
          <w:bCs/>
          <w:color w:val="000000"/>
          <w:sz w:val="32"/>
          <w:szCs w:val="32"/>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Article 1 - Acceptance, Eligibility and Amendments</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Article 2 - Definitions</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Article 3 - About the Platform and Our Role</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Article 4 - Accounts</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Article 5 - User Roles</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Article 6 - AI-Assisted Matching and Assessment</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Article 7 - Verification and Anti-Illegal Recruitment</w:t>
            </w:r>
            <w:r>
              <w:tab/>
            </w:r>
            <w:r>
              <w:fldChar w:fldCharType="begin"/>
            </w:r>
            <w:r>
              <w:instrText xml:space="preserve"> PAGEREF _Toc100006 \h </w:instrText>
            </w:r>
            <w:r>
              <w:fldChar w:fldCharType="separate"/>
            </w:r>
            <w:r>
              <w:t>5</w:t>
            </w:r>
            <w:r>
              <w:fldChar w:fldCharType="end"/>
            </w:r>
          </w:hyperlink>
        </w:p>
        <w:p>
          <w:pPr>
            <w:pStyle w:val="9"/>
            <w:tabs>
              <w:tab w:val="right" w:leader="dot" w:pos="9026"/>
            </w:tabs>
            <w:spacing w:before="120" w:after="60"/>
          </w:pPr>
          <w:hyperlink w:anchor="_Toc100007" w:history="1">
            <w:r>
              <w:rPr>
                <w:rStyle w:val="Hyperlink"/>
              </w:rPr>
              <w:t>Article 8 - Fees and Refunds</w:t>
            </w:r>
            <w:r>
              <w:tab/>
            </w:r>
            <w:r>
              <w:fldChar w:fldCharType="begin"/>
            </w:r>
            <w:r>
              <w:instrText xml:space="preserve"> PAGEREF _Toc100007 \h </w:instrText>
            </w:r>
            <w:r>
              <w:fldChar w:fldCharType="separate"/>
            </w:r>
            <w:r>
              <w:t>5</w:t>
            </w:r>
            <w:r>
              <w:fldChar w:fldCharType="end"/>
            </w:r>
          </w:hyperlink>
        </w:p>
        <w:p>
          <w:pPr>
            <w:pStyle w:val="9"/>
            <w:tabs>
              <w:tab w:val="right" w:leader="dot" w:pos="9026"/>
            </w:tabs>
            <w:spacing w:before="120" w:after="60"/>
          </w:pPr>
          <w:hyperlink w:anchor="_Toc100008" w:history="1">
            <w:r>
              <w:rPr>
                <w:rStyle w:val="Hyperlink"/>
              </w:rPr>
              <w:t>Article 9 - Acceptable Use and Intellectual Property</w:t>
            </w:r>
            <w:r>
              <w:tab/>
            </w:r>
            <w:r>
              <w:fldChar w:fldCharType="begin"/>
            </w:r>
            <w:r>
              <w:instrText xml:space="preserve"> PAGEREF _Toc100008 \h </w:instrText>
            </w:r>
            <w:r>
              <w:fldChar w:fldCharType="separate"/>
            </w:r>
            <w:r>
              <w:t>6</w:t>
            </w:r>
            <w:r>
              <w:fldChar w:fldCharType="end"/>
            </w:r>
          </w:hyperlink>
        </w:p>
        <w:p>
          <w:pPr>
            <w:pStyle w:val="9"/>
            <w:tabs>
              <w:tab w:val="right" w:leader="dot" w:pos="9026"/>
            </w:tabs>
            <w:spacing w:before="120" w:after="60"/>
          </w:pPr>
          <w:hyperlink w:anchor="_Toc100009" w:history="1">
            <w:r>
              <w:rPr>
                <w:rStyle w:val="Hyperlink"/>
              </w:rPr>
              <w:t>Article 10 - Data Privacy</w:t>
            </w:r>
            <w:r>
              <w:tab/>
            </w:r>
            <w:r>
              <w:fldChar w:fldCharType="begin"/>
            </w:r>
            <w:r>
              <w:instrText xml:space="preserve"> PAGEREF _Toc100009 \h </w:instrText>
            </w:r>
            <w:r>
              <w:fldChar w:fldCharType="separate"/>
            </w:r>
            <w:r>
              <w:t>6</w:t>
            </w:r>
            <w:r>
              <w:fldChar w:fldCharType="end"/>
            </w:r>
          </w:hyperlink>
        </w:p>
        <w:p>
          <w:pPr>
            <w:pStyle w:val="9"/>
            <w:tabs>
              <w:tab w:val="right" w:leader="dot" w:pos="9026"/>
            </w:tabs>
            <w:spacing w:before="120" w:after="60"/>
          </w:pPr>
          <w:hyperlink w:anchor="_Toc100010" w:history="1">
            <w:r>
              <w:rPr>
                <w:rStyle w:val="Hyperlink"/>
              </w:rPr>
              <w:t>Article 11 - Suspension, Termination and Withdrawal</w:t>
            </w:r>
            <w:r>
              <w:tab/>
            </w:r>
            <w:r>
              <w:fldChar w:fldCharType="begin"/>
            </w:r>
            <w:r>
              <w:instrText xml:space="preserve"> PAGEREF _Toc100010 \h </w:instrText>
            </w:r>
            <w:r>
              <w:fldChar w:fldCharType="separate"/>
            </w:r>
            <w:r>
              <w:t>7</w:t>
            </w:r>
            <w:r>
              <w:fldChar w:fldCharType="end"/>
            </w:r>
          </w:hyperlink>
        </w:p>
        <w:p>
          <w:pPr>
            <w:pStyle w:val="9"/>
            <w:tabs>
              <w:tab w:val="right" w:leader="dot" w:pos="9026"/>
            </w:tabs>
            <w:spacing w:before="120" w:after="60"/>
          </w:pPr>
          <w:hyperlink w:anchor="_Toc100011" w:history="1">
            <w:r>
              <w:rPr>
                <w:rStyle w:val="Hyperlink"/>
              </w:rPr>
              <w:t>Article 12 - Disclaimers and Limitation of Liability</w:t>
            </w:r>
            <w:r>
              <w:tab/>
            </w:r>
            <w:r>
              <w:fldChar w:fldCharType="begin"/>
            </w:r>
            <w:r>
              <w:instrText xml:space="preserve"> PAGEREF _Toc100011 \h </w:instrText>
            </w:r>
            <w:r>
              <w:fldChar w:fldCharType="separate"/>
            </w:r>
            <w:r>
              <w:t>7</w:t>
            </w:r>
            <w:r>
              <w:fldChar w:fldCharType="end"/>
            </w:r>
          </w:hyperlink>
        </w:p>
        <w:p>
          <w:pPr>
            <w:pStyle w:val="9"/>
            <w:tabs>
              <w:tab w:val="right" w:leader="dot" w:pos="9026"/>
            </w:tabs>
            <w:spacing w:before="120" w:after="60"/>
          </w:pPr>
          <w:hyperlink w:anchor="_Toc100012" w:history="1">
            <w:r>
              <w:rPr>
                <w:rStyle w:val="Hyperlink"/>
              </w:rPr>
              <w:t>Article 13 - Governing Law, Disputes and Contact</w:t>
            </w:r>
            <w:r>
              <w:tab/>
            </w:r>
            <w:r>
              <w:fldChar w:fldCharType="begin"/>
            </w:r>
            <w:r>
              <w:instrText xml:space="preserve"> PAGEREF _Toc100012 \h </w:instrText>
            </w:r>
            <w:r>
              <w:fldChar w:fldCharType="separate"/>
            </w:r>
            <w:r>
              <w:t>8</w:t>
            </w:r>
            <w:r>
              <w:fldChar w:fldCharType="end"/>
            </w:r>
          </w:hyperlink>
        </w:p>
        <w:p>
          <w:r>
            <w:fldChar w:fldCharType="end"/>
          </w:r>
        </w:p>
      </w:sdtContent>
    </w:sdt>
    <w:p>
      <w:pPr>
        <w:spacing w:before="200"/>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pPr>
        <w:sectPr>
          <w:headerReference w:type="default" r:id="rId7"/>
          <w:footerReference w:type="default" r:id="rId8"/>
          <w:pgSz w:w="11906" w:h="16838" w:orient="portrait"/>
          <w:pgMar w:top="1440" w:right="1417" w:bottom="1440" w:left="1701" w:header="708" w:footer="708" w:gutter="0"/>
          <w:pgNumType w:start="1" w:fmt="upperRoman"/>
          <w:docGrid w:linePitch="360"/>
        </w:sectPr>
      </w:pPr>
    </w:p>
    <w:p>
      <w:pPr>
        <w:spacing w:after="120" w:line="360"/>
        <w:ind w:firstLine="480"/>
        <w:jc w:val="both"/>
      </w:pPr>
      <w:r>
        <w:rPr>
          <w:rFonts w:ascii="Times New Roman" w:eastAsia="SimSun"/>
          <w:color w:val="000000"/>
          <w:sz w:val="24"/>
          <w:szCs w:val="24"/>
        </w:rPr>
        <w:t xml:space="preserve">These Terms and Conditions of Use (“the Terms”) govern access to and use of the MatchWise online platform, including its website, web application, and related services (collectively, “the Platform”), operated by FIL International Recruitment Agency (“FIRA”, “we”, “us”, or “the Operator”), with registered office at 59 Boulevard Zerktouni, Residence Les Fleurs, 6th Floor, Apartment 19, 20360 Casablanca, Morocco. By creating an account, accessing, browsing, or otherwise using the Platform, you (“the User”) agree to be bound by these Terms, together with the MatchWise Privacy Policy and the MatchWise End-User License Agreement and Cookie Notice, each incorporated by reference. If you do not agree, you shall not access or use the Platform.</w:t>
      </w:r>
    </w:p>
    <w:p>
      <w:pPr>
        <w:pStyle w:val="Heading1"/>
        <w:keepNext/>
        <w:spacing w:after="160" w:before="360" w:line="360"/>
      </w:pPr>
      <w:bookmarkStart w:id="100000" w:name="_Toc100000"/>
      <w:r>
        <w:rPr>
          <w:rFonts w:ascii="Times New Roman" w:eastAsia="SimSun"/>
          <w:b/>
          <w:bCs/>
          <w:color w:val="000000"/>
          <w:sz w:val="26"/>
          <w:szCs w:val="26"/>
        </w:rPr>
        <w:t xml:space="preserve">Article 1 - Acceptance, Eligibility and Amendments</w:t>
      </w:r>
      <w:bookmarkEnd w:id="100000"/>
    </w:p>
    <w:p>
      <w:pPr>
        <w:spacing w:after="120" w:line="360"/>
        <w:ind w:left="720" w:hanging="720"/>
        <w:jc w:val="left"/>
      </w:pPr>
      <w:r>
        <w:rPr>
          <w:rFonts w:ascii="Times New Roman" w:eastAsia="SimSun"/>
          <w:b/>
          <w:bCs/>
          <w:color w:val="000000"/>
          <w:sz w:val="24"/>
          <w:szCs w:val="24"/>
        </w:rPr>
        <w:t xml:space="preserve">1.1	</w:t>
      </w:r>
      <w:r>
        <w:rPr>
          <w:rFonts w:ascii="Times New Roman" w:eastAsia="SimSun"/>
          <w:color w:val="000000"/>
          <w:sz w:val="24"/>
          <w:szCs w:val="24"/>
        </w:rPr>
        <w:t xml:space="preserve">By clicking the acceptance checkbox during registration, or by using the Platform in any manner, you acknowledge that you have read, understood, and agree to be bound by these Terms. If you use the Platform on behalf of an organization, you represent that you have authority to bind that organization, and “you” refers to that organization.</w:t>
      </w:r>
    </w:p>
    <w:p>
      <w:pPr>
        <w:spacing w:after="120" w:line="360"/>
        <w:ind w:left="720" w:hanging="720"/>
        <w:jc w:val="left"/>
      </w:pPr>
      <w:r>
        <w:rPr>
          <w:rFonts w:ascii="Times New Roman" w:eastAsia="SimSun"/>
          <w:b/>
          <w:bCs/>
          <w:color w:val="000000"/>
          <w:sz w:val="24"/>
          <w:szCs w:val="24"/>
        </w:rPr>
        <w:t xml:space="preserve">1.2	</w:t>
      </w:r>
      <w:r>
        <w:rPr>
          <w:rFonts w:ascii="Times New Roman" w:eastAsia="SimSun"/>
          <w:color w:val="000000"/>
          <w:sz w:val="24"/>
          <w:szCs w:val="24"/>
        </w:rPr>
        <w:t xml:space="preserve">You shall not use the Platform if you are below eighteen (18) years of age. Accounts of Users identified as minors shall be suspended and their data handled in accordance with the Privacy Policy.</w:t>
      </w:r>
    </w:p>
    <w:p>
      <w:pPr>
        <w:spacing w:after="120" w:line="360"/>
        <w:ind w:left="720" w:hanging="720"/>
        <w:jc w:val="left"/>
      </w:pPr>
      <w:r>
        <w:rPr>
          <w:rFonts w:ascii="Times New Roman" w:eastAsia="SimSun"/>
          <w:b/>
          <w:bCs/>
          <w:color w:val="000000"/>
          <w:sz w:val="24"/>
          <w:szCs w:val="24"/>
        </w:rPr>
        <w:t xml:space="preserve">1.3	</w:t>
      </w:r>
      <w:r>
        <w:rPr>
          <w:rFonts w:ascii="Times New Roman" w:eastAsia="SimSun"/>
          <w:color w:val="000000"/>
          <w:sz w:val="24"/>
          <w:szCs w:val="24"/>
        </w:rPr>
        <w:t xml:space="preserve">We may amend these Terms from time to time. The current version is published on the Platform with its effective date; material amendments are announced in advance through the Platform or by email. Your continued use after the effective date constitutes acceptance of the amended Terms.</w:t>
      </w:r>
    </w:p>
    <w:p>
      <w:pPr>
        <w:pStyle w:val="Heading1"/>
        <w:keepNext/>
        <w:spacing w:after="160" w:before="360" w:line="360"/>
      </w:pPr>
      <w:bookmarkStart w:id="100001" w:name="_Toc100001"/>
      <w:r>
        <w:rPr>
          <w:rFonts w:ascii="Times New Roman" w:eastAsia="SimSun"/>
          <w:b/>
          <w:bCs/>
          <w:color w:val="000000"/>
          <w:sz w:val="26"/>
          <w:szCs w:val="26"/>
        </w:rPr>
        <w:t xml:space="preserve">Article 2 - Definitions</w:t>
      </w:r>
      <w:bookmarkEnd w:id="100001"/>
    </w:p>
    <w:p>
      <w:pPr>
        <w:spacing w:after="120" w:line="360"/>
        <w:ind w:left="720" w:hanging="720"/>
        <w:jc w:val="left"/>
      </w:pPr>
      <w:r>
        <w:rPr>
          <w:rFonts w:ascii="Times New Roman" w:eastAsia="SimSun"/>
          <w:b/>
          <w:bCs/>
          <w:color w:val="000000"/>
          <w:sz w:val="24"/>
          <w:szCs w:val="24"/>
        </w:rPr>
        <w:t xml:space="preserve">2.1	</w:t>
      </w:r>
      <w:r>
        <w:rPr>
          <w:rFonts w:ascii="Times New Roman" w:eastAsia="SimSun"/>
          <w:color w:val="000000"/>
          <w:sz w:val="24"/>
          <w:szCs w:val="24"/>
        </w:rPr>
        <w:t xml:space="preserve">In these Terms: “Applicant” means a registered user who applies for overseas employment opportunities through the Platform. “Agency” means a licensed manning or recruitment agency that uses the Platform to source, screen, endorse, or process Applicants.</w:t>
      </w:r>
    </w:p>
    <w:p>
      <w:pPr>
        <w:spacing w:after="120" w:line="360"/>
        <w:ind w:left="720" w:hanging="720"/>
        <w:jc w:val="left"/>
      </w:pPr>
      <w:r>
        <w:rPr>
          <w:rFonts w:ascii="Times New Roman" w:eastAsia="SimSun"/>
          <w:b/>
          <w:bCs/>
          <w:color w:val="000000"/>
          <w:sz w:val="24"/>
          <w:szCs w:val="24"/>
        </w:rPr>
        <w:t xml:space="preserve">2.2	</w:t>
      </w:r>
      <w:r>
        <w:rPr>
          <w:rFonts w:ascii="Times New Roman" w:eastAsia="SimSun"/>
          <w:color w:val="000000"/>
          <w:sz w:val="24"/>
          <w:szCs w:val="24"/>
        </w:rPr>
        <w:t xml:space="preserve">“Employer” means a foreign principal, company, household, or organization that posts Job Orders or receives endorsed candidates through the Platform. “Partner Agency” means a land-based recruitment agency duly licensed by the Department of Migrant Workers (DMW) of the Republic of the Philippines that conducts licensing-regulated recruitment and placement activities in the Philippines in connection with the Platform, which may include MY K STAR International Manpower Services Corporation and such other agencies as we may appoint.</w:t>
      </w:r>
    </w:p>
    <w:p>
      <w:pPr>
        <w:spacing w:after="120" w:line="360"/>
        <w:ind w:left="720" w:hanging="720"/>
        <w:jc w:val="left"/>
      </w:pPr>
      <w:r>
        <w:rPr>
          <w:rFonts w:ascii="Times New Roman" w:eastAsia="SimSun"/>
          <w:b/>
          <w:bCs/>
          <w:color w:val="000000"/>
          <w:sz w:val="24"/>
          <w:szCs w:val="24"/>
        </w:rPr>
        <w:t xml:space="preserve">2.3	</w:t>
      </w:r>
      <w:r>
        <w:rPr>
          <w:rFonts w:ascii="Times New Roman" w:eastAsia="SimSun"/>
          <w:color w:val="000000"/>
          <w:sz w:val="24"/>
          <w:szCs w:val="24"/>
        </w:rPr>
        <w:t xml:space="preserve">“Job Order” means a job posting or demand request published on the Platform, including the position, destination country, salary and benefits, qualifications, and required skills. “Application” means a candidate's submission for a Job Order and its associated review workflow. “Endorsement” means the facilitated referral of an Applicant to an Employer through the two-step review described in Article 7.3. “Match Score” means the computer-generated similarity and suitability score described in Article 6.</w:t>
      </w:r>
    </w:p>
    <w:p>
      <w:pPr>
        <w:spacing w:after="120" w:line="360"/>
        <w:ind w:left="720" w:hanging="720"/>
        <w:jc w:val="left"/>
      </w:pPr>
      <w:r>
        <w:rPr>
          <w:rFonts w:ascii="Times New Roman" w:eastAsia="SimSun"/>
          <w:b/>
          <w:bCs/>
          <w:color w:val="000000"/>
          <w:sz w:val="24"/>
          <w:szCs w:val="24"/>
        </w:rPr>
        <w:t xml:space="preserve">2.4	</w:t>
      </w:r>
      <w:r>
        <w:rPr>
          <w:rFonts w:ascii="Times New Roman" w:eastAsia="SimSun"/>
          <w:color w:val="000000"/>
          <w:sz w:val="24"/>
          <w:szCs w:val="24"/>
        </w:rPr>
        <w:t xml:space="preserve">Headings are for convenience only. Words importing the singular include the plural and vice versa. References to statutes include their implementing rules and regulations and any amendment or re-enactment.</w:t>
      </w:r>
    </w:p>
    <w:p>
      <w:pPr>
        <w:pStyle w:val="Heading1"/>
        <w:keepNext/>
        <w:spacing w:after="160" w:before="360" w:line="360"/>
      </w:pPr>
      <w:bookmarkStart w:id="100002" w:name="_Toc100002"/>
      <w:r>
        <w:rPr>
          <w:rFonts w:ascii="Times New Roman" w:eastAsia="SimSun"/>
          <w:b/>
          <w:bCs/>
          <w:color w:val="000000"/>
          <w:sz w:val="26"/>
          <w:szCs w:val="26"/>
        </w:rPr>
        <w:t xml:space="preserve">Article 3 - About the Platform and Our Role</w:t>
      </w:r>
      <w:bookmarkEnd w:id="100002"/>
    </w:p>
    <w:p>
      <w:pPr>
        <w:spacing w:after="120" w:line="360"/>
        <w:ind w:left="720" w:hanging="720"/>
        <w:jc w:val="left"/>
      </w:pPr>
      <w:r>
        <w:rPr>
          <w:rFonts w:ascii="Times New Roman" w:eastAsia="SimSun"/>
          <w:b/>
          <w:bCs/>
          <w:color w:val="000000"/>
          <w:sz w:val="24"/>
          <w:szCs w:val="24"/>
        </w:rPr>
        <w:t xml:space="preserve">3.1	</w:t>
      </w:r>
      <w:r>
        <w:rPr>
          <w:rFonts w:ascii="Times New Roman" w:eastAsia="SimSun"/>
          <w:color w:val="000000"/>
          <w:sz w:val="24"/>
          <w:szCs w:val="24"/>
        </w:rPr>
        <w:t xml:space="preserve">The Platform is an online matching, facilitation, and workflow-management system that connects Filipino and other Applicants with international Employers, principally for deployment to Morocco and other destinations, through licensed Agencies and Partner Agencies. It provides job discovery, profile and document management, automated matching, application tracking, endorsement workflow, and related communication features.</w:t>
      </w:r>
    </w:p>
    <w:p>
      <w:pPr>
        <w:spacing w:after="120" w:line="360"/>
        <w:ind w:left="720" w:hanging="720"/>
        <w:jc w:val="left"/>
      </w:pPr>
      <w:r>
        <w:rPr>
          <w:rFonts w:ascii="Times New Roman" w:eastAsia="SimSun"/>
          <w:b/>
          <w:bCs/>
          <w:color w:val="000000"/>
          <w:sz w:val="24"/>
          <w:szCs w:val="24"/>
        </w:rPr>
        <w:t xml:space="preserve">3.2	</w:t>
      </w:r>
      <w:r>
        <w:rPr>
          <w:rFonts w:ascii="Times New Roman" w:eastAsia="SimSun"/>
          <w:color w:val="000000"/>
          <w:sz w:val="24"/>
          <w:szCs w:val="24"/>
        </w:rPr>
        <w:t xml:space="preserve">We operate the Platform as a facilitator. FIRA and the Platform are not the employer of any Applicant, are not a party to any employment contract between an Applicant and an Employer, and do not assume employer obligations under any labour or social legislation.</w:t>
      </w:r>
    </w:p>
    <w:p>
      <w:pPr>
        <w:spacing w:after="120" w:line="360"/>
        <w:ind w:left="720" w:hanging="720"/>
        <w:jc w:val="left"/>
      </w:pPr>
      <w:r>
        <w:rPr>
          <w:rFonts w:ascii="Times New Roman" w:eastAsia="SimSun"/>
          <w:b/>
          <w:bCs/>
          <w:color w:val="000000"/>
          <w:sz w:val="24"/>
          <w:szCs w:val="24"/>
        </w:rPr>
        <w:t xml:space="preserve">3.3	</w:t>
      </w:r>
      <w:r>
        <w:rPr>
          <w:rFonts w:ascii="Times New Roman" w:eastAsia="SimSun"/>
          <w:color w:val="000000"/>
          <w:sz w:val="24"/>
          <w:szCs w:val="24"/>
        </w:rPr>
        <w:t xml:space="preserve">Recruitment and placement activities regulated under Philippine law, including the recruitment and deployment of Overseas Filipino Workers, are conducted exclusively through Partner Agencies duly licensed by the DMW. Employment offers, contracts, salaries, and deployment are determined solely by the Employer and processed in accordance with applicable law. We do not guarantee that any Application will result in an interview, an offer, deployment, or continued employment.</w:t>
      </w:r>
    </w:p>
    <w:p>
      <w:pPr>
        <w:pStyle w:val="Heading1"/>
        <w:keepNext/>
        <w:spacing w:after="160" w:before="360" w:line="360"/>
      </w:pPr>
      <w:bookmarkStart w:id="100003" w:name="_Toc100003"/>
      <w:r>
        <w:rPr>
          <w:rFonts w:ascii="Times New Roman" w:eastAsia="SimSun"/>
          <w:b/>
          <w:bCs/>
          <w:color w:val="000000"/>
          <w:sz w:val="26"/>
          <w:szCs w:val="26"/>
        </w:rPr>
        <w:t xml:space="preserve">Article 4 - Accounts</w:t>
      </w:r>
      <w:bookmarkEnd w:id="100003"/>
    </w:p>
    <w:p>
      <w:pPr>
        <w:spacing w:after="120" w:line="360"/>
        <w:ind w:left="720" w:hanging="720"/>
        <w:jc w:val="left"/>
      </w:pPr>
      <w:r>
        <w:rPr>
          <w:rFonts w:ascii="Times New Roman" w:eastAsia="SimSun"/>
          <w:b/>
          <w:bCs/>
          <w:color w:val="000000"/>
          <w:sz w:val="24"/>
          <w:szCs w:val="24"/>
        </w:rPr>
        <w:t xml:space="preserve">4.1	</w:t>
      </w:r>
      <w:r>
        <w:rPr>
          <w:rFonts w:ascii="Times New Roman" w:eastAsia="SimSun"/>
          <w:color w:val="000000"/>
          <w:sz w:val="24"/>
          <w:szCs w:val="24"/>
        </w:rPr>
        <w:t xml:space="preserve">To register, you shall provide accurate, complete, and current information and keep it updated. You shall keep your credentials confidential and are responsible for all activity under your Account, notifying us immediately of any unauthorized use through the contact details in Article 13.</w:t>
      </w:r>
    </w:p>
    <w:p>
      <w:pPr>
        <w:spacing w:after="120" w:line="360"/>
        <w:ind w:left="720" w:hanging="720"/>
        <w:jc w:val="left"/>
      </w:pPr>
      <w:r>
        <w:rPr>
          <w:rFonts w:ascii="Times New Roman" w:eastAsia="SimSun"/>
          <w:b/>
          <w:bCs/>
          <w:color w:val="000000"/>
          <w:sz w:val="24"/>
          <w:szCs w:val="24"/>
        </w:rPr>
        <w:t xml:space="preserve">4.2	</w:t>
      </w:r>
      <w:r>
        <w:rPr>
          <w:rFonts w:ascii="Times New Roman" w:eastAsia="SimSun"/>
          <w:color w:val="000000"/>
          <w:sz w:val="24"/>
          <w:szCs w:val="24"/>
        </w:rPr>
        <w:t xml:space="preserve">One person or organization shall maintain only one principal Account unless we approve otherwise in writing. Applicant accounts may require profile completion, identity details, and supporting documents before features such as endorsement to Employers become available, which we may approve, defer, or decline at our reasonable discretion under Article 7.</w:t>
      </w:r>
    </w:p>
    <w:p>
      <w:pPr>
        <w:pStyle w:val="Heading1"/>
        <w:keepNext/>
        <w:spacing w:after="160" w:before="360" w:line="360"/>
      </w:pPr>
      <w:bookmarkStart w:id="100004" w:name="_Toc100004"/>
      <w:r>
        <w:rPr>
          <w:rFonts w:ascii="Times New Roman" w:eastAsia="SimSun"/>
          <w:b/>
          <w:bCs/>
          <w:color w:val="000000"/>
          <w:sz w:val="26"/>
          <w:szCs w:val="26"/>
        </w:rPr>
        <w:t xml:space="preserve">Article 5 - User Roles</w:t>
      </w:r>
      <w:bookmarkEnd w:id="100004"/>
    </w:p>
    <w:p>
      <w:pPr>
        <w:spacing w:after="120" w:line="360"/>
        <w:ind w:left="720" w:hanging="720"/>
        <w:jc w:val="left"/>
      </w:pPr>
      <w:r>
        <w:rPr>
          <w:rFonts w:ascii="Times New Roman" w:eastAsia="SimSun"/>
          <w:b/>
          <w:bCs/>
          <w:color w:val="000000"/>
          <w:sz w:val="24"/>
          <w:szCs w:val="24"/>
        </w:rPr>
        <w:t xml:space="preserve">5.1	</w:t>
      </w:r>
      <w:r>
        <w:rPr>
          <w:rFonts w:ascii="Times New Roman" w:eastAsia="SimSun"/>
          <w:color w:val="000000"/>
          <w:sz w:val="24"/>
          <w:szCs w:val="24"/>
        </w:rPr>
        <w:t xml:space="preserve">The Platform grants role-based access. Each role may use only the features assigned to it, and you shall not attempt to access features, data, or workspaces of another role. Applicants may browse published Job Orders, maintain their profile and documents, submit Applications, receive Match Scores, and track Application status.</w:t>
      </w:r>
    </w:p>
    <w:p>
      <w:pPr>
        <w:spacing w:after="120" w:line="360"/>
        <w:ind w:left="720" w:hanging="720"/>
        <w:jc w:val="left"/>
      </w:pPr>
      <w:r>
        <w:rPr>
          <w:rFonts w:ascii="Times New Roman" w:eastAsia="SimSun"/>
          <w:b/>
          <w:bCs/>
          <w:color w:val="000000"/>
          <w:sz w:val="24"/>
          <w:szCs w:val="24"/>
        </w:rPr>
        <w:t xml:space="preserve">5.2	</w:t>
      </w:r>
      <w:r>
        <w:rPr>
          <w:rFonts w:ascii="Times New Roman" w:eastAsia="SimSun"/>
          <w:color w:val="000000"/>
          <w:sz w:val="24"/>
          <w:szCs w:val="24"/>
        </w:rPr>
        <w:t xml:space="preserve">Agencies may manage endorsed or assigned Applicants, conduct screening and interview stages, and prepare endorsements within their authorization level. Employers may publish approved Job Orders, review endorsed candidates with their Match Scores, and accept or decline endorsements. FIRA administrative personnel operate governance functions, including compliance review, verification, and endorsement approval, in accordance with our internal policies and applicable regulations.</w:t>
      </w:r>
    </w:p>
    <w:p>
      <w:pPr>
        <w:pStyle w:val="Heading1"/>
        <w:keepNext/>
        <w:spacing w:after="160" w:before="360" w:line="360"/>
      </w:pPr>
      <w:bookmarkStart w:id="100005" w:name="_Toc100005"/>
      <w:r>
        <w:rPr>
          <w:rFonts w:ascii="Times New Roman" w:eastAsia="SimSun"/>
          <w:b/>
          <w:bCs/>
          <w:color w:val="000000"/>
          <w:sz w:val="26"/>
          <w:szCs w:val="26"/>
        </w:rPr>
        <w:t xml:space="preserve">Article 6 - AI-Assisted Matching and Assessment</w:t>
      </w:r>
      <w:bookmarkEnd w:id="100005"/>
    </w:p>
    <w:p>
      <w:pPr>
        <w:spacing w:after="120" w:line="360"/>
        <w:ind w:left="720" w:hanging="720"/>
        <w:jc w:val="left"/>
      </w:pPr>
      <w:r>
        <w:rPr>
          <w:rFonts w:ascii="Times New Roman" w:eastAsia="SimSun"/>
          <w:b/>
          <w:bCs/>
          <w:color w:val="000000"/>
          <w:sz w:val="24"/>
          <w:szCs w:val="24"/>
        </w:rPr>
        <w:t xml:space="preserve">6.1	</w:t>
      </w:r>
      <w:r>
        <w:rPr>
          <w:rFonts w:ascii="Times New Roman" w:eastAsia="SimSun"/>
          <w:color w:val="000000"/>
          <w:sz w:val="24"/>
          <w:szCs w:val="24"/>
        </w:rPr>
        <w:t xml:space="preserve">The Platform automatically evaluates the information you provide to produce a Match Score for each Applicant and Job Order pair. The score combines, in substantially the following weights: (a) semantic similarity between the Applicant's resume or profile narrative and the Job Order description, weighted at forty percent (40%); (b) skills overlap between the Applicant's declared skills and the Job Order's required skills, weighted at forty percent (40%); and (c) an experience factor derived from years of relevant experience, weighted at twenty percent (20%), expressed on a scale of zero (0) to one hundred (100).</w:t>
      </w:r>
    </w:p>
    <w:p>
      <w:pPr>
        <w:spacing w:after="120" w:line="360"/>
        <w:ind w:left="720" w:hanging="720"/>
        <w:jc w:val="left"/>
      </w:pPr>
      <w:r>
        <w:rPr>
          <w:rFonts w:ascii="Times New Roman" w:eastAsia="SimSun"/>
          <w:b/>
          <w:bCs/>
          <w:color w:val="000000"/>
          <w:sz w:val="24"/>
          <w:szCs w:val="24"/>
        </w:rPr>
        <w:t xml:space="preserve">6.2	</w:t>
      </w:r>
      <w:r>
        <w:rPr>
          <w:rFonts w:ascii="Times New Roman" w:eastAsia="SimSun"/>
          <w:color w:val="000000"/>
          <w:sz w:val="24"/>
          <w:szCs w:val="24"/>
        </w:rPr>
        <w:t xml:space="preserve">The Match Score is generated for decision-support purposes only. It is an estimate of textual and skill-based similarity at the time of computation, not a measure of a person's worth, competence, character, or entitlement to employment, and not a guarantee of any outcome.</w:t>
      </w:r>
    </w:p>
    <w:p>
      <w:pPr>
        <w:spacing w:after="120" w:line="360"/>
        <w:ind w:left="720" w:hanging="720"/>
        <w:jc w:val="left"/>
      </w:pPr>
      <w:r>
        <w:rPr>
          <w:rFonts w:ascii="Times New Roman" w:eastAsia="SimSun"/>
          <w:b/>
          <w:bCs/>
          <w:color w:val="000000"/>
          <w:sz w:val="24"/>
          <w:szCs w:val="24"/>
        </w:rPr>
        <w:t xml:space="preserve">6.3	</w:t>
      </w:r>
      <w:r>
        <w:rPr>
          <w:rFonts w:ascii="Times New Roman" w:eastAsia="SimSun"/>
          <w:color w:val="000000"/>
          <w:sz w:val="24"/>
          <w:szCs w:val="24"/>
        </w:rPr>
        <w:t xml:space="preserve">Match Scores do not by themselves decide any Application. Every progression through the workflow, including shortlisting, endorsement approval, and Employer acceptance, involves human review by FIRA personnel, an Agency, or an Employer, as applicable.</w:t>
      </w:r>
    </w:p>
    <w:p>
      <w:pPr>
        <w:spacing w:after="120" w:line="360"/>
        <w:ind w:left="720" w:hanging="720"/>
        <w:jc w:val="left"/>
      </w:pPr>
      <w:r>
        <w:rPr>
          <w:rFonts w:ascii="Times New Roman" w:eastAsia="SimSun"/>
          <w:b/>
          <w:bCs/>
          <w:color w:val="000000"/>
          <w:sz w:val="24"/>
          <w:szCs w:val="24"/>
        </w:rPr>
        <w:t xml:space="preserve">6.4	</w:t>
      </w:r>
      <w:r>
        <w:rPr>
          <w:rFonts w:ascii="Times New Roman" w:eastAsia="SimSun"/>
          <w:color w:val="000000"/>
          <w:sz w:val="24"/>
          <w:szCs w:val="24"/>
        </w:rPr>
        <w:t xml:space="preserve">Where automated processing of your personal data requires consent under applicable data protection law, including Republic Act No. 10173 (the “Data Privacy Act”), such consent is requested at registration. You may withdraw consent or request human review of any automated result in accordance with the Privacy Policy, understanding that essential matching features may cease to function upon withdrawal. We may improve or recalibrate the matching methodology from time to time; material changes affecting how your information is evaluated shall be described in an updated Privacy Policy or by notice on the Platform.</w:t>
      </w:r>
    </w:p>
    <w:p>
      <w:pPr>
        <w:pStyle w:val="Heading1"/>
        <w:keepNext/>
        <w:spacing w:after="160" w:before="360" w:line="360"/>
      </w:pPr>
      <w:bookmarkStart w:id="100006" w:name="_Toc100006"/>
      <w:r>
        <w:rPr>
          <w:rFonts w:ascii="Times New Roman" w:eastAsia="SimSun"/>
          <w:b/>
          <w:bCs/>
          <w:color w:val="000000"/>
          <w:sz w:val="26"/>
          <w:szCs w:val="26"/>
        </w:rPr>
        <w:t xml:space="preserve">Article 7 - Verification and Anti-Illegal Recruitment</w:t>
      </w:r>
      <w:bookmarkEnd w:id="100006"/>
    </w:p>
    <w:p>
      <w:pPr>
        <w:spacing w:after="120" w:line="360"/>
        <w:ind w:left="720" w:hanging="720"/>
        <w:jc w:val="left"/>
      </w:pPr>
      <w:r>
        <w:rPr>
          <w:rFonts w:ascii="Times New Roman" w:eastAsia="SimSun"/>
          <w:b/>
          <w:bCs/>
          <w:color w:val="000000"/>
          <w:sz w:val="24"/>
          <w:szCs w:val="24"/>
        </w:rPr>
        <w:t xml:space="preserve">7.1	</w:t>
      </w:r>
      <w:r>
        <w:rPr>
          <w:rFonts w:ascii="Times New Roman" w:eastAsia="SimSun"/>
          <w:color w:val="000000"/>
          <w:sz w:val="24"/>
          <w:szCs w:val="24"/>
        </w:rPr>
        <w:t xml:space="preserve">Agencies shall hold a valid license from the DMW or the equivalent authority of their jurisdiction before using Platform features that involve Philippine-sourced workers, and shall provide license details for verification. Employers shall submit business registration documents and, where hiring Overseas Filipino Workers, the applicable DMW accreditation or job order approval documents. We may condition Job Order publication and Endorsement on satisfactory verification.</w:t>
      </w:r>
    </w:p>
    <w:p>
      <w:pPr>
        <w:spacing w:after="120" w:line="360"/>
        <w:ind w:left="720" w:hanging="720"/>
        <w:jc w:val="left"/>
      </w:pPr>
      <w:r>
        <w:rPr>
          <w:rFonts w:ascii="Times New Roman" w:eastAsia="SimSun"/>
          <w:b/>
          <w:bCs/>
          <w:color w:val="000000"/>
          <w:sz w:val="24"/>
          <w:szCs w:val="24"/>
        </w:rPr>
        <w:t xml:space="preserve">7.2	</w:t>
      </w:r>
      <w:r>
        <w:rPr>
          <w:rFonts w:ascii="Times New Roman" w:eastAsia="SimSun"/>
          <w:color w:val="000000"/>
          <w:sz w:val="24"/>
          <w:szCs w:val="24"/>
        </w:rPr>
        <w:t xml:space="preserve">Applicants certify that all personal information, identity documents, educational records, training certificates, and experience documents submitted are authentic, accurate, and their own. Submission of forged, falsified, or third-party documents is a material breach of these Terms.</w:t>
      </w:r>
    </w:p>
    <w:p>
      <w:pPr>
        <w:spacing w:after="120" w:line="360"/>
        <w:ind w:left="720" w:hanging="720"/>
        <w:jc w:val="left"/>
      </w:pPr>
      <w:r>
        <w:rPr>
          <w:rFonts w:ascii="Times New Roman" w:eastAsia="SimSun"/>
          <w:b/>
          <w:bCs/>
          <w:color w:val="000000"/>
          <w:sz w:val="24"/>
          <w:szCs w:val="24"/>
        </w:rPr>
        <w:t xml:space="preserve">7.3	</w:t>
      </w:r>
      <w:r>
        <w:rPr>
          <w:rFonts w:ascii="Times New Roman" w:eastAsia="SimSun"/>
          <w:color w:val="000000"/>
          <w:sz w:val="24"/>
          <w:szCs w:val="24"/>
        </w:rPr>
        <w:t xml:space="preserve">Illegal recruitment and other prohibited practices under Republic Act No. 8042, as amended, and its implementing rules are strictly prohibited on the Platform. No User shall: charge or collect placement or recruitment fees from Applicants except as allowed under the DMW schedule of fees; promise employment that does not exist; deploy or advertise for deployment without the required licenses and approvals; or misrepresent licenses, approvals, job sites, or terms of employment.</w:t>
      </w:r>
    </w:p>
    <w:p>
      <w:pPr>
        <w:spacing w:after="120" w:line="360"/>
        <w:ind w:left="720" w:hanging="720"/>
        <w:jc w:val="left"/>
      </w:pPr>
      <w:r>
        <w:rPr>
          <w:rFonts w:ascii="Times New Roman" w:eastAsia="SimSun"/>
          <w:b/>
          <w:bCs/>
          <w:color w:val="000000"/>
          <w:sz w:val="24"/>
          <w:szCs w:val="24"/>
        </w:rPr>
        <w:t xml:space="preserve">7.4	</w:t>
      </w:r>
      <w:r>
        <w:rPr>
          <w:rFonts w:ascii="Times New Roman" w:eastAsia="SimSun"/>
          <w:color w:val="000000"/>
          <w:sz w:val="24"/>
          <w:szCs w:val="24"/>
        </w:rPr>
        <w:t xml:space="preserve">We may request additional verification at any time, conduct periodic re-verification, and suspend or remove any User whose licenses, accreditations, or documents lapse, are revoked, or are found to be misrepresented. Suspected illegal recruitment or document fraud may be reported to the DMW and other competent authorities.</w:t>
      </w:r>
    </w:p>
    <w:p>
      <w:pPr>
        <w:pStyle w:val="Heading1"/>
        <w:keepNext/>
        <w:spacing w:after="160" w:before="360" w:line="360"/>
      </w:pPr>
      <w:bookmarkStart w:id="100007" w:name="_Toc100007"/>
      <w:r>
        <w:rPr>
          <w:rFonts w:ascii="Times New Roman" w:eastAsia="SimSun"/>
          <w:b/>
          <w:bCs/>
          <w:color w:val="000000"/>
          <w:sz w:val="26"/>
          <w:szCs w:val="26"/>
        </w:rPr>
        <w:t xml:space="preserve">Article 8 - Fees and Refunds</w:t>
      </w:r>
      <w:bookmarkEnd w:id="100007"/>
    </w:p>
    <w:p>
      <w:pPr>
        <w:spacing w:after="120" w:line="360"/>
        <w:ind w:left="720" w:hanging="720"/>
        <w:jc w:val="left"/>
      </w:pPr>
      <w:r>
        <w:rPr>
          <w:rFonts w:ascii="Times New Roman" w:eastAsia="SimSun"/>
          <w:b/>
          <w:bCs/>
          <w:color w:val="000000"/>
          <w:sz w:val="24"/>
          <w:szCs w:val="24"/>
        </w:rPr>
        <w:t xml:space="preserve">8.1	</w:t>
      </w:r>
      <w:r>
        <w:rPr>
          <w:rFonts w:ascii="Times New Roman" w:eastAsia="SimSun"/>
          <w:color w:val="000000"/>
          <w:sz w:val="24"/>
          <w:szCs w:val="24"/>
        </w:rPr>
        <w:t xml:space="preserve">Registration, profile creation, and job application features are provided to Applicants free of charge unless otherwise stated on the Platform. No placement fee shall be charged to any Applicant except as expressly allowed under the schedule of fees issued by the DMW and collected by the duly licensed entity with official issuance of receipts. Any demand for unauthorized payments shall be reported to us through the contact details in Article 13 and may be reported to the DMW.</w:t>
      </w:r>
    </w:p>
    <w:p>
      <w:pPr>
        <w:spacing w:after="120" w:line="360"/>
        <w:ind w:left="720" w:hanging="720"/>
        <w:jc w:val="left"/>
      </w:pPr>
      <w:r>
        <w:rPr>
          <w:rFonts w:ascii="Times New Roman" w:eastAsia="SimSun"/>
          <w:b/>
          <w:bCs/>
          <w:color w:val="000000"/>
          <w:sz w:val="24"/>
          <w:szCs w:val="24"/>
        </w:rPr>
        <w:t xml:space="preserve">8.2	</w:t>
      </w:r>
      <w:r>
        <w:rPr>
          <w:rFonts w:ascii="Times New Roman" w:eastAsia="SimSun"/>
          <w:color w:val="000000"/>
          <w:sz w:val="24"/>
          <w:szCs w:val="24"/>
        </w:rPr>
        <w:t xml:space="preserve">We may charge Agencies and Employers subscription, posting, or service fees in accordance with the fee schedule published on the Platform or stated in an applicable order form. Unless otherwise stated, fees are exclusive of value-added tax and other applicable taxes. Fees already consumed by the provision of a service are non-refundable; where a fee is paid in advance for a defined service period that we cease to provide for reasons attributable to us, we shall refund the unconsumed portion on a pro-rata basis or extend the service period, at our election. Nothing in this Article limits any mandatory refund right granted to consumers by applicable law.</w:t>
      </w:r>
    </w:p>
    <w:p>
      <w:pPr>
        <w:spacing w:after="120" w:line="360"/>
        <w:ind w:left="720" w:hanging="720"/>
        <w:jc w:val="left"/>
      </w:pPr>
      <w:r>
        <w:rPr>
          <w:rFonts w:ascii="Times New Roman" w:eastAsia="SimSun"/>
          <w:b/>
          <w:bCs/>
          <w:color w:val="000000"/>
          <w:sz w:val="24"/>
          <w:szCs w:val="24"/>
        </w:rPr>
        <w:t xml:space="preserve">8.3	</w:t>
      </w:r>
      <w:r>
        <w:rPr>
          <w:rFonts w:ascii="Times New Roman" w:eastAsia="SimSun"/>
          <w:color w:val="000000"/>
          <w:sz w:val="24"/>
          <w:szCs w:val="24"/>
        </w:rPr>
        <w:t xml:space="preserve">Applicant-side costs such as passport fees, medical examinations, training, clearances, and government charges are borne by the Applicant unless a Job Order or service agreement expressly provides otherwise, and are outside the scope of Platform fees.</w:t>
      </w:r>
    </w:p>
    <w:p>
      <w:pPr>
        <w:pStyle w:val="Heading1"/>
        <w:keepNext/>
        <w:spacing w:after="160" w:before="360" w:line="360"/>
      </w:pPr>
      <w:bookmarkStart w:id="100008" w:name="_Toc100008"/>
      <w:r>
        <w:rPr>
          <w:rFonts w:ascii="Times New Roman" w:eastAsia="SimSun"/>
          <w:b/>
          <w:bCs/>
          <w:color w:val="000000"/>
          <w:sz w:val="26"/>
          <w:szCs w:val="26"/>
        </w:rPr>
        <w:t xml:space="preserve">Article 9 - Acceptable Use and Intellectual Property</w:t>
      </w:r>
      <w:bookmarkEnd w:id="100008"/>
    </w:p>
    <w:p>
      <w:pPr>
        <w:spacing w:after="120" w:line="360"/>
        <w:ind w:left="720" w:hanging="720"/>
        <w:jc w:val="left"/>
      </w:pPr>
      <w:r>
        <w:rPr>
          <w:rFonts w:ascii="Times New Roman" w:eastAsia="SimSun"/>
          <w:b/>
          <w:bCs/>
          <w:color w:val="000000"/>
          <w:sz w:val="24"/>
          <w:szCs w:val="24"/>
        </w:rPr>
        <w:t xml:space="preserve">9.1	</w:t>
      </w:r>
      <w:r>
        <w:rPr>
          <w:rFonts w:ascii="Times New Roman" w:eastAsia="SimSun"/>
          <w:color w:val="000000"/>
          <w:sz w:val="24"/>
          <w:szCs w:val="24"/>
        </w:rPr>
        <w:t xml:space="preserve">You shall not: violate any applicable law or regulation; infringe any person's rights, including privacy and data protection rights; upload malicious code; interfere with the Platform's integrity or performance; gain unauthorized access to any account, system, or data; impersonate any person; publish false, misleading, defamatory, or discriminatory material; facilitate human trafficking, smuggling, or exploitation of workers; or conduct any scheme constituting fraud or illegal recruitment under applicable law.</w:t>
      </w:r>
    </w:p>
    <w:p>
      <w:pPr>
        <w:spacing w:after="120" w:line="360"/>
        <w:ind w:left="720" w:hanging="720"/>
        <w:jc w:val="left"/>
      </w:pPr>
      <w:r>
        <w:rPr>
          <w:rFonts w:ascii="Times New Roman" w:eastAsia="SimSun"/>
          <w:b/>
          <w:bCs/>
          <w:color w:val="000000"/>
          <w:sz w:val="24"/>
          <w:szCs w:val="24"/>
        </w:rPr>
        <w:t xml:space="preserve">9.2	</w:t>
      </w:r>
      <w:r>
        <w:rPr>
          <w:rFonts w:ascii="Times New Roman" w:eastAsia="SimSun"/>
          <w:color w:val="000000"/>
          <w:sz w:val="24"/>
          <w:szCs w:val="24"/>
        </w:rPr>
        <w:t xml:space="preserve">The Platform, including its software, interfaces, design, text, graphics, logos, and databases, is owned by FIRA or its licensors and protected by intellectual property laws. We grant you a limited, non-exclusive, non-transferable, revocable license to access and use the Platform for its intended purpose in accordance with these Terms and the End-User License Agreement. You shall not copy, modify, reverse engineer, scrape, or create derivative works of the Platform, nor use automated means to extract data, except as permitted by mandatory law.</w:t>
      </w:r>
    </w:p>
    <w:p>
      <w:pPr>
        <w:spacing w:after="120" w:line="360"/>
        <w:ind w:left="720" w:hanging="720"/>
        <w:jc w:val="left"/>
      </w:pPr>
      <w:r>
        <w:rPr>
          <w:rFonts w:ascii="Times New Roman" w:eastAsia="SimSun"/>
          <w:b/>
          <w:bCs/>
          <w:color w:val="000000"/>
          <w:sz w:val="24"/>
          <w:szCs w:val="24"/>
        </w:rPr>
        <w:t xml:space="preserve">9.3	</w:t>
      </w:r>
      <w:r>
        <w:rPr>
          <w:rFonts w:ascii="Times New Roman" w:eastAsia="SimSun"/>
          <w:color w:val="000000"/>
          <w:sz w:val="24"/>
          <w:szCs w:val="24"/>
        </w:rPr>
        <w:t xml:space="preserve">You retain ownership of the content you submit and grant us a worldwide, royalty-free, non-exclusive license to host, store, reproduce, process, and display it to the extent necessary to operate, secure, and improve the Platform and to provide the services described in these Terms, including the automated assessment described in Article 6.</w:t>
      </w:r>
    </w:p>
    <w:p>
      <w:pPr>
        <w:pStyle w:val="Heading1"/>
        <w:keepNext/>
        <w:spacing w:after="160" w:before="360" w:line="360"/>
      </w:pPr>
      <w:bookmarkStart w:id="100009" w:name="_Toc100009"/>
      <w:r>
        <w:rPr>
          <w:rFonts w:ascii="Times New Roman" w:eastAsia="SimSun"/>
          <w:b/>
          <w:bCs/>
          <w:color w:val="000000"/>
          <w:sz w:val="26"/>
          <w:szCs w:val="26"/>
        </w:rPr>
        <w:t xml:space="preserve">Article 10 - Data Privacy</w:t>
      </w:r>
      <w:bookmarkEnd w:id="100009"/>
    </w:p>
    <w:p>
      <w:pPr>
        <w:spacing w:after="120" w:line="360"/>
        <w:ind w:left="720" w:hanging="720"/>
        <w:jc w:val="left"/>
      </w:pPr>
      <w:r>
        <w:rPr>
          <w:rFonts w:ascii="Times New Roman" w:eastAsia="SimSun"/>
          <w:b/>
          <w:bCs/>
          <w:color w:val="000000"/>
          <w:sz w:val="24"/>
          <w:szCs w:val="24"/>
        </w:rPr>
        <w:t xml:space="preserve">10.1	</w:t>
      </w:r>
      <w:r>
        <w:rPr>
          <w:rFonts w:ascii="Times New Roman" w:eastAsia="SimSun"/>
          <w:color w:val="000000"/>
          <w:sz w:val="24"/>
          <w:szCs w:val="24"/>
        </w:rPr>
        <w:t xml:space="preserve">We collect and process personal data in accordance with the Data Privacy Act of the Philippines (Republic Act No. 10173), Morocco's Law No. 09-08 on the protection of individuals with regard to the processing of personal data, and other applicable data protection laws. The categories of data collected, the purposes of processing, disclosure practices, and the exercise of data subject rights are described in the MatchWise Privacy Policy, which forms an integral part of these Terms.</w:t>
      </w:r>
    </w:p>
    <w:p>
      <w:pPr>
        <w:spacing w:after="120" w:line="360"/>
        <w:ind w:left="720" w:hanging="720"/>
        <w:jc w:val="left"/>
      </w:pPr>
      <w:r>
        <w:rPr>
          <w:rFonts w:ascii="Times New Roman" w:eastAsia="SimSun"/>
          <w:b/>
          <w:bCs/>
          <w:color w:val="000000"/>
          <w:sz w:val="24"/>
          <w:szCs w:val="24"/>
        </w:rPr>
        <w:t xml:space="preserve">10.2	</w:t>
      </w:r>
      <w:r>
        <w:rPr>
          <w:rFonts w:ascii="Times New Roman" w:eastAsia="SimSun"/>
          <w:color w:val="000000"/>
          <w:sz w:val="24"/>
          <w:szCs w:val="24"/>
        </w:rPr>
        <w:t xml:space="preserve">By using the Platform, you consent to the collection, use, disclosure, and cross-border transfer of your information as described in the Privacy Policy, including the transfer of Applicant information to Employers and Agencies in connection with an Application or Endorsement. Each User shall handle personal data made available to it through the Platform lawfully and only for the purpose for which it was disclosed, and is responsible as an independent personal information controller or processor, as the case may be, for the data it processes.</w:t>
      </w:r>
    </w:p>
    <w:p>
      <w:pPr>
        <w:pStyle w:val="Heading1"/>
        <w:keepNext/>
        <w:spacing w:after="160" w:before="360" w:line="360"/>
      </w:pPr>
      <w:bookmarkStart w:id="100010" w:name="_Toc100010"/>
      <w:r>
        <w:rPr>
          <w:rFonts w:ascii="Times New Roman" w:eastAsia="SimSun"/>
          <w:b/>
          <w:bCs/>
          <w:color w:val="000000"/>
          <w:sz w:val="26"/>
          <w:szCs w:val="26"/>
        </w:rPr>
        <w:t xml:space="preserve">Article 11 - Suspension, Termination and Withdrawal</w:t>
      </w:r>
      <w:bookmarkEnd w:id="100010"/>
    </w:p>
    <w:p>
      <w:pPr>
        <w:spacing w:after="120" w:line="360"/>
        <w:ind w:left="720" w:hanging="720"/>
        <w:jc w:val="left"/>
      </w:pPr>
      <w:r>
        <w:rPr>
          <w:rFonts w:ascii="Times New Roman" w:eastAsia="SimSun"/>
          <w:b/>
          <w:bCs/>
          <w:color w:val="000000"/>
          <w:sz w:val="24"/>
          <w:szCs w:val="24"/>
        </w:rPr>
        <w:t xml:space="preserve">11.1	</w:t>
      </w:r>
      <w:r>
        <w:rPr>
          <w:rFonts w:ascii="Times New Roman" w:eastAsia="SimSun"/>
          <w:color w:val="000000"/>
          <w:sz w:val="24"/>
          <w:szCs w:val="24"/>
        </w:rPr>
        <w:t xml:space="preserve">An Applicant may withdraw an Application at any time before deployment through the Platform's withdrawal feature. You may stop using the Platform and may request account closure at any time through the contact details in Article 13, subject to completion of any Application or deployment already in progress unless validly withdrawn.</w:t>
      </w:r>
    </w:p>
    <w:p>
      <w:pPr>
        <w:spacing w:after="120" w:line="360"/>
        <w:ind w:left="720" w:hanging="720"/>
        <w:jc w:val="left"/>
      </w:pPr>
      <w:r>
        <w:rPr>
          <w:rFonts w:ascii="Times New Roman" w:eastAsia="SimSun"/>
          <w:b/>
          <w:bCs/>
          <w:color w:val="000000"/>
          <w:sz w:val="24"/>
          <w:szCs w:val="24"/>
        </w:rPr>
        <w:t xml:space="preserve">11.2	</w:t>
      </w:r>
      <w:r>
        <w:rPr>
          <w:rFonts w:ascii="Times New Roman" w:eastAsia="SimSun"/>
          <w:color w:val="000000"/>
          <w:sz w:val="24"/>
          <w:szCs w:val="24"/>
        </w:rPr>
        <w:t xml:space="preserve">We may, with or without prior notice where reasonably necessary, suspend or restrict a User's access where: required verifications fail or lapse; these Terms are breached; a competent authority so requests; a serious dispute arises concerning the User; or the Platform or its users are or may be harmed.</w:t>
      </w:r>
    </w:p>
    <w:p>
      <w:pPr>
        <w:spacing w:after="120" w:line="360"/>
        <w:ind w:left="720" w:hanging="720"/>
        <w:jc w:val="left"/>
      </w:pPr>
      <w:r>
        <w:rPr>
          <w:rFonts w:ascii="Times New Roman" w:eastAsia="SimSun"/>
          <w:b/>
          <w:bCs/>
          <w:color w:val="000000"/>
          <w:sz w:val="24"/>
          <w:szCs w:val="24"/>
        </w:rPr>
        <w:t xml:space="preserve">11.3	</w:t>
      </w:r>
      <w:r>
        <w:rPr>
          <w:rFonts w:ascii="Times New Roman" w:eastAsia="SimSun"/>
          <w:color w:val="000000"/>
          <w:sz w:val="24"/>
          <w:szCs w:val="24"/>
        </w:rPr>
        <w:t xml:space="preserve">Upon termination or closure for any reason, the license granted to you terminates, accrued payment obligations survive, and we may retain or delete data in accordance with our retention schedule and applicable law. Provisions that by their nature should survive termination, including Articles 9, 10, 12, and 13, shall survive.</w:t>
      </w:r>
    </w:p>
    <w:p>
      <w:pPr>
        <w:pStyle w:val="Heading1"/>
        <w:keepNext/>
        <w:spacing w:after="160" w:before="360" w:line="360"/>
      </w:pPr>
      <w:bookmarkStart w:id="100011" w:name="_Toc100011"/>
      <w:r>
        <w:rPr>
          <w:rFonts w:ascii="Times New Roman" w:eastAsia="SimSun"/>
          <w:b/>
          <w:bCs/>
          <w:color w:val="000000"/>
          <w:sz w:val="26"/>
          <w:szCs w:val="26"/>
        </w:rPr>
        <w:t xml:space="preserve">Article 12 - Disclaimers and Limitation of Liability</w:t>
      </w:r>
      <w:bookmarkEnd w:id="100011"/>
    </w:p>
    <w:p>
      <w:pPr>
        <w:spacing w:after="120" w:line="360"/>
        <w:ind w:left="720" w:hanging="720"/>
        <w:jc w:val="left"/>
      </w:pPr>
      <w:r>
        <w:rPr>
          <w:rFonts w:ascii="Times New Roman" w:eastAsia="SimSun"/>
          <w:b/>
          <w:bCs/>
          <w:color w:val="000000"/>
          <w:sz w:val="24"/>
          <w:szCs w:val="24"/>
        </w:rPr>
        <w:t xml:space="preserve">12.1	</w:t>
      </w:r>
      <w:r>
        <w:rPr>
          <w:rFonts w:ascii="Times New Roman" w:eastAsia="SimSun"/>
          <w:color w:val="000000"/>
          <w:sz w:val="24"/>
          <w:szCs w:val="24"/>
        </w:rPr>
        <w:t xml:space="preserve">The Platform is provided on an “as is” and “as available” basis. While we strive to keep the Platform accurate, secure, and available, we do not warrant that it will be uninterrupted, error-free, or free of harmful components, or that any particular result, such as a match, endorsement, offer, visa, or deployment, will be achieved. Content supplied by Users is the responsibility of the User that supplied it, and verification under Article 7 does not constitute a warranty of any User's identity, qualifications, or intentions.</w:t>
      </w:r>
    </w:p>
    <w:p>
      <w:pPr>
        <w:spacing w:after="120" w:line="360"/>
        <w:ind w:left="720" w:hanging="720"/>
        <w:jc w:val="left"/>
      </w:pPr>
      <w:r>
        <w:rPr>
          <w:rFonts w:ascii="Times New Roman" w:eastAsia="SimSun"/>
          <w:b/>
          <w:bCs/>
          <w:color w:val="000000"/>
          <w:sz w:val="24"/>
          <w:szCs w:val="24"/>
        </w:rPr>
        <w:t xml:space="preserve">12.2	</w:t>
      </w:r>
      <w:r>
        <w:rPr>
          <w:rFonts w:ascii="Times New Roman" w:eastAsia="SimSun"/>
          <w:color w:val="000000"/>
          <w:sz w:val="24"/>
          <w:szCs w:val="24"/>
        </w:rPr>
        <w:t xml:space="preserve">To the maximum extent permitted by law, neither FIRA nor its affiliates, officers, employees, technology providers, or Partner Agencies shall be liable for any indirect, incidental, special, consequential, exemplary, or punitive damages, or for loss of profits, opportunity, data, or business interruption, arising out of or in connection with the Platform or these Terms. Our total aggregate liability shall not exceed the total fees paid by the complaining User to us, if any, for the service giving rise to the claim during the six (6) months immediately preceding the event; for Users who have paid no fees, our aggregate liability shall not exceed One Thousand Philippine Pesos (PHP 1,000.00) or the equivalent in Moroccan dirhams.</w:t>
      </w:r>
    </w:p>
    <w:p>
      <w:pPr>
        <w:spacing w:after="120" w:line="360"/>
        <w:ind w:left="720" w:hanging="720"/>
        <w:jc w:val="left"/>
      </w:pPr>
      <w:r>
        <w:rPr>
          <w:rFonts w:ascii="Times New Roman" w:eastAsia="SimSun"/>
          <w:b/>
          <w:bCs/>
          <w:color w:val="000000"/>
          <w:sz w:val="24"/>
          <w:szCs w:val="24"/>
        </w:rPr>
        <w:t xml:space="preserve">12.3	</w:t>
      </w:r>
      <w:r>
        <w:rPr>
          <w:rFonts w:ascii="Times New Roman" w:eastAsia="SimSun"/>
          <w:color w:val="000000"/>
          <w:sz w:val="24"/>
          <w:szCs w:val="24"/>
        </w:rPr>
        <w:t xml:space="preserve">Nothing in these Terms limits liability that cannot be limited by law, including liability for death or personal injury caused by negligence, for fraud, or for any other liability that may not be excluded under the mandatory provisions of applicable law.</w:t>
      </w:r>
    </w:p>
    <w:p>
      <w:pPr>
        <w:spacing w:after="100" w:line="360"/>
        <w:ind w:left="1440" w:hanging="720"/>
        <w:jc w:val="left"/>
      </w:pPr>
      <w:r>
        <w:rPr>
          <w:rFonts w:ascii="Times New Roman" w:eastAsia="SimSun"/>
          <w:color w:val="000000"/>
          <w:sz w:val="24"/>
          <w:szCs w:val="24"/>
        </w:rPr>
        <w:t xml:space="preserve">Note:	</w:t>
      </w:r>
      <w:r>
        <w:rPr>
          <w:rFonts w:ascii="Times New Roman" w:eastAsia="SimSun"/>
          <w:color w:val="000000"/>
          <w:sz w:val="24"/>
          <w:szCs w:val="24"/>
        </w:rPr>
        <w:t xml:space="preserve">Article 12 contains liability limitations. Its enforceability may vary depending on the applicable law and the circumstances of a particular claim, and it is recommended that this Article be reviewed by counsel before reliance in any specific transaction.</w:t>
      </w:r>
    </w:p>
    <w:p>
      <w:pPr>
        <w:pStyle w:val="Heading1"/>
        <w:keepNext/>
        <w:spacing w:after="160" w:before="360" w:line="360"/>
      </w:pPr>
      <w:bookmarkStart w:id="100012" w:name="_Toc100012"/>
      <w:r>
        <w:rPr>
          <w:rFonts w:ascii="Times New Roman" w:eastAsia="SimSun"/>
          <w:b/>
          <w:bCs/>
          <w:color w:val="000000"/>
          <w:sz w:val="26"/>
          <w:szCs w:val="26"/>
        </w:rPr>
        <w:t xml:space="preserve">Article 13 - Governing Law, Disputes and Contact</w:t>
      </w:r>
      <w:bookmarkEnd w:id="100012"/>
    </w:p>
    <w:p>
      <w:pPr>
        <w:spacing w:after="120" w:line="360"/>
        <w:ind w:left="720" w:hanging="720"/>
        <w:jc w:val="left"/>
      </w:pPr>
      <w:r>
        <w:rPr>
          <w:rFonts w:ascii="Times New Roman" w:eastAsia="SimSun"/>
          <w:b/>
          <w:bCs/>
          <w:color w:val="000000"/>
          <w:sz w:val="24"/>
          <w:szCs w:val="24"/>
        </w:rPr>
        <w:t xml:space="preserve">13.1	</w:t>
      </w:r>
      <w:r>
        <w:rPr>
          <w:rFonts w:ascii="Times New Roman" w:eastAsia="SimSun"/>
          <w:color w:val="000000"/>
          <w:sz w:val="24"/>
          <w:szCs w:val="24"/>
        </w:rPr>
        <w:t xml:space="preserve">These Terms and any dispute arising out of or in connection with them shall be governed by and construed in accordance with the laws of the Republic of the Philippines, without regard to its conflict-of-laws rules, and, where mandatory, the consumer protection and data protection laws of the User's jurisdiction of residence. The parties shall first attempt in good faith to resolve any dispute through negotiation for thirty (30) days from written notice. Disputes involving an Applicant acting primarily for personal, domestic, or household purposes may also be elevated to the appropriate consumer protection or labor authorities, including the DMW.</w:t>
      </w:r>
    </w:p>
    <w:p>
      <w:pPr>
        <w:spacing w:after="120" w:line="360"/>
        <w:ind w:left="720" w:hanging="720"/>
        <w:jc w:val="left"/>
      </w:pPr>
      <w:r>
        <w:rPr>
          <w:rFonts w:ascii="Times New Roman" w:eastAsia="SimSun"/>
          <w:b/>
          <w:bCs/>
          <w:color w:val="000000"/>
          <w:sz w:val="24"/>
          <w:szCs w:val="24"/>
        </w:rPr>
        <w:t xml:space="preserve">13.2	</w:t>
      </w:r>
      <w:r>
        <w:rPr>
          <w:rFonts w:ascii="Times New Roman" w:eastAsia="SimSun"/>
          <w:color w:val="000000"/>
          <w:sz w:val="24"/>
          <w:szCs w:val="24"/>
        </w:rPr>
        <w:t xml:space="preserve">Any dispute not resolved by negotiation shall be brought exclusively before the competent courts of the City of Manila, Philippines, and each party submits to the personal jurisdiction of those courts, without prejudice to our right to seek interim or injunctive relief in any competent jurisdiction to protect our intellectual property, confidential information, or the security of the Platform.</w:t>
      </w:r>
    </w:p>
    <w:p>
      <w:pPr>
        <w:spacing w:after="120" w:line="360"/>
        <w:ind w:left="720" w:hanging="720"/>
        <w:jc w:val="left"/>
      </w:pPr>
      <w:r>
        <w:rPr>
          <w:rFonts w:ascii="Times New Roman" w:eastAsia="SimSun"/>
          <w:b/>
          <w:bCs/>
          <w:color w:val="000000"/>
          <w:sz w:val="24"/>
          <w:szCs w:val="24"/>
        </w:rPr>
        <w:t xml:space="preserve">13.3	</w:t>
      </w:r>
      <w:r>
        <w:rPr>
          <w:rFonts w:ascii="Times New Roman" w:eastAsia="SimSun"/>
          <w:color w:val="000000"/>
          <w:sz w:val="24"/>
          <w:szCs w:val="24"/>
        </w:rPr>
        <w:t xml:space="preserve">Notices from us may be given through in-Platform notifications, the email registered to your Account, or postings on the Platform. Notices to us shall be sent in writing to: FIL International Recruitment Agency (FIRA), 59 Boulevard Zerktouni, Residence Les Fleurs, 6th Floor, Apartment 19, 20360 Casablanca, Morocco; email: client@filinternational.ma (platform inquiries) or manpower@filinternational.ma (manpower and applicant inquiries); telephone: +212 6 62 26 14 99 / +212 6 62 26 03 36; website: filinternational.ma. For service of formal legal notices within the Philippines, notices may be served on the appointed Philippine partner office: 【Philippine partner office and address for service】.</w:t>
      </w:r>
    </w:p>
    <w:p>
      <w:pPr>
        <w:spacing w:after="120" w:line="360"/>
        <w:ind w:left="720" w:hanging="720"/>
        <w:jc w:val="left"/>
      </w:pPr>
      <w:r>
        <w:rPr>
          <w:rFonts w:ascii="Times New Roman" w:eastAsia="SimSun"/>
          <w:b/>
          <w:bCs/>
          <w:color w:val="000000"/>
          <w:sz w:val="24"/>
          <w:szCs w:val="24"/>
        </w:rPr>
        <w:t xml:space="preserve">13.4	</w:t>
      </w:r>
      <w:r>
        <w:rPr>
          <w:rFonts w:ascii="Times New Roman" w:eastAsia="SimSun"/>
          <w:color w:val="000000"/>
          <w:sz w:val="24"/>
          <w:szCs w:val="24"/>
        </w:rPr>
        <w:t xml:space="preserve">If any provision of these Terms is held invalid, illegal, or unenforceable, the remaining provisions remain in full force, and the affected provision is modified to the minimum extent necessary to make it enforceable. These Terms, together with the Privacy Policy and the End-User License Agreement and Cookie Notice, constitute the entire agreement between the parties regarding the Platform. Nothing in these Terms creates any partnership, joint venture, agency, or employment relationship between you and FIRA.</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eastAsia="SimSun"/>
        <w:color w:val="00000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eastAsia="SimSun"/>
        <w:color w:val="00000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center"/>
    </w:pPr>
    <w:r>
      <w:rPr>
        <w:rFonts w:ascii="Times New Roman" w:eastAsia="SimSun"/>
        <w:color w:val="000000"/>
        <w:sz w:val="18"/>
        <w:szCs w:val="18"/>
      </w:rPr>
      <w:t xml:space="preserve">MatchWise Platform - Terms and Conditions of Use (Medium Edition)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center"/>
    </w:pPr>
    <w:r>
      <w:rPr>
        <w:rFonts w:ascii="Times New Roman" w:eastAsia="SimSun"/>
        <w:color w:val="000000"/>
        <w:sz w:val="18"/>
        <w:szCs w:val="18"/>
      </w:rPr>
      <w:t xml:space="preserve">MatchWise Platform - Terms and Conditions of Use (Medium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60"/>
      <w:outlineLvl w:val="0"/>
    </w:pPr>
    <w:rPr>
      <w:rFonts w:ascii="Times New Roman" w:eastAsia="SimSun"/>
      <w:b/>
      <w:bCs/>
      <w:color w:val="000000"/>
      <w:sz w:val="26"/>
      <w:szCs w:val="26"/>
    </w:rPr>
  </w:style>
  <w:style w:type="paragraph" w:styleId="Heading2">
    <w:name w:val="Heading 2"/>
    <w:basedOn w:val="Normal"/>
    <w:next w:val="Normal"/>
    <w:qFormat/>
    <w:pPr>
      <w:spacing w:after="120" w:before="240" w:line="360"/>
      <w:outlineLvl w:val="1"/>
    </w:pPr>
    <w:rPr>
      <w:rFonts w:ascii="Times New Roman" w:eastAsia="SimSun"/>
      <w:b/>
      <w:bCs/>
      <w:color w:val="000000"/>
      <w:sz w:val="24"/>
      <w:szCs w:val="24"/>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AND CONDITIONS OF USE</dc:title>
  <dc:subject>MatchWise Platform legal document - FIL International Recruitment Agency (FIRA)</dc:subject>
  <dc:creator>Z.ai</dc:creator>
  <cp:lastModifiedBy>Un-named</cp:lastModifiedBy>
  <cp:revision>1</cp:revision>
  <dcterms:created xsi:type="dcterms:W3CDTF">2026-10-15T18:47:49.794Z</dcterms:created>
  <dcterms:modified xsi:type="dcterms:W3CDTF">2026-10-15T18:47:49.794Z</dcterms:modified>
</cp:coreProperties>
</file>

<file path=docProps/custom.xml><?xml version="1.0" encoding="utf-8"?>
<Properties xmlns="http://schemas.openxmlformats.org/officeDocument/2006/custom-properties" xmlns:vt="http://schemas.openxmlformats.org/officeDocument/2006/docPropsVTypes"/>
</file>