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4092"/>
            </w:pPr>
          </w:p>
          <w:p>
            <w:pPr>
              <w:pBdr>
                <w:bottom w:val="single" w:color="D4875A" w:sz="6" w:space="8"/>
              </w:pBdr>
              <w:spacing w:after="500"/>
              <w:ind w:left="1200" w:right="800"/>
            </w:pPr>
            <w:r>
              <w:rPr>
                <w:rFonts w:ascii="Calibri" w:eastAsia="SimHei"/>
                <w:color w:val="D4875A"/>
                <w:spacing w:val="40"/>
                <w:sz w:val="18"/>
                <w:szCs w:val="18"/>
              </w:rPr>
              <w:t xml:space="preserve">M  A  T  C  H  W  I  S  E        B  Y        F  I  R  A</w:t>
            </w:r>
          </w:p>
          <w:p>
            <w:pPr>
              <w:spacing w:after="100" w:line="920" w:lineRule="atLeast"/>
              <w:ind w:left="1200"/>
            </w:pPr>
            <w:r>
              <w:rPr>
                <w:rFonts w:ascii="Arial" w:eastAsia="Arial"/>
                <w:b/>
                <w:bCs/>
                <w:color w:val="FFFFFF"/>
                <w:sz w:val="80"/>
                <w:szCs w:val="80"/>
              </w:rPr>
              <w:t xml:space="preserve">MatchWise Requirements</w:t>
            </w:r>
          </w:p>
          <w:p>
            <w:pPr>
              <w:spacing w:after="300" w:line="920" w:lineRule="atLeast"/>
              <w:ind w:left="1200"/>
            </w:pPr>
            <w:r>
              <w:rPr>
                <w:rFonts w:ascii="Arial" w:eastAsia="Arial"/>
                <w:b/>
                <w:bCs/>
                <w:color w:val="FFFFFF"/>
                <w:sz w:val="80"/>
                <w:szCs w:val="80"/>
              </w:rPr>
              <w:t xml:space="preserve">Specification</w:t>
            </w:r>
          </w:p>
          <w:p>
            <w:pPr>
              <w:spacing w:after="800" w:line="312"/>
              <w:ind w:left="1200" w:right="800"/>
            </w:pPr>
            <w:r>
              <w:rPr>
                <w:rFonts w:ascii="Arial" w:eastAsia="Arial"/>
                <w:color w:val="B0B8C0"/>
                <w:sz w:val="24"/>
                <w:szCs w:val="24"/>
              </w:rPr>
              <w:t xml:space="preserve">Web Platform Requirements Engineering - Hybrid SRS and Product Requirements</w:t>
            </w:r>
          </w:p>
          <w:p>
            <w:pPr>
              <w:pBdr>
                <w:left w:val="single" w:color="D4875A" w:sz="8" w:space="12"/>
              </w:pBdr>
              <w:spacing w:after="80" w:line="276"/>
              <w:ind w:left="1400" w:right="800"/>
            </w:pPr>
            <w:r>
              <w:rPr>
                <w:rFonts w:ascii="Arial" w:eastAsia="Arial"/>
                <w:color w:val="90989F"/>
                <w:sz w:val="22"/>
                <w:szCs w:val="22"/>
              </w:rPr>
              <w:t xml:space="preserve">Prepared for: FIL International Recruitment Agency (FIRA)</w:t>
            </w:r>
          </w:p>
          <w:p>
            <w:pPr>
              <w:pBdr>
                <w:left w:val="single" w:color="D4875A" w:sz="8" w:space="12"/>
              </w:pBdr>
              <w:spacing w:after="80" w:line="276"/>
              <w:ind w:left="1400" w:right="800"/>
            </w:pPr>
            <w:r>
              <w:rPr>
                <w:rFonts w:ascii="Arial" w:eastAsia="Arial"/>
                <w:color w:val="90989F"/>
                <w:sz w:val="22"/>
                <w:szCs w:val="22"/>
              </w:rPr>
              <w:t xml:space="preserve">Version 1.0 - Status: Draft for Review</w:t>
            </w:r>
          </w:p>
          <w:p>
            <w:pPr>
              <w:pBdr>
                <w:left w:val="single" w:color="D4875A" w:sz="8" w:space="12"/>
              </w:pBdr>
              <w:spacing w:after="80" w:line="276"/>
              <w:ind w:left="1400" w:right="800"/>
            </w:pPr>
            <w:r>
              <w:rPr>
                <w:rFonts w:ascii="Arial" w:eastAsia="Arial"/>
                <w:color w:val="90989F"/>
                <w:sz w:val="22"/>
                <w:szCs w:val="22"/>
              </w:rPr>
              <w:t xml:space="preserve">Date: October 16, 2026</w:t>
            </w:r>
          </w:p>
          <w:p>
            <w:pPr>
              <w:pBdr>
                <w:left w:val="single" w:color="D4875A" w:sz="8" w:space="12"/>
              </w:pBdr>
              <w:spacing w:after="80" w:line="276"/>
              <w:ind w:left="1400" w:right="800"/>
            </w:pPr>
            <w:r>
              <w:rPr>
                <w:rFonts w:ascii="Arial" w:eastAsia="Arial"/>
                <w:color w:val="90989F"/>
                <w:sz w:val="22"/>
                <w:szCs w:val="22"/>
              </w:rPr>
              <w:t xml:space="preserve">Scope: All roles - Applicants, Partner Agencies, Employers, FIRA Staff, Administrators</w:t>
            </w:r>
          </w:p>
          <w:p>
            <w:pPr>
              <w:spacing w:before="4092"/>
            </w:pPr>
          </w:p>
          <w:p>
            <w:pPr>
              <w:pBdr>
                <w:top w:val="single" w:color="D4875A" w:sz="2" w:space="8"/>
              </w:pBdr>
              <w:spacing w:before="200"/>
              <w:ind w:left="1200" w:right="800"/>
            </w:pPr>
            <w:r>
              <w:rPr>
                <w:rFonts w:ascii="Arial"/>
                <w:color w:val="687078"/>
                <w:sz w:val="16"/>
                <w:szCs w:val="16"/>
              </w:rPr>
              <w:t xml:space="preserve">FIL International Recruitment Agency</w:t>
            </w:r>
            <w:r>
              <w:t xml:space="preserve">                                        </w:t>
            </w:r>
            <w:r>
              <w:rPr>
                <w:rFonts w:ascii="Arial"/>
                <w:color w:val="687078"/>
                <w:sz w:val="16"/>
                <w:szCs w:val="16"/>
              </w:rPr>
              <w:t xml:space="preserve">MatchWise Platform</w:t>
            </w:r>
          </w:p>
        </w:tc>
      </w:tr>
    </w:tbl>
    <w:p>
      <w:pPr>
        <w:sectPr>
          <w:pgSz w:w="11906" w:h="16838" w:orient="portrait"/>
          <w:pgMar w:top="0" w:right="0" w:bottom="0" w:left="0" w:header="708" w:footer="708" w:gutter="0"/>
          <w:docGrid w:linePitch="360"/>
        </w:sectPr>
      </w:pPr>
    </w:p>
    <w:p>
      <w:pPr>
        <w:spacing w:after="360" w:before="480" w:line="360"/>
        <w:jc w:val="center"/>
      </w:pPr>
      <w:r>
        <w:rPr>
          <w:rFonts w:ascii="Arial" w:eastAsia="Arial"/>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Product Overview and Objectives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Background and Problem Statement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Product Goals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Success Metrics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Users, Roles and Personas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4. System Scope and Context</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4.1 In Scope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4.2 Out of Scope</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4.3 Dependencies and Assumptions</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5. Functional Requirements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5.1 Accounts, Authentication and Role Management (FR-A)</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5.2 Applicant Profile, Resume and Documents (FR-B)</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5.3 Job Order Management (FR-C)</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5.4 AI-Assisted Matching and Scoring (FR-D)</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5.5 Applications and Status Tracking (FR-E)</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5.6 Two-Step Endorsement Workflow (FR-F)</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5.7 Messaging, Notifications and Audit (FR-G)</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5.8 Governance, Verification and CMS (FR-H)</w:t>
            </w:r>
            <w:r>
              <w:tab/>
            </w:r>
            <w:r>
              <w:fldChar w:fldCharType="begin"/>
            </w:r>
            <w:r>
              <w:instrText xml:space="preserve"> PAGEREF _Toc100018 \h </w:instrText>
            </w:r>
            <w:r>
              <w:fldChar w:fldCharType="separate"/>
            </w:r>
            <w:r>
              <w:t>8</w:t>
            </w:r>
            <w:r>
              <w:fldChar w:fldCharType="end"/>
            </w:r>
          </w:hyperlink>
        </w:p>
        <w:p>
          <w:pPr>
            <w:pStyle w:val="9"/>
            <w:tabs>
              <w:tab w:val="right" w:leader="dot" w:pos="9026"/>
            </w:tabs>
            <w:spacing w:before="120" w:after="60"/>
          </w:pPr>
          <w:hyperlink w:anchor="_Toc100019" w:history="1">
            <w:r>
              <w:rPr>
                <w:rStyle w:val="Hyperlink"/>
              </w:rPr>
              <w:t>6. User Stories and Acceptance Criteria</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US-01 - Applicant registers and completes a profile (FR-A1, FR-B1, FR-B4)</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US-02 - Applicant applies to a recommended job (FR-D1, FR-D2, FR-D3, FR-E1)</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US-03 - Agency endorses a screened candidate (FR-F1, FR-F5)</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US-04 - FIRA staff approve an endorsement (FR-F2, FR-F4, FR-H1)</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US-05 - Employer accepts an endorsed candidate (FR-F3, FR-E2)</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US-06 - Applicant tracks and withdraws (FR-E3, FR-E4, FR-G1)</w:t>
            </w:r>
            <w:r>
              <w:tab/>
            </w:r>
            <w:r>
              <w:fldChar w:fldCharType="begin"/>
            </w:r>
            <w:r>
              <w:instrText xml:space="preserve"> PAGEREF _Toc100025 \h </w:instrText>
            </w:r>
            <w:r>
              <w:fldChar w:fldCharType="separate"/>
            </w:r>
            <w:r>
              <w:t>12</w:t>
            </w:r>
            <w:r>
              <w:fldChar w:fldCharType="end"/>
            </w:r>
          </w:hyperlink>
        </w:p>
        <w:p>
          <w:pPr>
            <w:pStyle w:val="9"/>
            <w:tabs>
              <w:tab w:val="right" w:leader="dot" w:pos="9026"/>
            </w:tabs>
            <w:spacing w:before="120" w:after="60"/>
          </w:pPr>
          <w:hyperlink w:anchor="_Toc100026" w:history="1">
            <w:r>
              <w:rPr>
                <w:rStyle w:val="Hyperlink"/>
              </w:rPr>
              <w:t>7. Non-Functional Requirements</w:t>
            </w:r>
            <w:r>
              <w:tab/>
            </w:r>
            <w:r>
              <w:fldChar w:fldCharType="begin"/>
            </w:r>
            <w:r>
              <w:instrText xml:space="preserve"> PAGEREF _Toc100026 \h </w:instrText>
            </w:r>
            <w:r>
              <w:fldChar w:fldCharType="separate"/>
            </w:r>
            <w:r>
              <w:t>13</w:t>
            </w:r>
            <w:r>
              <w:fldChar w:fldCharType="end"/>
            </w:r>
          </w:hyperlink>
        </w:p>
        <w:p>
          <w:pPr>
            <w:pStyle w:val="9"/>
            <w:tabs>
              <w:tab w:val="right" w:leader="dot" w:pos="9026"/>
            </w:tabs>
            <w:spacing w:before="120" w:after="60"/>
          </w:pPr>
          <w:hyperlink w:anchor="_Toc100027" w:history="1">
            <w:r>
              <w:rPr>
                <w:rStyle w:val="Hyperlink"/>
              </w:rPr>
              <w:t>8. Data Requirements</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8.1 Core Data Entities</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8.2 Application Status Model</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8.3 Data Classification and Retention</w:t>
            </w:r>
            <w:r>
              <w:tab/>
            </w:r>
            <w:r>
              <w:fldChar w:fldCharType="begin"/>
            </w:r>
            <w:r>
              <w:instrText xml:space="preserve"> PAGEREF _Toc100030 \h </w:instrText>
            </w:r>
            <w:r>
              <w:fldChar w:fldCharType="separate"/>
            </w:r>
            <w:r>
              <w:t>14</w:t>
            </w:r>
            <w:r>
              <w:fldChar w:fldCharType="end"/>
            </w:r>
          </w:hyperlink>
        </w:p>
        <w:p>
          <w:pPr>
            <w:pStyle w:val="9"/>
            <w:tabs>
              <w:tab w:val="right" w:leader="dot" w:pos="9026"/>
            </w:tabs>
            <w:spacing w:before="120" w:after="60"/>
          </w:pPr>
          <w:hyperlink w:anchor="_Toc100031" w:history="1">
            <w:r>
              <w:rPr>
                <w:rStyle w:val="Hyperlink"/>
              </w:rPr>
              <w:t>9. Release Plan and Roadmap</w:t>
            </w:r>
            <w:r>
              <w:tab/>
            </w:r>
            <w:r>
              <w:fldChar w:fldCharType="begin"/>
            </w:r>
            <w:r>
              <w:instrText xml:space="preserve"> PAGEREF _Toc100031 \h </w:instrText>
            </w:r>
            <w:r>
              <w:fldChar w:fldCharType="separate"/>
            </w:r>
            <w:r>
              <w:t>14</w:t>
            </w:r>
            <w:r>
              <w:fldChar w:fldCharType="end"/>
            </w:r>
          </w:hyperlink>
        </w:p>
        <w:p>
          <w:pPr>
            <w:pStyle w:val="9"/>
            <w:tabs>
              <w:tab w:val="right" w:leader="dot" w:pos="9026"/>
            </w:tabs>
            <w:spacing w:before="120" w:after="60"/>
          </w:pPr>
          <w:hyperlink w:anchor="_Toc100032" w:history="1">
            <w:r>
              <w:rPr>
                <w:rStyle w:val="Hyperlink"/>
              </w:rPr>
              <w:t>10. Risks and Mitigations</w:t>
            </w:r>
            <w:r>
              <w:tab/>
            </w:r>
            <w:r>
              <w:fldChar w:fldCharType="begin"/>
            </w:r>
            <w:r>
              <w:instrText xml:space="preserve"> PAGEREF _Toc100032 \h </w:instrText>
            </w:r>
            <w:r>
              <w:fldChar w:fldCharType="separate"/>
            </w:r>
            <w:r>
              <w:t>15</w:t>
            </w:r>
            <w:r>
              <w:fldChar w:fldCharType="end"/>
            </w:r>
          </w:hyperlink>
        </w:p>
        <w:p>
          <w:pPr>
            <w:pStyle w:val="9"/>
            <w:tabs>
              <w:tab w:val="right" w:leader="dot" w:pos="9026"/>
            </w:tabs>
            <w:spacing w:before="120" w:after="60"/>
          </w:pPr>
          <w:hyperlink w:anchor="_Toc100033" w:history="1">
            <w:r>
              <w:rPr>
                <w:rStyle w:val="Hyperlink"/>
              </w:rPr>
              <w:t>11. Traceability Matrix</w:t>
            </w:r>
            <w:r>
              <w:tab/>
            </w:r>
            <w:r>
              <w:fldChar w:fldCharType="begin"/>
            </w:r>
            <w:r>
              <w:instrText xml:space="preserve"> PAGEREF _Toc100033 \h </w:instrText>
            </w:r>
            <w:r>
              <w:fldChar w:fldCharType="separate"/>
            </w:r>
            <w:r>
              <w:t>15</w:t>
            </w:r>
            <w:r>
              <w:fldChar w:fldCharType="end"/>
            </w:r>
          </w:hyperlink>
        </w:p>
        <w:p>
          <w:pPr>
            <w:pStyle w:val="9"/>
            <w:tabs>
              <w:tab w:val="right" w:leader="dot" w:pos="9026"/>
            </w:tabs>
            <w:spacing w:before="120" w:after="60"/>
          </w:pPr>
          <w:hyperlink w:anchor="_Toc100034" w:history="1">
            <w:r>
              <w:rPr>
                <w:rStyle w:val="Hyperlink"/>
              </w:rPr>
              <w:t>12. Glossary and References</w:t>
            </w:r>
            <w:r>
              <w:tab/>
            </w:r>
            <w:r>
              <w:fldChar w:fldCharType="begin"/>
            </w:r>
            <w:r>
              <w:instrText xml:space="preserve"> PAGEREF _Toc100034 \h </w:instrText>
            </w:r>
            <w:r>
              <w:fldChar w:fldCharType="separate"/>
            </w:r>
            <w:r>
              <w:t>16</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180" w:before="400" w:line="312"/>
      </w:pPr>
      <w:bookmarkStart w:id="100000" w:name="_Toc100000"/>
      <w:r>
        <w:rPr>
          <w:rFonts w:ascii="Arial" w:eastAsia="Arial"/>
          <w:b/>
          <w:bCs/>
          <w:color w:val="1A2330"/>
          <w:sz w:val="32"/>
          <w:szCs w:val="32"/>
        </w:rPr>
        <w:t xml:space="preserve">1. Executive Summary</w:t>
      </w:r>
      <w:bookmarkEnd w:id="100000"/>
    </w:p>
    <w:p>
      <w:pPr>
        <w:spacing w:after="140" w:line="312"/>
        <w:jc w:val="both"/>
      </w:pPr>
      <w:r>
        <w:rPr>
          <w:rFonts w:ascii="Times New Roman" w:eastAsia="Times New Roman"/>
          <w:color w:val="000000"/>
          <w:sz w:val="24"/>
          <w:szCs w:val="24"/>
        </w:rPr>
        <w:t xml:space="preserve">This document defines the requirements for MatchWise, a web-based job matching and recruitment workflow platform operated by FIL International Recruitment Agency (FIRA). MatchWise connects Filipino and other applicants seeking overseas employment - principally deployment to Morocco - with international employers, through licensed partner agencies. The platform combines a public job board, structured applicant profiling with document management, an AI-assisted matching engine, a nineteen-state application tracking workflow, and a two-step endorsement process in which FIRA governance review precedes employer acceptance.</w:t>
      </w:r>
    </w:p>
    <w:p>
      <w:pPr>
        <w:spacing w:after="140" w:line="312"/>
        <w:jc w:val="both"/>
      </w:pPr>
      <w:r>
        <w:rPr>
          <w:rFonts w:ascii="Times New Roman" w:eastAsia="Times New Roman"/>
          <w:color w:val="000000"/>
          <w:sz w:val="24"/>
          <w:szCs w:val="24"/>
        </w:rPr>
        <w:t xml:space="preserve">The specification follows a hybrid format: Sections 1 to 4 present the product narrative (objectives, users, and scope) in the style of a Product Requirements Document, while Sections 5 to 11 provide formally numbered and prioritized requirements (FR-A1 through FR-H5, NFR-01 through NFR-10), user stories with acceptance criteria, data requirements, a release roadmap, and a traceability matrix. Priorities use the MoSCoW scheme (Must have, Should have, Could have, Won't have this release).</w:t>
      </w:r>
    </w:p>
    <w:p>
      <w:pPr>
        <w:spacing w:after="140" w:line="312"/>
        <w:jc w:val="both"/>
      </w:pPr>
      <w:r>
        <w:rPr>
          <w:rFonts w:ascii="Times New Roman" w:eastAsia="Times New Roman"/>
          <w:color w:val="000000"/>
          <w:sz w:val="24"/>
          <w:szCs w:val="24"/>
        </w:rPr>
        <w:t xml:space="preserve">The intended audience is the development team responsible for building the platform, together with FIRA and partner-agency stakeholders who will review and sign off the scope. Companion artifacts referenced throughout are the MatchWise Data Dictionary (35 tables, 358 fields), the clickable prototype, and the legal document suite (Terms and Conditions, Privacy Policy, EULA and Cookie Notice), which constrain several compliance-related requirements.</w:t>
      </w:r>
    </w:p>
    <w:p>
      <w:pPr>
        <w:pStyle w:val="Heading1"/>
        <w:keepNext/>
        <w:spacing w:after="180" w:before="400" w:line="312"/>
      </w:pPr>
      <w:bookmarkStart w:id="100001" w:name="_Toc100001"/>
      <w:r>
        <w:rPr>
          <w:rFonts w:ascii="Arial" w:eastAsia="Arial"/>
          <w:b/>
          <w:bCs/>
          <w:color w:val="1A2330"/>
          <w:sz w:val="32"/>
          <w:szCs w:val="32"/>
        </w:rPr>
        <w:t xml:space="preserve">2. Product Overview and Objectives</w:t>
      </w:r>
      <w:bookmarkEnd w:id="100001"/>
    </w:p>
    <w:p>
      <w:pPr>
        <w:pStyle w:val="Heading2"/>
        <w:keepNext/>
        <w:spacing w:after="140" w:before="280" w:line="312"/>
      </w:pPr>
      <w:bookmarkStart w:id="100002" w:name="_Toc100002"/>
      <w:r>
        <w:rPr>
          <w:rFonts w:ascii="Arial" w:eastAsia="Arial"/>
          <w:b/>
          <w:bCs/>
          <w:color w:val="1A2330"/>
          <w:sz w:val="28"/>
          <w:szCs w:val="28"/>
        </w:rPr>
        <w:t xml:space="preserve">2.1 Background and Problem Statement</w:t>
      </w:r>
      <w:bookmarkEnd w:id="100002"/>
    </w:p>
    <w:p>
      <w:pPr>
        <w:spacing w:after="140" w:line="312"/>
        <w:jc w:val="both"/>
      </w:pPr>
      <w:r>
        <w:rPr>
          <w:rFonts w:ascii="Times New Roman" w:eastAsia="Times New Roman"/>
          <w:color w:val="000000"/>
          <w:sz w:val="24"/>
          <w:szCs w:val="24"/>
        </w:rPr>
        <w:t xml:space="preserve">Overseas recruitment from the Philippines to Morocco is currently mediated by fragmented channels: paper-based dossiers, unstructured messaging, and manual endorsements between agencies, FIRA, and employers. Applicants lack visibility into their application status, agencies re-enter the same candidate data repeatedly, and governance teams have no single source of truth for verifying licenses, job orders, and endorsements. At the same time, Philippine regulations (Republic Act No. 8042 as amended, and the Department of Migrant Workers' licensing regime) impose strict verification and documentation duties that ad-hoc processes handle poorly and inconsistently.</w:t>
      </w:r>
    </w:p>
    <w:p>
      <w:pPr>
        <w:spacing w:after="140" w:line="312"/>
        <w:jc w:val="both"/>
      </w:pPr>
      <w:r>
        <w:rPr>
          <w:rFonts w:ascii="Times New Roman" w:eastAsia="Times New Roman"/>
          <w:color w:val="000000"/>
          <w:sz w:val="24"/>
          <w:szCs w:val="24"/>
        </w:rPr>
        <w:t xml:space="preserve">MatchWise addresses these problems by digitizing the full pipeline in one governed system: applicants maintain a single structured profile and document vault; agencies and employers work from shared, verified records; FIRA staff review and approve at the controlled checkpoints; and every state change is timestamped in an audit trail. The AI matching engine then narrows a large applicant pool to a ranked, explainable shortlist for each job order, which human reviewers - not algorithms - act upon.</w:t>
      </w:r>
    </w:p>
    <w:p>
      <w:pPr>
        <w:pStyle w:val="Heading2"/>
        <w:keepNext/>
        <w:spacing w:after="140" w:before="280" w:line="312"/>
      </w:pPr>
      <w:bookmarkStart w:id="100003" w:name="_Toc100003"/>
      <w:r>
        <w:rPr>
          <w:rFonts w:ascii="Arial" w:eastAsia="Arial"/>
          <w:b/>
          <w:bCs/>
          <w:color w:val="1A2330"/>
          <w:sz w:val="28"/>
          <w:szCs w:val="28"/>
        </w:rPr>
        <w:t xml:space="preserve">2.2 Product Goals</w:t>
      </w:r>
      <w:bookmarkEnd w:id="100003"/>
    </w:p>
    <w:p>
      <w:pPr>
        <w:spacing w:after="140" w:line="312"/>
        <w:jc w:val="both"/>
      </w:pPr>
      <w:r>
        <w:rPr>
          <w:rFonts w:ascii="Times New Roman" w:eastAsia="Times New Roman"/>
          <w:color w:val="000000"/>
          <w:sz w:val="24"/>
          <w:szCs w:val="24"/>
        </w:rPr>
        <w:t xml:space="preserve">The platform pursues four goals. First, transparency for applicants: every application is visible against a defined status model with eight milestones, reducing anxiety and follow-up contact. Second, throughput for agencies and employers: structured profiles, resume parsing, and match-ranked candidate lists compress screening time. Third, governance and compliance for FIRA: verification queues, a two-step endorsement gate, and immutable audit records demonstrate lawful, non-illegal recruitment practice consistent with RA 8042 and DMW rules. Fourth, trust: explainable scoring, explicit consent, and privacy rights handling aligned with the Philippine Data Privacy Act (RA 10173) and Morocco's Law No. 09-08.</w:t>
      </w:r>
    </w:p>
    <w:p>
      <w:pPr>
        <w:pStyle w:val="Heading2"/>
        <w:keepNext/>
        <w:spacing w:after="140" w:before="280" w:line="312"/>
      </w:pPr>
      <w:bookmarkStart w:id="100004" w:name="_Toc100004"/>
      <w:r>
        <w:rPr>
          <w:rFonts w:ascii="Arial" w:eastAsia="Arial"/>
          <w:b/>
          <w:bCs/>
          <w:color w:val="1A2330"/>
          <w:sz w:val="28"/>
          <w:szCs w:val="28"/>
        </w:rPr>
        <w:t xml:space="preserve">2.3 Success Metrics</w:t>
      </w:r>
      <w:bookmarkEnd w:id="100004"/>
    </w:p>
    <w:p>
      <w:pPr>
        <w:spacing w:after="140" w:line="312"/>
        <w:jc w:val="both"/>
      </w:pPr>
      <w:r>
        <w:rPr>
          <w:rFonts w:ascii="Times New Roman" w:eastAsia="Times New Roman"/>
          <w:color w:val="000000"/>
          <w:sz w:val="24"/>
          <w:szCs w:val="24"/>
        </w:rPr>
        <w:t xml:space="preserve">Launch success will be evaluated against the following indicators, measured monthly from go-live.</w:t>
      </w:r>
    </w:p>
    <w:p>
      <w:pPr>
        <w:keepNext/>
        <w:spacing w:after="100" w:before="160" w:line="312"/>
      </w:pPr>
      <w:r>
        <w:rPr>
          <w:rFonts w:ascii="Arial" w:eastAsia="Arial"/>
          <w:b/>
          <w:bCs/>
          <w:color w:val="1A2330"/>
          <w:sz w:val="21"/>
          <w:szCs w:val="21"/>
        </w:rPr>
        <w:t xml:space="preserve">Table 1: Product success metrics and targets</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Metric</w:t>
            </w:r>
          </w:p>
        </w:tc>
        <w:tc>
          <w:tcPr>
            <w:tcW w:type="pct" w:w="45%"/>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Definition</w:t>
            </w:r>
          </w:p>
        </w:tc>
        <w:tc>
          <w:tcPr>
            <w:tcW w:type="pct" w:w="25%"/>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Target (12 months)</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Registered applicants</w:t>
            </w:r>
          </w:p>
        </w:tc>
        <w:tc>
          <w:tcPr>
            <w:tcW w:type="pct" w:w="45%"/>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Completed applicant profiles with verified email</w:t>
            </w:r>
          </w:p>
        </w:tc>
        <w:tc>
          <w:tcPr>
            <w:tcW w:type="pct" w:w="25%"/>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2,000+</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Active job orders</w:t>
            </w:r>
          </w:p>
        </w:tc>
        <w:tc>
          <w:tcPr>
            <w:tcW w:type="pct" w:w="45%"/>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FIRA-approved, publicly visible job orders</w:t>
            </w:r>
          </w:p>
        </w:tc>
        <w:tc>
          <w:tcPr>
            <w:tcW w:type="pct" w:w="25%"/>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50+</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Endorsement cycle time</w:t>
            </w:r>
          </w:p>
        </w:tc>
        <w:tc>
          <w:tcPr>
            <w:tcW w:type="pct" w:w="45%"/>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Median days from agency endorsement to employer decision</w:t>
            </w:r>
          </w:p>
        </w:tc>
        <w:tc>
          <w:tcPr>
            <w:tcW w:type="pct" w:w="25%"/>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7 days or less</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Profile completeness</w:t>
            </w:r>
          </w:p>
        </w:tc>
        <w:tc>
          <w:tcPr>
            <w:tcW w:type="pct" w:w="45%"/>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Share of active applicants at 80%+ profile completeness</w:t>
            </w:r>
          </w:p>
        </w:tc>
        <w:tc>
          <w:tcPr>
            <w:tcW w:type="pct" w:w="25%"/>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60%</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Match acceptance rate</w:t>
            </w:r>
          </w:p>
        </w:tc>
        <w:tc>
          <w:tcPr>
            <w:tcW w:type="pct" w:w="45%"/>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Employer acceptances over endorsements sent</w:t>
            </w:r>
          </w:p>
        </w:tc>
        <w:tc>
          <w:tcPr>
            <w:tcW w:type="pct" w:w="25%"/>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40% or higher</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Deployment conversions</w:t>
            </w:r>
          </w:p>
        </w:tc>
        <w:tc>
          <w:tcPr>
            <w:tcW w:type="pct" w:w="45%"/>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Applications reaching Deployed status</w:t>
            </w:r>
          </w:p>
        </w:tc>
        <w:tc>
          <w:tcPr>
            <w:tcW w:type="pct" w:w="25%"/>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150+</w:t>
            </w:r>
          </w:p>
        </w:tc>
      </w:tr>
    </w:tbl>
    <w:p>
      <w:pPr>
        <w:spacing w:after="120"/>
      </w:pPr>
    </w:p>
    <w:p>
      <w:pPr>
        <w:pStyle w:val="Heading1"/>
        <w:keepNext/>
        <w:spacing w:after="180" w:before="400" w:line="312"/>
      </w:pPr>
      <w:bookmarkStart w:id="100005" w:name="_Toc100005"/>
      <w:r>
        <w:rPr>
          <w:rFonts w:ascii="Arial" w:eastAsia="Arial"/>
          <w:b/>
          <w:bCs/>
          <w:color w:val="1A2330"/>
          <w:sz w:val="32"/>
          <w:szCs w:val="32"/>
        </w:rPr>
        <w:t xml:space="preserve">3. Users, Roles and Personas</w:t>
      </w:r>
      <w:bookmarkEnd w:id="100005"/>
    </w:p>
    <w:p>
      <w:pPr>
        <w:spacing w:after="140" w:line="312"/>
        <w:jc w:val="both"/>
      </w:pPr>
      <w:r>
        <w:rPr>
          <w:rFonts w:ascii="Times New Roman" w:eastAsia="Times New Roman"/>
          <w:color w:val="000000"/>
          <w:sz w:val="24"/>
          <w:szCs w:val="24"/>
        </w:rPr>
        <w:t xml:space="preserve">The platform serves five distinct roles. Role determines both the features visible in the workspace and the workflow transitions each user may perform; authorization is enforced server-side on every request. The following personas illustrate the primary motivations and pain points each role brings to the system.</w:t>
      </w:r>
    </w:p>
    <w:p>
      <w:pPr>
        <w:keepNext/>
        <w:spacing w:after="100" w:before="160" w:line="312"/>
      </w:pPr>
      <w:r>
        <w:rPr>
          <w:rFonts w:ascii="Arial" w:eastAsia="Arial"/>
          <w:b/>
          <w:bCs/>
          <w:color w:val="1A2330"/>
          <w:sz w:val="21"/>
          <w:szCs w:val="21"/>
        </w:rPr>
        <w:t xml:space="preserve">Table 2: Platform roles and their core capabilities</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tblGrid>
      <w:tr>
        <w:trPr>
          <w:cantSplit/>
          <w:tblHeader/>
        </w:trPr>
        <w:tc>
          <w:tcPr>
            <w:tcW w:type="pct" w:w="16%"/>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Role</w:t>
            </w:r>
          </w:p>
        </w:tc>
        <w:tc>
          <w:tcPr>
            <w:tcW w:type="pct" w:w="34%"/>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Who they are</w:t>
            </w:r>
          </w:p>
        </w:tc>
        <w:tc>
          <w:tcPr>
            <w:tcW w:type="pct" w:w="50%"/>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Core capabilities in MatchWise</w:t>
            </w:r>
          </w:p>
        </w:tc>
      </w:tr>
      <w:tr>
        <w:trPr>
          <w:cantSplit/>
        </w:trPr>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Applicant</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 Filipino job seeker (e.g., domestic helper, caregiver, nurse, welder) aiming for overseas deployment</w:t>
            </w:r>
          </w:p>
        </w:tc>
        <w:tc>
          <w:tcPr>
            <w:tcW w:type="pct" w:w="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Register and complete structured profile; upload resume and documents; browse public job orders; view AI match scores; apply; track application status; withdraw</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Agency (Partner)</w:t>
            </w:r>
          </w:p>
        </w:tc>
        <w:tc>
          <w:tcPr>
            <w:tcW w:type="pct" w:w="3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DMW-licensed partner agency staff (e.g., MY K STAR, ERRX) sourcing and processing candidates</w:t>
            </w:r>
          </w:p>
        </w:tc>
        <w:tc>
          <w:tcPr>
            <w:tcW w:type="pct" w:w="5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Manage assigned or endorsed applicants; conduct screening and interview stages; prepare endorsements; view agency-scoped pipelines</w:t>
            </w:r>
          </w:p>
        </w:tc>
      </w:tr>
      <w:tr>
        <w:trPr>
          <w:cantSplit/>
        </w:trPr>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Employer</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 foreign principal or company posting job orders (e.g., clinics, resorts, households)</w:t>
            </w:r>
          </w:p>
        </w:tc>
        <w:tc>
          <w:tcPr>
            <w:tcW w:type="pct" w:w="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Submit job orders for approval; review endorsed candidates with match scores; accept or decline endorsements; manage employer profile</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FIRA Staff</w:t>
            </w:r>
          </w:p>
        </w:tc>
        <w:tc>
          <w:tcPr>
            <w:tcW w:type="pct" w:w="3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FIRA governance and operations personnel</w:t>
            </w:r>
          </w:p>
        </w:tc>
        <w:tc>
          <w:tcPr>
            <w:tcW w:type="pct" w:w="5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Verify agencies and employers; approve job orders; review and approve/reject endorsements; oversee all pipelines; manage CMS content</w:t>
            </w:r>
          </w:p>
        </w:tc>
      </w:tr>
      <w:tr>
        <w:trPr>
          <w:cantSplit/>
        </w:trPr>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Super Admin</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System administrators</w:t>
            </w:r>
          </w:p>
        </w:tc>
        <w:tc>
          <w:tcPr>
            <w:tcW w:type="pct" w:w="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User and role administration; agency and employer onboarding; global configuration; audit oversight</w:t>
            </w:r>
          </w:p>
        </w:tc>
      </w:tr>
    </w:tbl>
    <w:p>
      <w:pPr>
        <w:spacing w:after="120"/>
      </w:pPr>
    </w:p>
    <w:p>
      <w:pPr>
        <w:spacing w:after="140" w:line="312"/>
        <w:jc w:val="both"/>
      </w:pPr>
      <w:r>
        <w:rPr>
          <w:rFonts w:ascii="Times New Roman" w:eastAsia="Times New Roman"/>
          <w:color w:val="000000"/>
          <w:sz w:val="24"/>
          <w:szCs w:val="24"/>
        </w:rPr>
        <w:t xml:space="preserve">Persona - Ana, 28, is a caregiver from Pampanga. She owns a phone, not a laptop, so the applicant experience must be mobile-first; she checks status several times a week and wants to know exactly which document is missing next. Persona - Liza runs the placement desk at a partner agency in Ermita; she handles 60 active candidates and needs the endorsement step to take minutes, not days of follow-up calls. Persona - Dr. Amal runs a private clinic in Casablanca; she trusts the platform only if job orders, salaries, and candidate documents are verified before anything reaches her desk. Persona - Marco is a FIRA compliance officer; his measure of success is that no endorsement proceeds without license verification and a complete audit trail.</w:t>
      </w:r>
    </w:p>
    <w:p>
      <w:pPr>
        <w:pStyle w:val="Heading1"/>
        <w:keepNext/>
        <w:spacing w:after="180" w:before="400" w:line="312"/>
      </w:pPr>
      <w:bookmarkStart w:id="100006" w:name="_Toc100006"/>
      <w:r>
        <w:rPr>
          <w:rFonts w:ascii="Arial" w:eastAsia="Arial"/>
          <w:b/>
          <w:bCs/>
          <w:color w:val="1A2330"/>
          <w:sz w:val="32"/>
          <w:szCs w:val="32"/>
        </w:rPr>
        <w:t xml:space="preserve">4. System Scope and Context</w:t>
      </w:r>
      <w:bookmarkEnd w:id="100006"/>
    </w:p>
    <w:p>
      <w:pPr>
        <w:pStyle w:val="Heading2"/>
        <w:keepNext/>
        <w:spacing w:after="140" w:before="280" w:line="312"/>
      </w:pPr>
      <w:bookmarkStart w:id="100007" w:name="_Toc100007"/>
      <w:r>
        <w:rPr>
          <w:rFonts w:ascii="Arial" w:eastAsia="Arial"/>
          <w:b/>
          <w:bCs/>
          <w:color w:val="1A2330"/>
          <w:sz w:val="28"/>
          <w:szCs w:val="28"/>
        </w:rPr>
        <w:t xml:space="preserve">4.1 In Scope</w:t>
      </w:r>
      <w:bookmarkEnd w:id="100007"/>
    </w:p>
    <w:p>
      <w:pPr>
        <w:spacing w:after="140" w:line="312"/>
        <w:jc w:val="both"/>
      </w:pPr>
      <w:r>
        <w:rPr>
          <w:rFonts w:ascii="Times New Roman" w:eastAsia="Times New Roman"/>
          <w:color w:val="000000"/>
          <w:sz w:val="24"/>
          <w:szCs w:val="24"/>
        </w:rPr>
        <w:t xml:space="preserve">This specification covers the MatchWise web application (responsive desktop and mobile web) and its supporting API, database, and content management features. In scope are: account registration and role-based access for all five roles; the applicant profile wizard with resume upload and document vault; job order creation, approval, and the public job board; the AI-assisted matching engine with explainable scoring; the nineteen-state application workflow; the two-step endorsement process with audit trail; in-app notifications and messaging; FIRA verification and governance queues; the public marketing site with CMS-managed content (FAQs, testimonials, contact, newsletter, and partner inquiries); and dashboards with key performance indicators for each role.</w:t>
      </w:r>
    </w:p>
    <w:p>
      <w:pPr>
        <w:pStyle w:val="Heading2"/>
        <w:keepNext/>
        <w:spacing w:after="140" w:before="280" w:line="312"/>
      </w:pPr>
      <w:bookmarkStart w:id="100008" w:name="_Toc100008"/>
      <w:r>
        <w:rPr>
          <w:rFonts w:ascii="Arial" w:eastAsia="Arial"/>
          <w:b/>
          <w:bCs/>
          <w:color w:val="1A2330"/>
          <w:sz w:val="28"/>
          <w:szCs w:val="28"/>
        </w:rPr>
        <w:t xml:space="preserve">4.2 Out of Scope</w:t>
      </w:r>
      <w:bookmarkEnd w:id="100008"/>
    </w:p>
    <w:p>
      <w:pPr>
        <w:spacing w:after="140" w:line="312"/>
        <w:jc w:val="both"/>
      </w:pPr>
      <w:r>
        <w:rPr>
          <w:rFonts w:ascii="Times New Roman" w:eastAsia="Times New Roman"/>
          <w:color w:val="000000"/>
          <w:sz w:val="24"/>
          <w:szCs w:val="24"/>
        </w:rPr>
        <w:t xml:space="preserve">The following are explicitly excluded from this release: native mobile applications; payment processing for agency or employer subscriptions; payroll, employment contract generation, or e-signature; visa issuance and government system integrations; video interviewing; and translation of job order content beyond the platform's bilingual interface labels (English and Filipino). These items may be revisited in later phases (see Section 9).</w:t>
      </w:r>
    </w:p>
    <w:p>
      <w:pPr>
        <w:pStyle w:val="Heading2"/>
        <w:keepNext/>
        <w:spacing w:after="140" w:before="280" w:line="312"/>
      </w:pPr>
      <w:bookmarkStart w:id="100009" w:name="_Toc100009"/>
      <w:r>
        <w:rPr>
          <w:rFonts w:ascii="Arial" w:eastAsia="Arial"/>
          <w:b/>
          <w:bCs/>
          <w:color w:val="1A2330"/>
          <w:sz w:val="28"/>
          <w:szCs w:val="28"/>
        </w:rPr>
        <w:t xml:space="preserve">4.3 Dependencies and Assumptions</w:t>
      </w:r>
      <w:bookmarkEnd w:id="100009"/>
    </w:p>
    <w:p>
      <w:pPr>
        <w:spacing w:after="140" w:line="312"/>
        <w:jc w:val="both"/>
      </w:pPr>
      <w:r>
        <w:rPr>
          <w:rFonts w:ascii="Times New Roman" w:eastAsia="Times New Roman"/>
          <w:color w:val="000000"/>
          <w:sz w:val="24"/>
          <w:szCs w:val="24"/>
        </w:rPr>
        <w:t xml:space="preserve">The platform depends on licensed partner agencies holding valid DMW licenses for Philippine recruitment and placement activity, and on employers supplying truthful job order and accreditation information. AI matching in the first release is deterministic and rules-based (weighted similarity scoring), not machine-learned; the design must therefore keep scoring inputs, weights, and explanations transparent and auditable. The specification assumes deployment to Morocco as the primary corridor, with the architecture remaining destination-agnostic. Regulatory references (RA 8042, DMW rules, RA 10173, Morocco Law 09-08) inform compliance requirements but do not replace legal review of the implemented platform.</w:t>
      </w:r>
    </w:p>
    <w:p>
      <w:pPr>
        <w:pStyle w:val="Heading1"/>
        <w:keepNext/>
        <w:spacing w:after="180" w:before="400" w:line="312"/>
      </w:pPr>
      <w:bookmarkStart w:id="100010" w:name="_Toc100010"/>
      <w:r>
        <w:rPr>
          <w:rFonts w:ascii="Arial" w:eastAsia="Arial"/>
          <w:b/>
          <w:bCs/>
          <w:color w:val="1A2330"/>
          <w:sz w:val="32"/>
          <w:szCs w:val="32"/>
        </w:rPr>
        <w:t xml:space="preserve">5. Functional Requirements</w:t>
      </w:r>
      <w:bookmarkEnd w:id="100010"/>
    </w:p>
    <w:p>
      <w:pPr>
        <w:spacing w:after="140" w:line="312"/>
        <w:jc w:val="both"/>
      </w:pPr>
      <w:r>
        <w:rPr>
          <w:rFonts w:ascii="Times New Roman" w:eastAsia="Times New Roman"/>
          <w:color w:val="000000"/>
          <w:sz w:val="24"/>
          <w:szCs w:val="24"/>
        </w:rPr>
        <w:t xml:space="preserve">Functional requirements are grouped into eight modules (FR-A to FR-H) and numbered for stable reference. Each requirement states what the system shall do, together with its MoSCoW priority. Requirements marked Must are launch-blocking for the MVP; Should requirements are targeted for the first post-launch iteration; Could requirements are scheduled by capacity. All workflow-related requirements must respect the role-gated state model defined in Section 8.2, and all personal-data processing must comply with the privacy requirements in Section 7 and the MatchWise Privacy Policy.</w:t>
      </w:r>
    </w:p>
    <w:p>
      <w:pPr>
        <w:pStyle w:val="Heading2"/>
        <w:keepNext/>
        <w:spacing w:after="140" w:before="280" w:line="312"/>
      </w:pPr>
      <w:bookmarkStart w:id="100011" w:name="_Toc100011"/>
      <w:r>
        <w:rPr>
          <w:rFonts w:ascii="Arial" w:eastAsia="Arial"/>
          <w:b/>
          <w:bCs/>
          <w:color w:val="1A2330"/>
          <w:sz w:val="28"/>
          <w:szCs w:val="28"/>
        </w:rPr>
        <w:t xml:space="preserve">5.1 Accounts, Authentication and Role Management (FR-A)</w:t>
      </w:r>
      <w:bookmarkEnd w:id="100011"/>
    </w:p>
    <w:p>
      <w:pPr>
        <w:spacing w:after="140" w:line="312"/>
        <w:jc w:val="both"/>
      </w:pPr>
      <w:r>
        <w:rPr>
          <w:rFonts w:ascii="Times New Roman" w:eastAsia="Times New Roman"/>
          <w:color w:val="000000"/>
          <w:sz w:val="24"/>
          <w:szCs w:val="24"/>
        </w:rPr>
        <w:t xml:space="preserve">This module governs how users register, prove their identity, and receive role-scoped workspaces. It is the security foundation for every other module, so its requirements are uniformly Must-have.</w:t>
      </w:r>
    </w:p>
    <w:p>
      <w:pPr>
        <w:keepNext/>
        <w:spacing w:after="100" w:before="160" w:line="312"/>
      </w:pPr>
      <w:r>
        <w:rPr>
          <w:rFonts w:ascii="Arial" w:eastAsia="Arial"/>
          <w:b/>
          <w:bCs/>
          <w:color w:val="1A2330"/>
          <w:sz w:val="21"/>
          <w:szCs w:val="21"/>
        </w:rPr>
        <w:t xml:space="preserve">Table 3: Functional requirements - accounts and authentication</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ID</w:t>
            </w:r>
          </w:p>
        </w:tc>
        <w:tc>
          <w:tcPr>
            <w:tcW w:type="pct" w:w="70%"/>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Requirement</w:t>
            </w:r>
          </w:p>
        </w:tc>
        <w:tc>
          <w:tcPr>
            <w:tcW w:type="pct" w:w="18%"/>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Priority</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FR-A1</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allow a user to register with email and password, select a role (Applicant, Agency, Employer), and verify the email address through a time-limited code before first sign-in; unverified accounts shall not authenticate.</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FR-A2</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enforce role-based access control on every API endpoint and page, granting each role access only to its own features, data, and workspaces; cross-role access attempts shall be denied server-side.</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FR-A3</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provide secure session management (token-based) with sign-in, sign-out, and a password policy of at least eight characters.</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FR-A4</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provide self-service password reset using emailed, time-boxed verification codes.</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Should</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FR-A5</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store role-specific profile data (applicant, employer, agency member) linked to a single user account, consistent with the User and profile tables in the Data Dictionary.</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bl>
    <w:p>
      <w:pPr>
        <w:spacing w:after="120"/>
      </w:pPr>
    </w:p>
    <w:p>
      <w:pPr>
        <w:pStyle w:val="Heading2"/>
        <w:keepNext/>
        <w:spacing w:after="140" w:before="280" w:line="312"/>
      </w:pPr>
      <w:bookmarkStart w:id="100012" w:name="_Toc100012"/>
      <w:r>
        <w:rPr>
          <w:rFonts w:ascii="Arial" w:eastAsia="Arial"/>
          <w:b/>
          <w:bCs/>
          <w:color w:val="1A2330"/>
          <w:sz w:val="28"/>
          <w:szCs w:val="28"/>
        </w:rPr>
        <w:t xml:space="preserve">5.2 Applicant Profile, Resume and Documents (FR-B)</w:t>
      </w:r>
      <w:bookmarkEnd w:id="100012"/>
    </w:p>
    <w:p>
      <w:pPr>
        <w:spacing w:after="140" w:line="312"/>
        <w:jc w:val="both"/>
      </w:pPr>
      <w:r>
        <w:rPr>
          <w:rFonts w:ascii="Times New Roman" w:eastAsia="Times New Roman"/>
          <w:color w:val="000000"/>
          <w:sz w:val="24"/>
          <w:szCs w:val="24"/>
        </w:rPr>
        <w:t xml:space="preserve">The applicant profile is the platform's core data asset: matching quality, endorsement decisions, and employer confidence all depend on its completeness and verifiability. The wizard structure mirrors the eleven sections implemented in the prototype.</w:t>
      </w:r>
    </w:p>
    <w:p>
      <w:pPr>
        <w:keepNext/>
        <w:spacing w:after="100" w:before="160" w:line="312"/>
      </w:pPr>
      <w:r>
        <w:rPr>
          <w:rFonts w:ascii="Arial" w:eastAsia="Arial"/>
          <w:b/>
          <w:bCs/>
          <w:color w:val="1A2330"/>
          <w:sz w:val="21"/>
          <w:szCs w:val="21"/>
        </w:rPr>
        <w:t xml:space="preserve">Table 4: Functional requirements - applicant profile and documents</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ID</w:t>
            </w:r>
          </w:p>
        </w:tc>
        <w:tc>
          <w:tcPr>
            <w:tcW w:type="pct" w:w="70%"/>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Requirement</w:t>
            </w:r>
          </w:p>
        </w:tc>
        <w:tc>
          <w:tcPr>
            <w:tcW w:type="pct" w:w="18%"/>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Priority</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FR-B1</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provide a structured profile wizard for applicants covering personal information, family background, education, work experience, skills, languages, certifications, documents, references, and job preferences, with a final review step.</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FR-B2</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allow resume upload in PDF, DOCX, JPG, or PNG format up to 10 MB, extract text from text-based documents, and store the extracted text for use by the matching engine.</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FR-B3</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maintain a document vault per applicant capturing document type, number, issuing details, and expiry date for identity, passport, medical, and training documents, and shall flag documents that are expired or expiring within 60 days.</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FR-B4</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display a profile completeness indicator and prompt the applicant with the next incomplete section.</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Should</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FR-B5</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present applicant-facing labels in English and Filipino, selected by a language toggle.</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Should</w:t>
            </w:r>
          </w:p>
        </w:tc>
      </w:tr>
    </w:tbl>
    <w:p>
      <w:pPr>
        <w:spacing w:after="120"/>
      </w:pPr>
    </w:p>
    <w:p>
      <w:pPr>
        <w:pStyle w:val="Heading2"/>
        <w:keepNext/>
        <w:spacing w:after="140" w:before="280" w:line="312"/>
      </w:pPr>
      <w:bookmarkStart w:id="100013" w:name="_Toc100013"/>
      <w:r>
        <w:rPr>
          <w:rFonts w:ascii="Arial" w:eastAsia="Arial"/>
          <w:b/>
          <w:bCs/>
          <w:color w:val="1A2330"/>
          <w:sz w:val="28"/>
          <w:szCs w:val="28"/>
        </w:rPr>
        <w:t xml:space="preserve">5.3 Job Order Management (FR-C)</w:t>
      </w:r>
      <w:bookmarkEnd w:id="100013"/>
    </w:p>
    <w:p>
      <w:pPr>
        <w:spacing w:after="140" w:line="312"/>
        <w:jc w:val="both"/>
      </w:pPr>
      <w:r>
        <w:rPr>
          <w:rFonts w:ascii="Times New Roman" w:eastAsia="Times New Roman"/>
          <w:color w:val="000000"/>
          <w:sz w:val="24"/>
          <w:szCs w:val="24"/>
        </w:rPr>
        <w:t xml:space="preserve">Job orders are the demand side of the marketplace. Publication is gated by FIRA approval so that only verified demand reaches applicants, supporting the anti-illegal recruitment commitments in the Terms and Conditions.</w:t>
      </w:r>
    </w:p>
    <w:p>
      <w:pPr>
        <w:keepNext/>
        <w:spacing w:after="100" w:before="160" w:line="312"/>
      </w:pPr>
      <w:r>
        <w:rPr>
          <w:rFonts w:ascii="Arial" w:eastAsia="Arial"/>
          <w:b/>
          <w:bCs/>
          <w:color w:val="1A2330"/>
          <w:sz w:val="21"/>
          <w:szCs w:val="21"/>
        </w:rPr>
        <w:t xml:space="preserve">Table 5: Functional requirements - job orders</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ID</w:t>
            </w:r>
          </w:p>
        </w:tc>
        <w:tc>
          <w:tcPr>
            <w:tcW w:type="pct" w:w="70%"/>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Requirement</w:t>
            </w:r>
          </w:p>
        </w:tc>
        <w:tc>
          <w:tcPr>
            <w:tcW w:type="pct" w:w="18%"/>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Priority</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FR-C1</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allow employers (or agencies on their behalf) to create job orders specifying position, category, destination country, salary with currency and period, qualifications, required skills, and visibility level (public, agency-only, private).</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FR-C2</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withhold a job order from public listing until FIRA staff approve it, and shall record the approving user and timestamp.</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FR-C3</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provide a public job board with search and filtering by category, destination, and salary for applicants and guests, showing approved public job orders only.</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FR-C4</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support job order lifecycle management (open, paused, closed, expired) with appropriate visibility in each state.</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Should</w:t>
            </w:r>
          </w:p>
        </w:tc>
      </w:tr>
    </w:tbl>
    <w:p>
      <w:pPr>
        <w:spacing w:after="120"/>
      </w:pPr>
    </w:p>
    <w:p>
      <w:pPr>
        <w:pStyle w:val="Heading2"/>
        <w:keepNext/>
        <w:spacing w:after="140" w:before="280" w:line="312"/>
      </w:pPr>
      <w:bookmarkStart w:id="100014" w:name="_Toc100014"/>
      <w:r>
        <w:rPr>
          <w:rFonts w:ascii="Arial" w:eastAsia="Arial"/>
          <w:b/>
          <w:bCs/>
          <w:color w:val="1A2330"/>
          <w:sz w:val="28"/>
          <w:szCs w:val="28"/>
        </w:rPr>
        <w:t xml:space="preserve">5.4 AI-Assisted Matching and Scoring (FR-D)</w:t>
      </w:r>
      <w:bookmarkEnd w:id="100014"/>
    </w:p>
    <w:p>
      <w:pPr>
        <w:spacing w:after="140" w:line="312"/>
        <w:jc w:val="both"/>
      </w:pPr>
      <w:r>
        <w:rPr>
          <w:rFonts w:ascii="Times New Roman" w:eastAsia="Times New Roman"/>
          <w:color w:val="000000"/>
          <w:sz w:val="24"/>
          <w:szCs w:val="24"/>
        </w:rPr>
        <w:t xml:space="preserve">The matching engine produces a per-application suitability estimate used to rank recommended jobs and to help reviewers prioritize. Its design deliberately keeps humans in charge: scores inform decisions and are always shown with their components and plain-language reasons, consistent with the disclosure in Article 6 of the Terms and Conditions and Section 6 of the Privacy Policy.</w:t>
      </w:r>
    </w:p>
    <w:p>
      <w:pPr>
        <w:keepNext/>
        <w:spacing w:after="100" w:before="160" w:line="312"/>
      </w:pPr>
      <w:r>
        <w:rPr>
          <w:rFonts w:ascii="Arial" w:eastAsia="Arial"/>
          <w:b/>
          <w:bCs/>
          <w:color w:val="1A2330"/>
          <w:sz w:val="21"/>
          <w:szCs w:val="21"/>
        </w:rPr>
        <w:t xml:space="preserve">Table 6: Functional requirements - AI matching and scoring</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ID</w:t>
            </w:r>
          </w:p>
        </w:tc>
        <w:tc>
          <w:tcPr>
            <w:tcW w:type="pct" w:w="70%"/>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Requirement</w:t>
            </w:r>
          </w:p>
        </w:tc>
        <w:tc>
          <w:tcPr>
            <w:tcW w:type="pct" w:w="18%"/>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Priority</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FR-D1</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compute a match score between each applicant and each job order as a weighted combination of semantic similarity between the resume/profile narrative and the job description (40%), skills overlap between declared and required skills (40%), and an experience factor derived from years of relevant experience (20%), expressed on a 0-100 scale.</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FR-D2</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display the score breakdown (semantic, skills, experience components), matched and missing skills, and human-readable explanation lines for every score shown to any user.</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FR-D3</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present each applicant a ranked list of recommended job orders ordered by match score, refreshed when the profile or job orders change.</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FR-D4</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use match scores for decision support only; no workflow state transition (shortlisting, endorsement, acceptance, rejection) shall occur automatically as a result of a score.</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FR-D5</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compute scores deterministically so that the same inputs reproduce the same score, enabling audit and dispute resolution.</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Should</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FR-D6</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record the applicant's consent to automated assessment at registration and shall support a request path for human review of any automated result, per RA 10173.</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Could</w:t>
            </w:r>
          </w:p>
        </w:tc>
      </w:tr>
    </w:tbl>
    <w:p>
      <w:pPr>
        <w:spacing w:after="120"/>
      </w:pPr>
    </w:p>
    <w:p>
      <w:pPr>
        <w:pStyle w:val="Heading2"/>
        <w:keepNext/>
        <w:spacing w:after="140" w:before="280" w:line="312"/>
      </w:pPr>
      <w:bookmarkStart w:id="100015" w:name="_Toc100015"/>
      <w:r>
        <w:rPr>
          <w:rFonts w:ascii="Arial" w:eastAsia="Arial"/>
          <w:b/>
          <w:bCs/>
          <w:color w:val="1A2330"/>
          <w:sz w:val="28"/>
          <w:szCs w:val="28"/>
        </w:rPr>
        <w:t xml:space="preserve">5.5 Applications and Status Tracking (FR-E)</w:t>
      </w:r>
      <w:bookmarkEnd w:id="100015"/>
    </w:p>
    <w:p>
      <w:pPr>
        <w:spacing w:after="140" w:line="312"/>
        <w:jc w:val="both"/>
      </w:pPr>
      <w:r>
        <w:rPr>
          <w:rFonts w:ascii="Times New Roman" w:eastAsia="Times New Roman"/>
          <w:color w:val="000000"/>
          <w:sz w:val="24"/>
          <w:szCs w:val="24"/>
        </w:rPr>
        <w:t xml:space="preserve">Applications move through a fixed, role-gated status model. Applicants see a milestone timeline; staff and agencies see operational queues. The full state list and transition rules are specified in Section 8.2.</w:t>
      </w:r>
    </w:p>
    <w:p>
      <w:pPr>
        <w:keepNext/>
        <w:spacing w:after="100" w:before="160" w:line="312"/>
      </w:pPr>
      <w:r>
        <w:rPr>
          <w:rFonts w:ascii="Arial" w:eastAsia="Arial"/>
          <w:b/>
          <w:bCs/>
          <w:color w:val="1A2330"/>
          <w:sz w:val="21"/>
          <w:szCs w:val="21"/>
        </w:rPr>
        <w:t xml:space="preserve">Table 7: Functional requirements - applications and tracking</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ID</w:t>
            </w:r>
          </w:p>
        </w:tc>
        <w:tc>
          <w:tcPr>
            <w:tcW w:type="pct" w:w="70%"/>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Requirement</w:t>
            </w:r>
          </w:p>
        </w:tc>
        <w:tc>
          <w:tcPr>
            <w:tcW w:type="pct" w:w="18%"/>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Priority</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FR-E1</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allow an applicant to apply to a public job order with one action from the job detail page and shall prevent duplicate active applications to the same job order.</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FR-E2</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implement the nineteen-state application status model with server-side validation of every transition: only the roles permitted for a state may set it, and only transitions defined in the state table are allowed.</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FR-E3</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show the applicant a visual status timeline with the eight mainline milestones (Applied, Screening, Shortlisted, Interview, Assessment, FIRA Review, Employer Review, Deployment) plus negative-branch states (FIRA Rejected, Employer Declined, Rejected, Withdrawn).</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FR-E4</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allow an applicant to withdraw an application before deployment, subject to a confirmation step, and shall record the withdrawal time.</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Should</w:t>
            </w:r>
          </w:p>
        </w:tc>
      </w:tr>
    </w:tbl>
    <w:p>
      <w:pPr>
        <w:spacing w:after="120"/>
      </w:pPr>
    </w:p>
    <w:p>
      <w:pPr>
        <w:pStyle w:val="Heading2"/>
        <w:keepNext/>
        <w:spacing w:after="140" w:before="280" w:line="312"/>
      </w:pPr>
      <w:bookmarkStart w:id="100016" w:name="_Toc100016"/>
      <w:r>
        <w:rPr>
          <w:rFonts w:ascii="Arial" w:eastAsia="Arial"/>
          <w:b/>
          <w:bCs/>
          <w:color w:val="1A2330"/>
          <w:sz w:val="28"/>
          <w:szCs w:val="28"/>
        </w:rPr>
        <w:t xml:space="preserve">5.6 Two-Step Endorsement Workflow (FR-F)</w:t>
      </w:r>
      <w:bookmarkEnd w:id="100016"/>
    </w:p>
    <w:p>
      <w:pPr>
        <w:spacing w:after="140" w:line="312"/>
        <w:jc w:val="both"/>
      </w:pPr>
      <w:r>
        <w:rPr>
          <w:rFonts w:ascii="Times New Roman" w:eastAsia="Times New Roman"/>
          <w:color w:val="000000"/>
          <w:sz w:val="24"/>
          <w:szCs w:val="24"/>
        </w:rPr>
        <w:t xml:space="preserve">Endorsement is the platform's controlled handoff of a candidate from the agency side to the employer side. Its two gates - FIRA governance first, employer decision second - are the heart of MatchWise's compliance posture and are therefore fully Must-have.</w:t>
      </w:r>
    </w:p>
    <w:p>
      <w:pPr>
        <w:keepNext/>
        <w:spacing w:after="100" w:before="160" w:line="312"/>
      </w:pPr>
      <w:r>
        <w:rPr>
          <w:rFonts w:ascii="Arial" w:eastAsia="Arial"/>
          <w:b/>
          <w:bCs/>
          <w:color w:val="1A2330"/>
          <w:sz w:val="21"/>
          <w:szCs w:val="21"/>
        </w:rPr>
        <w:t xml:space="preserve">Table 8: Functional requirements - endorsement workflow</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ID</w:t>
            </w:r>
          </w:p>
        </w:tc>
        <w:tc>
          <w:tcPr>
            <w:tcW w:type="pct" w:w="70%"/>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Requirement</w:t>
            </w:r>
          </w:p>
        </w:tc>
        <w:tc>
          <w:tcPr>
            <w:tcW w:type="pct" w:w="18%"/>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Priority</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FR-F1</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allow an agency to prepare an endorsement for an applicant and job order, attaching reviewer notes and the current match snapshot.</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FR-F2</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require, as the first step, FIRA staff review of each endorsement with an explicit approve or reject action; approval moves the linked application to Pending Employer Review and rejection moves it to FIRA Rejected.</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FR-F3</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present endorsed candidates to the employer with match scores and documents, and shall record the employer's accept or decline decision, synchronizing the application status accordingly.</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FR-F4</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maintain an immutable, append-only audit trail for every endorsement action capturing actor, role, action, notes, and timestamp.</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FR-F5</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provide role-scoped endorsement queues (agency pending, FIRA pending, employer pending) with filtering by status and date.</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Should</w:t>
            </w:r>
          </w:p>
        </w:tc>
      </w:tr>
    </w:tbl>
    <w:p>
      <w:pPr>
        <w:spacing w:after="120"/>
      </w:pPr>
    </w:p>
    <w:p>
      <w:pPr>
        <w:pStyle w:val="Heading2"/>
        <w:keepNext/>
        <w:spacing w:after="140" w:before="280" w:line="312"/>
      </w:pPr>
      <w:bookmarkStart w:id="100017" w:name="_Toc100017"/>
      <w:r>
        <w:rPr>
          <w:rFonts w:ascii="Arial" w:eastAsia="Arial"/>
          <w:b/>
          <w:bCs/>
          <w:color w:val="1A2330"/>
          <w:sz w:val="28"/>
          <w:szCs w:val="28"/>
        </w:rPr>
        <w:t xml:space="preserve">5.7 Messaging, Notifications and Audit (FR-G)</w:t>
      </w:r>
      <w:bookmarkEnd w:id="100017"/>
    </w:p>
    <w:p>
      <w:pPr>
        <w:spacing w:after="140" w:line="312"/>
        <w:jc w:val="both"/>
      </w:pPr>
      <w:r>
        <w:rPr>
          <w:rFonts w:ascii="Times New Roman" w:eastAsia="Times New Roman"/>
          <w:color w:val="000000"/>
          <w:sz w:val="24"/>
          <w:szCs w:val="24"/>
        </w:rPr>
        <w:t xml:space="preserve">Communication features keep all parties oriented without exposing contact data beyond what the workflow permits. Notifications are the primary channel; direct messaging is scoped to authorized pairs of users.</w:t>
      </w:r>
    </w:p>
    <w:p>
      <w:pPr>
        <w:keepNext/>
        <w:spacing w:after="100" w:before="160" w:line="312"/>
      </w:pPr>
      <w:r>
        <w:rPr>
          <w:rFonts w:ascii="Arial" w:eastAsia="Arial"/>
          <w:b/>
          <w:bCs/>
          <w:color w:val="1A2330"/>
          <w:sz w:val="21"/>
          <w:szCs w:val="21"/>
        </w:rPr>
        <w:t xml:space="preserve">Table 9: Functional requirements - messaging and notifications</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ID</w:t>
            </w:r>
          </w:p>
        </w:tc>
        <w:tc>
          <w:tcPr>
            <w:tcW w:type="pct" w:w="70%"/>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Requirement</w:t>
            </w:r>
          </w:p>
        </w:tc>
        <w:tc>
          <w:tcPr>
            <w:tcW w:type="pct" w:w="18%"/>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Priority</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FR-G1</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deliver in-app notifications to affected users on application status changes, endorsement actions, verification outcomes, and document expiry warnings.</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FR-G2</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provide in-app messaging between authorized parties (applicant-agency, agency-FIRA, employer-FIRA) tied to a specific application or endorsement context.</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Should</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FR-G3</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support optional email notification digests that users can enable or disable.</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Could</w:t>
            </w:r>
          </w:p>
        </w:tc>
      </w:tr>
    </w:tbl>
    <w:p>
      <w:pPr>
        <w:spacing w:after="120"/>
      </w:pPr>
    </w:p>
    <w:p>
      <w:pPr>
        <w:pStyle w:val="Heading2"/>
        <w:keepNext/>
        <w:spacing w:after="140" w:before="280" w:line="312"/>
      </w:pPr>
      <w:bookmarkStart w:id="100018" w:name="_Toc100018"/>
      <w:r>
        <w:rPr>
          <w:rFonts w:ascii="Arial" w:eastAsia="Arial"/>
          <w:b/>
          <w:bCs/>
          <w:color w:val="1A2330"/>
          <w:sz w:val="28"/>
          <w:szCs w:val="28"/>
        </w:rPr>
        <w:t xml:space="preserve">5.8 Governance, Verification and CMS (FR-H)</w:t>
      </w:r>
      <w:bookmarkEnd w:id="100018"/>
    </w:p>
    <w:p>
      <w:pPr>
        <w:spacing w:after="140" w:line="312"/>
        <w:jc w:val="both"/>
      </w:pPr>
      <w:r>
        <w:rPr>
          <w:rFonts w:ascii="Times New Roman" w:eastAsia="Times New Roman"/>
          <w:color w:val="000000"/>
          <w:sz w:val="24"/>
          <w:szCs w:val="24"/>
        </w:rPr>
        <w:t xml:space="preserve">This module equips FIRA staff and administrators to run the platform lawfully and to operate the public site. Verification duties translate RA 8042 and DMW licensing obligations into concrete software gates.</w:t>
      </w:r>
    </w:p>
    <w:p>
      <w:pPr>
        <w:keepNext/>
        <w:spacing w:after="100" w:before="160" w:line="312"/>
      </w:pPr>
      <w:r>
        <w:rPr>
          <w:rFonts w:ascii="Arial" w:eastAsia="Arial"/>
          <w:b/>
          <w:bCs/>
          <w:color w:val="1A2330"/>
          <w:sz w:val="21"/>
          <w:szCs w:val="21"/>
        </w:rPr>
        <w:t xml:space="preserve">Table 10: Functional requirements - governance, verification and CMS</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ID</w:t>
            </w:r>
          </w:p>
        </w:tc>
        <w:tc>
          <w:tcPr>
            <w:tcW w:type="pct" w:w="70%"/>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Requirement</w:t>
            </w:r>
          </w:p>
        </w:tc>
        <w:tc>
          <w:tcPr>
            <w:tcW w:type="pct" w:w="18%"/>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Priority</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FR-H1</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provide FIRA verification queues for agencies (DMW license number, validity) and employers (business registration, accreditation or job order approval documents), and shall restrict unverified entities from the corresponding regulated actions.</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FR-H2</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allow FIRA staff to approve or reject job orders before publication and to pause or remove non-compliant or disputed job orders.</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FR-H3</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provide a content management interface for FAQs, testimonials, social links, and intake forms (contact, newsletter subscription, partner inquiry) on the public site.</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FR-H4</w:t>
            </w:r>
          </w:p>
        </w:tc>
        <w:tc>
          <w:tcPr>
            <w:tcW w:type="pct" w:w="7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provide role-appropriate dashboards with key indicators (counts of applications by state, pending endorsements, verification backlogs, acceptance rates).</w:t>
            </w:r>
          </w:p>
        </w:tc>
        <w:tc>
          <w:tcPr>
            <w:tcW w:type="pct" w:w="18%"/>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Should</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FR-H5</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system shall provide exportable reports (CSV) of applications and endorsements to support agency record-keeping and DMW-related documentation.</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Could</w:t>
            </w:r>
          </w:p>
        </w:tc>
      </w:tr>
    </w:tbl>
    <w:p>
      <w:pPr>
        <w:spacing w:after="120"/>
      </w:pPr>
    </w:p>
    <w:p>
      <w:pPr>
        <w:pStyle w:val="Heading1"/>
        <w:keepNext/>
        <w:spacing w:after="180" w:before="400" w:line="312"/>
      </w:pPr>
      <w:bookmarkStart w:id="100019" w:name="_Toc100019"/>
      <w:r>
        <w:rPr>
          <w:rFonts w:ascii="Arial" w:eastAsia="Arial"/>
          <w:b/>
          <w:bCs/>
          <w:color w:val="1A2330"/>
          <w:sz w:val="32"/>
          <w:szCs w:val="32"/>
        </w:rPr>
        <w:t xml:space="preserve">6. User Stories and Acceptance Criteria</w:t>
      </w:r>
      <w:bookmarkEnd w:id="100019"/>
    </w:p>
    <w:p>
      <w:pPr>
        <w:spacing w:after="140" w:line="312"/>
        <w:jc w:val="both"/>
      </w:pPr>
      <w:r>
        <w:rPr>
          <w:rFonts w:ascii="Times New Roman" w:eastAsia="Times New Roman"/>
          <w:color w:val="000000"/>
          <w:sz w:val="24"/>
          <w:szCs w:val="24"/>
        </w:rPr>
        <w:t xml:space="preserve">The stories below trace the platform's critical path from registration to deployment decision. Each story lists its acceptance criteria in Given/When/Then form; development should treat these criteria as test cases. Story identifiers are referenced in the traceability matrix in Section 11.</w:t>
      </w:r>
    </w:p>
    <w:p>
      <w:pPr>
        <w:pStyle w:val="Heading2"/>
        <w:keepNext/>
        <w:spacing w:after="140" w:before="280" w:line="312"/>
      </w:pPr>
      <w:bookmarkStart w:id="100020" w:name="_Toc100020"/>
      <w:r>
        <w:rPr>
          <w:rFonts w:ascii="Arial" w:eastAsia="Arial"/>
          <w:b/>
          <w:bCs/>
          <w:color w:val="1A2330"/>
          <w:sz w:val="28"/>
          <w:szCs w:val="28"/>
        </w:rPr>
        <w:t xml:space="preserve">US-01 - Applicant registers and completes a profile (FR-A1, FR-B1, FR-B4)</w:t>
      </w:r>
      <w:bookmarkEnd w:id="100020"/>
    </w:p>
    <w:p>
      <w:pPr>
        <w:spacing w:after="140" w:line="312"/>
        <w:jc w:val="both"/>
      </w:pPr>
      <w:r>
        <w:rPr>
          <w:rFonts w:ascii="Times New Roman" w:eastAsia="Times New Roman"/>
          <w:color w:val="000000"/>
          <w:sz w:val="24"/>
          <w:szCs w:val="24"/>
        </w:rPr>
        <w:t xml:space="preserve">As an applicant, I want to create my account and complete a guided profile, so that agencies and employers can find and verify me.</w:t>
      </w:r>
    </w:p>
    <w:p>
      <w:pPr>
        <w:pStyle w:val="ListParagraph"/>
        <w:numPr>
          <w:ilvl w:val="0"/>
          <w:numId w:val="1"/>
        </w:numPr>
        <w:spacing w:after="80" w:line="312"/>
        <w:jc w:val="left"/>
      </w:pPr>
      <w:r>
        <w:rPr>
          <w:rFonts w:ascii="Times New Roman" w:eastAsia="Times New Roman"/>
          <w:color w:val="000000"/>
          <w:sz w:val="24"/>
          <w:szCs w:val="24"/>
        </w:rPr>
        <w:t xml:space="preserve">Given an unregistered visitor, when they register with a valid email and select the Applicant role, then they receive a verification code and cannot sign in until it is confirmed.</w:t>
      </w:r>
    </w:p>
    <w:p>
      <w:pPr>
        <w:pStyle w:val="ListParagraph"/>
        <w:numPr>
          <w:ilvl w:val="0"/>
          <w:numId w:val="1"/>
        </w:numPr>
        <w:spacing w:after="80" w:line="312"/>
        <w:jc w:val="left"/>
      </w:pPr>
      <w:r>
        <w:rPr>
          <w:rFonts w:ascii="Times New Roman" w:eastAsia="Times New Roman"/>
          <w:color w:val="000000"/>
          <w:sz w:val="24"/>
          <w:szCs w:val="24"/>
        </w:rPr>
        <w:t xml:space="preserve">Given a verified applicant, when they complete the profile wizard sections, then the completeness indicator updates after each section is saved.</w:t>
      </w:r>
    </w:p>
    <w:p>
      <w:pPr>
        <w:pStyle w:val="ListParagraph"/>
        <w:numPr>
          <w:ilvl w:val="0"/>
          <w:numId w:val="1"/>
        </w:numPr>
        <w:spacing w:after="80" w:line="312"/>
        <w:jc w:val="left"/>
      </w:pPr>
      <w:r>
        <w:rPr>
          <w:rFonts w:ascii="Times New Roman" w:eastAsia="Times New Roman"/>
          <w:color w:val="000000"/>
          <w:sz w:val="24"/>
          <w:szCs w:val="24"/>
        </w:rPr>
        <w:t xml:space="preserve">Given an applicant with an incomplete profile, when they attempt to apply for a job, then the system allows the application but flags missing sections that affect matching quality.</w:t>
      </w:r>
    </w:p>
    <w:p>
      <w:pPr>
        <w:pStyle w:val="Heading2"/>
        <w:keepNext/>
        <w:spacing w:after="140" w:before="280" w:line="312"/>
      </w:pPr>
      <w:bookmarkStart w:id="100021" w:name="_Toc100021"/>
      <w:r>
        <w:rPr>
          <w:rFonts w:ascii="Arial" w:eastAsia="Arial"/>
          <w:b/>
          <w:bCs/>
          <w:color w:val="1A2330"/>
          <w:sz w:val="28"/>
          <w:szCs w:val="28"/>
        </w:rPr>
        <w:t xml:space="preserve">US-02 - Applicant applies to a recommended job (FR-D1, FR-D2, FR-D3, FR-E1)</w:t>
      </w:r>
      <w:bookmarkEnd w:id="100021"/>
    </w:p>
    <w:p>
      <w:pPr>
        <w:spacing w:after="140" w:line="312"/>
        <w:jc w:val="both"/>
      </w:pPr>
      <w:r>
        <w:rPr>
          <w:rFonts w:ascii="Times New Roman" w:eastAsia="Times New Roman"/>
          <w:color w:val="000000"/>
          <w:sz w:val="24"/>
          <w:szCs w:val="24"/>
        </w:rPr>
        <w:t xml:space="preserve">As an applicant, I want to see why a job is recommended to me, so that I can decide where to apply with confidence.</w:t>
      </w:r>
    </w:p>
    <w:p>
      <w:pPr>
        <w:pStyle w:val="ListParagraph"/>
        <w:numPr>
          <w:ilvl w:val="0"/>
          <w:numId w:val="1"/>
        </w:numPr>
        <w:spacing w:after="80" w:line="312"/>
        <w:jc w:val="left"/>
      </w:pPr>
      <w:r>
        <w:rPr>
          <w:rFonts w:ascii="Times New Roman" w:eastAsia="Times New Roman"/>
          <w:color w:val="000000"/>
          <w:sz w:val="24"/>
          <w:szCs w:val="24"/>
        </w:rPr>
        <w:t xml:space="preserve">Given an applicant with a resume and declared skills, when they open Recommended Jobs, then jobs are listed in descending match score order.</w:t>
      </w:r>
    </w:p>
    <w:p>
      <w:pPr>
        <w:pStyle w:val="ListParagraph"/>
        <w:numPr>
          <w:ilvl w:val="0"/>
          <w:numId w:val="1"/>
        </w:numPr>
        <w:spacing w:after="80" w:line="312"/>
        <w:jc w:val="left"/>
      </w:pPr>
      <w:r>
        <w:rPr>
          <w:rFonts w:ascii="Times New Roman" w:eastAsia="Times New Roman"/>
          <w:color w:val="000000"/>
          <w:sz w:val="24"/>
          <w:szCs w:val="24"/>
        </w:rPr>
        <w:t xml:space="preserve">Given a job detail page, when the applicant views the AI Match panel, then the semantic, skills, and experience components, matched and missing skills, and explanation lines are all visible.</w:t>
      </w:r>
    </w:p>
    <w:p>
      <w:pPr>
        <w:pStyle w:val="ListParagraph"/>
        <w:numPr>
          <w:ilvl w:val="0"/>
          <w:numId w:val="1"/>
        </w:numPr>
        <w:spacing w:after="80" w:line="312"/>
        <w:jc w:val="left"/>
      </w:pPr>
      <w:r>
        <w:rPr>
          <w:rFonts w:ascii="Times New Roman" w:eastAsia="Times New Roman"/>
          <w:color w:val="000000"/>
          <w:sz w:val="24"/>
          <w:szCs w:val="24"/>
        </w:rPr>
        <w:t xml:space="preserve">Given a public job order, when the applicant taps Apply, then a new application is created in the Applied state, or the system blocks the action with a duplicate notice if an active application already exists.</w:t>
      </w:r>
    </w:p>
    <w:p>
      <w:pPr>
        <w:pStyle w:val="Heading2"/>
        <w:keepNext/>
        <w:spacing w:after="140" w:before="280" w:line="312"/>
      </w:pPr>
      <w:bookmarkStart w:id="100022" w:name="_Toc100022"/>
      <w:r>
        <w:rPr>
          <w:rFonts w:ascii="Arial" w:eastAsia="Arial"/>
          <w:b/>
          <w:bCs/>
          <w:color w:val="1A2330"/>
          <w:sz w:val="28"/>
          <w:szCs w:val="28"/>
        </w:rPr>
        <w:t xml:space="preserve">US-03 - Agency endorses a screened candidate (FR-F1, FR-F5)</w:t>
      </w:r>
      <w:bookmarkEnd w:id="100022"/>
    </w:p>
    <w:p>
      <w:pPr>
        <w:spacing w:after="140" w:line="312"/>
        <w:jc w:val="both"/>
      </w:pPr>
      <w:r>
        <w:rPr>
          <w:rFonts w:ascii="Times New Roman" w:eastAsia="Times New Roman"/>
          <w:color w:val="000000"/>
          <w:sz w:val="24"/>
          <w:szCs w:val="24"/>
        </w:rPr>
        <w:t xml:space="preserve">As an agency placement officer, I want to endorse a screened candidate with one review package, so that FIRA can verify and forward it without re-entering data.</w:t>
      </w:r>
    </w:p>
    <w:p>
      <w:pPr>
        <w:pStyle w:val="ListParagraph"/>
        <w:numPr>
          <w:ilvl w:val="0"/>
          <w:numId w:val="1"/>
        </w:numPr>
        <w:spacing w:after="80" w:line="312"/>
        <w:jc w:val="left"/>
      </w:pPr>
      <w:r>
        <w:rPr>
          <w:rFonts w:ascii="Times New Roman" w:eastAsia="Times New Roman"/>
          <w:color w:val="000000"/>
          <w:sz w:val="24"/>
          <w:szCs w:val="24"/>
        </w:rPr>
        <w:t xml:space="preserve">Given an application in Under Review owned by the agency's pipeline, when the officer opens Prepare Endorsement, then the form pre-fills applicant, job order, and the current match snapshot.</w:t>
      </w:r>
    </w:p>
    <w:p>
      <w:pPr>
        <w:pStyle w:val="ListParagraph"/>
        <w:numPr>
          <w:ilvl w:val="0"/>
          <w:numId w:val="1"/>
        </w:numPr>
        <w:spacing w:after="80" w:line="312"/>
        <w:jc w:val="left"/>
      </w:pPr>
      <w:r>
        <w:rPr>
          <w:rFonts w:ascii="Times New Roman" w:eastAsia="Times New Roman"/>
          <w:color w:val="000000"/>
          <w:sz w:val="24"/>
          <w:szCs w:val="24"/>
        </w:rPr>
        <w:t xml:space="preserve">Given a completed endorsement form, when the officer submits it, then the endorsement enters Pending FIRA Review and appears in the FIRA staff queue.</w:t>
      </w:r>
    </w:p>
    <w:p>
      <w:pPr>
        <w:pStyle w:val="ListParagraph"/>
        <w:numPr>
          <w:ilvl w:val="0"/>
          <w:numId w:val="1"/>
        </w:numPr>
        <w:spacing w:after="80" w:line="312"/>
        <w:jc w:val="left"/>
      </w:pPr>
      <w:r>
        <w:rPr>
          <w:rFonts w:ascii="Times New Roman" w:eastAsia="Times New Roman"/>
          <w:color w:val="000000"/>
          <w:sz w:val="24"/>
          <w:szCs w:val="24"/>
        </w:rPr>
        <w:t xml:space="preserve">Given an endorsement already pending at FIRA, when the officer attempts to edit it, then the system blocks edits until FIRA returns a decision.</w:t>
      </w:r>
    </w:p>
    <w:p>
      <w:pPr>
        <w:pStyle w:val="Heading2"/>
        <w:keepNext/>
        <w:spacing w:after="140" w:before="280" w:line="312"/>
      </w:pPr>
      <w:bookmarkStart w:id="100023" w:name="_Toc100023"/>
      <w:r>
        <w:rPr>
          <w:rFonts w:ascii="Arial" w:eastAsia="Arial"/>
          <w:b/>
          <w:bCs/>
          <w:color w:val="1A2330"/>
          <w:sz w:val="28"/>
          <w:szCs w:val="28"/>
        </w:rPr>
        <w:t xml:space="preserve">US-04 - FIRA staff approve an endorsement (FR-F2, FR-F4, FR-H1)</w:t>
      </w:r>
      <w:bookmarkEnd w:id="100023"/>
    </w:p>
    <w:p>
      <w:pPr>
        <w:spacing w:after="140" w:line="312"/>
        <w:jc w:val="both"/>
      </w:pPr>
      <w:r>
        <w:rPr>
          <w:rFonts w:ascii="Times New Roman" w:eastAsia="Times New Roman"/>
          <w:color w:val="000000"/>
          <w:sz w:val="24"/>
          <w:szCs w:val="24"/>
        </w:rPr>
        <w:t xml:space="preserve">As a FIRA compliance officer, I want to verify licenses and approve endorsements at a single gate, so that no candidate reaches an employer unverified.</w:t>
      </w:r>
    </w:p>
    <w:p>
      <w:pPr>
        <w:pStyle w:val="ListParagraph"/>
        <w:numPr>
          <w:ilvl w:val="0"/>
          <w:numId w:val="1"/>
        </w:numPr>
        <w:spacing w:after="80" w:line="312"/>
        <w:jc w:val="left"/>
      </w:pPr>
      <w:r>
        <w:rPr>
          <w:rFonts w:ascii="Times New Roman" w:eastAsia="Times New Roman"/>
          <w:color w:val="000000"/>
          <w:sz w:val="24"/>
          <w:szCs w:val="24"/>
        </w:rPr>
        <w:t xml:space="preserve">Given an endorsement in Pending FIRA Review, when the officer opens it, then the applicant's documents, the agency's license status, and the job order's approval state are all shown in one view.</w:t>
      </w:r>
    </w:p>
    <w:p>
      <w:pPr>
        <w:pStyle w:val="ListParagraph"/>
        <w:numPr>
          <w:ilvl w:val="0"/>
          <w:numId w:val="1"/>
        </w:numPr>
        <w:spacing w:after="80" w:line="312"/>
        <w:jc w:val="left"/>
      </w:pPr>
      <w:r>
        <w:rPr>
          <w:rFonts w:ascii="Times New Roman" w:eastAsia="Times New Roman"/>
          <w:color w:val="000000"/>
          <w:sz w:val="24"/>
          <w:szCs w:val="24"/>
        </w:rPr>
        <w:t xml:space="preserve">Given the officer approves, when the action is saved, then the application moves to Pending Employer Review and an audit record with actor, action, notes, and timestamp is appended.</w:t>
      </w:r>
    </w:p>
    <w:p>
      <w:pPr>
        <w:pStyle w:val="ListParagraph"/>
        <w:numPr>
          <w:ilvl w:val="0"/>
          <w:numId w:val="1"/>
        </w:numPr>
        <w:spacing w:after="80" w:line="312"/>
        <w:jc w:val="left"/>
      </w:pPr>
      <w:r>
        <w:rPr>
          <w:rFonts w:ascii="Times New Roman" w:eastAsia="Times New Roman"/>
          <w:color w:val="000000"/>
          <w:sz w:val="24"/>
          <w:szCs w:val="24"/>
        </w:rPr>
        <w:t xml:space="preserve">Given the officer rejects with a reason, when the action is saved, then the application moves to FIRA Rejected, the applicant is notified, and the reason is recorded in the audit trail.</w:t>
      </w:r>
    </w:p>
    <w:p>
      <w:pPr>
        <w:pStyle w:val="Heading2"/>
        <w:keepNext/>
        <w:spacing w:after="140" w:before="280" w:line="312"/>
      </w:pPr>
      <w:bookmarkStart w:id="100024" w:name="_Toc100024"/>
      <w:r>
        <w:rPr>
          <w:rFonts w:ascii="Arial" w:eastAsia="Arial"/>
          <w:b/>
          <w:bCs/>
          <w:color w:val="1A2330"/>
          <w:sz w:val="28"/>
          <w:szCs w:val="28"/>
        </w:rPr>
        <w:t xml:space="preserve">US-05 - Employer accepts an endorsed candidate (FR-F3, FR-E2)</w:t>
      </w:r>
      <w:bookmarkEnd w:id="100024"/>
    </w:p>
    <w:p>
      <w:pPr>
        <w:spacing w:after="140" w:line="312"/>
        <w:jc w:val="both"/>
      </w:pPr>
      <w:r>
        <w:rPr>
          <w:rFonts w:ascii="Times New Roman" w:eastAsia="Times New Roman"/>
          <w:color w:val="000000"/>
          <w:sz w:val="24"/>
          <w:szCs w:val="24"/>
        </w:rPr>
        <w:t xml:space="preserve">As an employer, I want to review endorsed candidates with match context and respond, so that hiring decisions are fast and traceable.</w:t>
      </w:r>
    </w:p>
    <w:p>
      <w:pPr>
        <w:pStyle w:val="ListParagraph"/>
        <w:numPr>
          <w:ilvl w:val="0"/>
          <w:numId w:val="1"/>
        </w:numPr>
        <w:spacing w:after="80" w:line="312"/>
        <w:jc w:val="left"/>
      </w:pPr>
      <w:r>
        <w:rPr>
          <w:rFonts w:ascii="Times New Roman" w:eastAsia="Times New Roman"/>
          <w:color w:val="000000"/>
          <w:sz w:val="24"/>
          <w:szCs w:val="24"/>
        </w:rPr>
        <w:t xml:space="preserve">Given an application in Pending Employer Review, when the employer opens the endorsement, then the candidate profile, documents, and match score with breakdown are visible.</w:t>
      </w:r>
    </w:p>
    <w:p>
      <w:pPr>
        <w:pStyle w:val="ListParagraph"/>
        <w:numPr>
          <w:ilvl w:val="0"/>
          <w:numId w:val="1"/>
        </w:numPr>
        <w:spacing w:after="80" w:line="312"/>
        <w:jc w:val="left"/>
      </w:pPr>
      <w:r>
        <w:rPr>
          <w:rFonts w:ascii="Times New Roman" w:eastAsia="Times New Roman"/>
          <w:color w:val="000000"/>
          <w:sz w:val="24"/>
          <w:szCs w:val="24"/>
        </w:rPr>
        <w:t xml:space="preserve">Given the employer accepts, when the decision is saved, then the application moves to Employer Accepted and subsequent states (Offered, Hired) become available to authorized roles only.</w:t>
      </w:r>
    </w:p>
    <w:p>
      <w:pPr>
        <w:pStyle w:val="ListParagraph"/>
        <w:numPr>
          <w:ilvl w:val="0"/>
          <w:numId w:val="1"/>
        </w:numPr>
        <w:spacing w:after="80" w:line="312"/>
        <w:jc w:val="left"/>
      </w:pPr>
      <w:r>
        <w:rPr>
          <w:rFonts w:ascii="Times New Roman" w:eastAsia="Times New Roman"/>
          <w:color w:val="000000"/>
          <w:sz w:val="24"/>
          <w:szCs w:val="24"/>
        </w:rPr>
        <w:t xml:space="preserve">Given the employer declines, when the decision is saved, then the application moves to Employer Declined and the agency is notified.</w:t>
      </w:r>
    </w:p>
    <w:p>
      <w:pPr>
        <w:pStyle w:val="Heading2"/>
        <w:keepNext/>
        <w:spacing w:after="140" w:before="280" w:line="312"/>
      </w:pPr>
      <w:bookmarkStart w:id="100025" w:name="_Toc100025"/>
      <w:r>
        <w:rPr>
          <w:rFonts w:ascii="Arial" w:eastAsia="Arial"/>
          <w:b/>
          <w:bCs/>
          <w:color w:val="1A2330"/>
          <w:sz w:val="28"/>
          <w:szCs w:val="28"/>
        </w:rPr>
        <w:t xml:space="preserve">US-06 - Applicant tracks and withdraws (FR-E3, FR-E4, FR-G1)</w:t>
      </w:r>
      <w:bookmarkEnd w:id="100025"/>
    </w:p>
    <w:p>
      <w:pPr>
        <w:spacing w:after="140" w:line="312"/>
        <w:jc w:val="both"/>
      </w:pPr>
      <w:r>
        <w:rPr>
          <w:rFonts w:ascii="Times New Roman" w:eastAsia="Times New Roman"/>
          <w:color w:val="000000"/>
          <w:sz w:val="24"/>
          <w:szCs w:val="24"/>
        </w:rPr>
        <w:t xml:space="preserve">As an applicant, I want to see exactly where my application stands and to withdraw if my plans change, so that I stay in control of my own job search.</w:t>
      </w:r>
    </w:p>
    <w:p>
      <w:pPr>
        <w:pStyle w:val="ListParagraph"/>
        <w:numPr>
          <w:ilvl w:val="0"/>
          <w:numId w:val="1"/>
        </w:numPr>
        <w:spacing w:after="80" w:line="312"/>
        <w:jc w:val="left"/>
      </w:pPr>
      <w:r>
        <w:rPr>
          <w:rFonts w:ascii="Times New Roman" w:eastAsia="Times New Roman"/>
          <w:color w:val="000000"/>
          <w:sz w:val="24"/>
          <w:szCs w:val="24"/>
        </w:rPr>
        <w:t xml:space="preserve">Given any status change on the applicant's application, when the change is committed, then the applicant receives an in-app notification reflecting the new state.</w:t>
      </w:r>
    </w:p>
    <w:p>
      <w:pPr>
        <w:pStyle w:val="ListParagraph"/>
        <w:numPr>
          <w:ilvl w:val="0"/>
          <w:numId w:val="1"/>
        </w:numPr>
        <w:spacing w:after="80" w:line="312"/>
        <w:jc w:val="left"/>
      </w:pPr>
      <w:r>
        <w:rPr>
          <w:rFonts w:ascii="Times New Roman" w:eastAsia="Times New Roman"/>
          <w:color w:val="000000"/>
          <w:sz w:val="24"/>
          <w:szCs w:val="24"/>
        </w:rPr>
        <w:t xml:space="preserve">Given the applicant opens My Applications, when they view an active application, then the milestone timeline highlights the current state and shows negative-branch states when applicable.</w:t>
      </w:r>
    </w:p>
    <w:p>
      <w:pPr>
        <w:pStyle w:val="ListParagraph"/>
        <w:numPr>
          <w:ilvl w:val="0"/>
          <w:numId w:val="1"/>
        </w:numPr>
        <w:spacing w:after="80" w:line="312"/>
        <w:jc w:val="left"/>
      </w:pPr>
      <w:r>
        <w:rPr>
          <w:rFonts w:ascii="Times New Roman" w:eastAsia="Times New Roman"/>
          <w:color w:val="000000"/>
          <w:sz w:val="24"/>
          <w:szCs w:val="24"/>
        </w:rPr>
        <w:t xml:space="preserve">Given an application before deployment, when the applicant confirms withdrawal, then the status becomes Withdrawn, the timeline records the time, and no further transitions are possible.</w:t>
      </w:r>
    </w:p>
    <w:p>
      <w:pPr>
        <w:pStyle w:val="Heading1"/>
        <w:keepNext/>
        <w:spacing w:after="180" w:before="400" w:line="312"/>
      </w:pPr>
      <w:bookmarkStart w:id="100026" w:name="_Toc100026"/>
      <w:r>
        <w:rPr>
          <w:rFonts w:ascii="Arial" w:eastAsia="Arial"/>
          <w:b/>
          <w:bCs/>
          <w:color w:val="1A2330"/>
          <w:sz w:val="32"/>
          <w:szCs w:val="32"/>
        </w:rPr>
        <w:t xml:space="preserve">7. Non-Functional Requirements</w:t>
      </w:r>
      <w:bookmarkEnd w:id="100026"/>
    </w:p>
    <w:p>
      <w:pPr>
        <w:spacing w:after="140" w:line="312"/>
        <w:jc w:val="both"/>
      </w:pPr>
      <w:r>
        <w:rPr>
          <w:rFonts w:ascii="Times New Roman" w:eastAsia="Times New Roman"/>
          <w:color w:val="000000"/>
          <w:sz w:val="24"/>
          <w:szCs w:val="24"/>
        </w:rPr>
        <w:t xml:space="preserve">Non-functional requirements apply to the platform as a whole. They are stated with measurable targets wherever possible so that acceptance testing can verify them. Where a target is marked as initial, it reflects the launch scale described in Section 2.3 and may be raised as adoption grows.</w:t>
      </w:r>
    </w:p>
    <w:p>
      <w:pPr>
        <w:keepNext/>
        <w:spacing w:after="100" w:before="160" w:line="312"/>
      </w:pPr>
      <w:r>
        <w:rPr>
          <w:rFonts w:ascii="Arial" w:eastAsia="Arial"/>
          <w:b/>
          <w:bCs/>
          <w:color w:val="1A2330"/>
          <w:sz w:val="21"/>
          <w:szCs w:val="21"/>
        </w:rPr>
        <w:t xml:space="preserve">Table 11: Non-functional requirements</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ID</w:t>
            </w:r>
          </w:p>
        </w:tc>
        <w:tc>
          <w:tcPr>
            <w:tcW w:type="pct" w:w="17%"/>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Category</w:t>
            </w:r>
          </w:p>
        </w:tc>
        <w:tc>
          <w:tcPr>
            <w:tcW w:type="pct" w:w="57%"/>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Requirement</w:t>
            </w:r>
          </w:p>
        </w:tc>
        <w:tc>
          <w:tcPr>
            <w:tcW w:type="pct" w:w="15%"/>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Priority</w:t>
            </w:r>
          </w:p>
        </w:tc>
      </w:tr>
      <w:tr>
        <w:trPr>
          <w:cantSplit/>
        </w:trPr>
        <w:tc>
          <w:tcPr>
            <w:tcW w:type="pct" w:w="11%"/>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NFR-01</w:t>
            </w:r>
          </w:p>
        </w:tc>
        <w:tc>
          <w:tcPr>
            <w:tcW w:type="pct" w:w="17%"/>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Performance</w:t>
            </w:r>
          </w:p>
        </w:tc>
        <w:tc>
          <w:tcPr>
            <w:tcW w:type="pct" w:w="57%"/>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95th-percentile response time for core read operations (job board, profile, dashboards) shall not exceed 500 ms server-side; job board pages shall render within 2 seconds on a typical mobile connection.</w:t>
            </w:r>
          </w:p>
        </w:tc>
        <w:tc>
          <w:tcPr>
            <w:tcW w:type="pct" w:w="15%"/>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NFR-02</w:t>
            </w:r>
          </w:p>
        </w:tc>
        <w:tc>
          <w:tcPr>
            <w:tcW w:type="pct" w:w="17%"/>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Availability</w:t>
            </w:r>
          </w:p>
        </w:tc>
        <w:tc>
          <w:tcPr>
            <w:tcW w:type="pct" w:w="57%"/>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platform shall achieve at least 99.5% monthly uptime, excluding scheduled maintenance windows announced in advance.</w:t>
            </w:r>
          </w:p>
        </w:tc>
        <w:tc>
          <w:tcPr>
            <w:tcW w:type="pct" w:w="15%"/>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1%"/>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NFR-03</w:t>
            </w:r>
          </w:p>
        </w:tc>
        <w:tc>
          <w:tcPr>
            <w:tcW w:type="pct" w:w="17%"/>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Security</w:t>
            </w:r>
          </w:p>
        </w:tc>
        <w:tc>
          <w:tcPr>
            <w:tcW w:type="pct" w:w="57%"/>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All traffic shall use TLS; personal data shall be encrypted at rest; the platform shall follow OWASP-aligned secure development controls including rate limiting, input validation, and protection of verification codes.</w:t>
            </w:r>
          </w:p>
        </w:tc>
        <w:tc>
          <w:tcPr>
            <w:tcW w:type="pct" w:w="15%"/>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NFR-04</w:t>
            </w:r>
          </w:p>
        </w:tc>
        <w:tc>
          <w:tcPr>
            <w:tcW w:type="pct" w:w="17%"/>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Privacy and compliance</w:t>
            </w:r>
          </w:p>
        </w:tc>
        <w:tc>
          <w:tcPr>
            <w:tcW w:type="pct" w:w="57%"/>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platform shall implement the consent, notice, access, rectification, and erasure workflows required by RA 10173 and Morocco Law 09-08, consistent with the MatchWise Privacy Policy, including logging of automated assessment results.</w:t>
            </w:r>
          </w:p>
        </w:tc>
        <w:tc>
          <w:tcPr>
            <w:tcW w:type="pct" w:w="15%"/>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1%"/>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NFR-05</w:t>
            </w:r>
          </w:p>
        </w:tc>
        <w:tc>
          <w:tcPr>
            <w:tcW w:type="pct" w:w="17%"/>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Authorization</w:t>
            </w:r>
          </w:p>
        </w:tc>
        <w:tc>
          <w:tcPr>
            <w:tcW w:type="pct" w:w="57%"/>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Every API endpoint shall enforce role-based authorization server-side with deny-by-default semantics; client-side hiding of UI is never the sole control.</w:t>
            </w:r>
          </w:p>
        </w:tc>
        <w:tc>
          <w:tcPr>
            <w:tcW w:type="pct" w:w="15%"/>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NFR-06</w:t>
            </w:r>
          </w:p>
        </w:tc>
        <w:tc>
          <w:tcPr>
            <w:tcW w:type="pct" w:w="17%"/>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Auditability</w:t>
            </w:r>
          </w:p>
        </w:tc>
        <w:tc>
          <w:tcPr>
            <w:tcW w:type="pct" w:w="57%"/>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Endorsement actions, verification decisions, job order approvals, and application status changes shall be recorded in an append-only audit trail with actor, action, and timestamp.</w:t>
            </w:r>
          </w:p>
        </w:tc>
        <w:tc>
          <w:tcPr>
            <w:tcW w:type="pct" w:w="15%"/>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1%"/>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NFR-07</w:t>
            </w:r>
          </w:p>
        </w:tc>
        <w:tc>
          <w:tcPr>
            <w:tcW w:type="pct" w:w="17%"/>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Usability and language</w:t>
            </w:r>
          </w:p>
        </w:tc>
        <w:tc>
          <w:tcPr>
            <w:tcW w:type="pct" w:w="57%"/>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Applicant-facing interfaces shall be mobile-first and bilingual (English and Filipino); partner-facing interfaces shall be English.</w:t>
            </w:r>
          </w:p>
        </w:tc>
        <w:tc>
          <w:tcPr>
            <w:tcW w:type="pct" w:w="15%"/>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NFR-08</w:t>
            </w:r>
          </w:p>
        </w:tc>
        <w:tc>
          <w:tcPr>
            <w:tcW w:type="pct" w:w="17%"/>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Accessibility</w:t>
            </w:r>
          </w:p>
        </w:tc>
        <w:tc>
          <w:tcPr>
            <w:tcW w:type="pct" w:w="57%"/>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platform shall target WCAG 2.1 level AA for the applicant-facing and public pages.</w:t>
            </w:r>
          </w:p>
        </w:tc>
        <w:tc>
          <w:tcPr>
            <w:tcW w:type="pct" w:w="15%"/>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Should</w:t>
            </w:r>
          </w:p>
        </w:tc>
      </w:tr>
      <w:tr>
        <w:trPr>
          <w:cantSplit/>
        </w:trPr>
        <w:tc>
          <w:tcPr>
            <w:tcW w:type="pct" w:w="11%"/>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NFR-09</w:t>
            </w:r>
          </w:p>
        </w:tc>
        <w:tc>
          <w:tcPr>
            <w:tcW w:type="pct" w:w="17%"/>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Scalability</w:t>
            </w:r>
          </w:p>
        </w:tc>
        <w:tc>
          <w:tcPr>
            <w:tcW w:type="pct" w:w="57%"/>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architecture shall scale horizontally to support at least 10,000 registered applicants and 50,000 stored applications without redesign.</w:t>
            </w:r>
          </w:p>
        </w:tc>
        <w:tc>
          <w:tcPr>
            <w:tcW w:type="pct" w:w="15%"/>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Should</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NFR-10</w:t>
            </w:r>
          </w:p>
        </w:tc>
        <w:tc>
          <w:tcPr>
            <w:tcW w:type="pct" w:w="17%"/>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Data retention</w:t>
            </w:r>
          </w:p>
        </w:tc>
        <w:tc>
          <w:tcPr>
            <w:tcW w:type="pct" w:w="57%"/>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Personal data shall be retained and deleted according to the retention schedule in the Privacy Policy, with deletion requests honored within the statutory period.</w:t>
            </w:r>
          </w:p>
        </w:tc>
        <w:tc>
          <w:tcPr>
            <w:tcW w:type="pct" w:w="15%"/>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Must</w:t>
            </w:r>
          </w:p>
        </w:tc>
      </w:tr>
    </w:tbl>
    <w:p>
      <w:pPr>
        <w:spacing w:after="120"/>
      </w:pPr>
    </w:p>
    <w:p>
      <w:pPr>
        <w:pStyle w:val="Heading1"/>
        <w:keepNext/>
        <w:spacing w:after="180" w:before="400" w:line="312"/>
      </w:pPr>
      <w:bookmarkStart w:id="100027" w:name="_Toc100027"/>
      <w:r>
        <w:rPr>
          <w:rFonts w:ascii="Arial" w:eastAsia="Arial"/>
          <w:b/>
          <w:bCs/>
          <w:color w:val="1A2330"/>
          <w:sz w:val="32"/>
          <w:szCs w:val="32"/>
        </w:rPr>
        <w:t xml:space="preserve">8. Data Requirements</w:t>
      </w:r>
      <w:bookmarkEnd w:id="100027"/>
    </w:p>
    <w:p>
      <w:pPr>
        <w:pStyle w:val="Heading2"/>
        <w:keepNext/>
        <w:spacing w:after="140" w:before="280" w:line="312"/>
      </w:pPr>
      <w:bookmarkStart w:id="100028" w:name="_Toc100028"/>
      <w:r>
        <w:rPr>
          <w:rFonts w:ascii="Arial" w:eastAsia="Arial"/>
          <w:b/>
          <w:bCs/>
          <w:color w:val="1A2330"/>
          <w:sz w:val="28"/>
          <w:szCs w:val="28"/>
        </w:rPr>
        <w:t xml:space="preserve">8.1 Core Data Entities</w:t>
      </w:r>
      <w:bookmarkEnd w:id="100028"/>
    </w:p>
    <w:p>
      <w:pPr>
        <w:spacing w:after="140" w:line="312"/>
        <w:jc w:val="both"/>
      </w:pPr>
      <w:r>
        <w:rPr>
          <w:rFonts w:ascii="Times New Roman" w:eastAsia="Times New Roman"/>
          <w:color w:val="000000"/>
          <w:sz w:val="24"/>
          <w:szCs w:val="24"/>
        </w:rPr>
        <w:t xml:space="preserve">The complete data model is maintained in the MatchWise Data Dictionary, which defines 35 tables and 358 fields and remains the authoritative reference for column names, types, and relationships. The entities most relevant to this specification are summarized below; requirement implementations must not deviate from the dictionary without updating it in the same change.</w:t>
      </w:r>
    </w:p>
    <w:p>
      <w:pPr>
        <w:keepNext/>
        <w:spacing w:after="100" w:before="160" w:line="312"/>
      </w:pPr>
      <w:r>
        <w:rPr>
          <w:rFonts w:ascii="Arial" w:eastAsia="Arial"/>
          <w:b/>
          <w:bCs/>
          <w:color w:val="1A2330"/>
          <w:sz w:val="21"/>
          <w:szCs w:val="21"/>
        </w:rPr>
        <w:t xml:space="preserve">Table 12: Core entities and their role in the requirements</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tblGrid>
      <w:tr>
        <w:trPr>
          <w:cantSplit/>
          <w:tblHeader/>
        </w:trPr>
        <w:tc>
          <w:tcPr>
            <w:tcW w:type="pct" w:w="24%"/>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Entity</w:t>
            </w:r>
          </w:p>
        </w:tc>
        <w:tc>
          <w:tcPr>
            <w:tcW w:type="pct" w:w="46%"/>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Purpose</w:t>
            </w:r>
          </w:p>
        </w:tc>
        <w:tc>
          <w:tcPr>
            <w:tcW w:type="pct" w:w="30%"/>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Primary requirements</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User</w:t>
            </w:r>
          </w:p>
        </w:tc>
        <w:tc>
          <w:tcPr>
            <w:tcW w:type="pct" w:w="4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Identity, authentication, and role for all five roles</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FR-A1 to FR-A5</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ApplicantProfile</w:t>
            </w:r>
          </w:p>
        </w:tc>
        <w:tc>
          <w:tcPr>
            <w:tcW w:type="pct" w:w="4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Structured applicant data across the wizard sections</w:t>
            </w:r>
          </w:p>
        </w:tc>
        <w:tc>
          <w:tcPr>
            <w:tcW w:type="pct" w:w="3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FR-B1, FR-B4, FR-D1</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ApplicantDocument</w:t>
            </w:r>
          </w:p>
        </w:tc>
        <w:tc>
          <w:tcPr>
            <w:tcW w:type="pct" w:w="4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Document vault with type, number, and expiry metadata</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FR-B3, FR-H1</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EmployerProfile / AgencyMember</w:t>
            </w:r>
          </w:p>
        </w:tc>
        <w:tc>
          <w:tcPr>
            <w:tcW w:type="pct" w:w="4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Employer and agency-side organization data and membership</w:t>
            </w:r>
          </w:p>
        </w:tc>
        <w:tc>
          <w:tcPr>
            <w:tcW w:type="pct" w:w="3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FR-A5, FR-H1</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JobOrder</w:t>
            </w:r>
          </w:p>
        </w:tc>
        <w:tc>
          <w:tcPr>
            <w:tcW w:type="pct" w:w="4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Demand-side posting with approval and visibility state</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FR-C1 to FR-C4</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Application</w:t>
            </w:r>
          </w:p>
        </w:tc>
        <w:tc>
          <w:tcPr>
            <w:tcW w:type="pct" w:w="4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Candidate-job relationship and its current workflow state</w:t>
            </w:r>
          </w:p>
        </w:tc>
        <w:tc>
          <w:tcPr>
            <w:tcW w:type="pct" w:w="3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FR-E1 to FR-E4</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Endorsement</w:t>
            </w:r>
          </w:p>
        </w:tc>
        <w:tc>
          <w:tcPr>
            <w:tcW w:type="pct" w:w="4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Two-step referral record with decisions and notes</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FR-F1 to FR-F5</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AIAnalysisResult</w:t>
            </w:r>
          </w:p>
        </w:tc>
        <w:tc>
          <w:tcPr>
            <w:tcW w:type="pct" w:w="4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Stored match score, component breakdown, and explanations</w:t>
            </w:r>
          </w:p>
        </w:tc>
        <w:tc>
          <w:tcPr>
            <w:tcW w:type="pct" w:w="3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FR-D1 to FR-D5</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Notification / Message</w:t>
            </w:r>
          </w:p>
        </w:tc>
        <w:tc>
          <w:tcPr>
            <w:tcW w:type="pct" w:w="4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In-app communication records</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FR-G1, FR-G2</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ContactSubmission / NewsletterSubscription / PartnerInquiry</w:t>
            </w:r>
          </w:p>
        </w:tc>
        <w:tc>
          <w:tcPr>
            <w:tcW w:type="pct" w:w="4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Public-site intake records</w:t>
            </w:r>
          </w:p>
        </w:tc>
        <w:tc>
          <w:tcPr>
            <w:tcW w:type="pct" w:w="3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FR-H3</w:t>
            </w:r>
          </w:p>
        </w:tc>
      </w:tr>
    </w:tbl>
    <w:p>
      <w:pPr>
        <w:spacing w:after="120"/>
      </w:pPr>
    </w:p>
    <w:p>
      <w:pPr>
        <w:pStyle w:val="Heading2"/>
        <w:keepNext/>
        <w:spacing w:after="140" w:before="280" w:line="312"/>
      </w:pPr>
      <w:bookmarkStart w:id="100029" w:name="_Toc100029"/>
      <w:r>
        <w:rPr>
          <w:rFonts w:ascii="Arial" w:eastAsia="Arial"/>
          <w:b/>
          <w:bCs/>
          <w:color w:val="1A2330"/>
          <w:sz w:val="28"/>
          <w:szCs w:val="28"/>
        </w:rPr>
        <w:t xml:space="preserve">8.2 Application Status Model</w:t>
      </w:r>
      <w:bookmarkEnd w:id="100029"/>
    </w:p>
    <w:p>
      <w:pPr>
        <w:spacing w:after="140" w:line="312"/>
        <w:jc w:val="both"/>
      </w:pPr>
      <w:r>
        <w:rPr>
          <w:rFonts w:ascii="Times New Roman" w:eastAsia="Times New Roman"/>
          <w:color w:val="000000"/>
          <w:sz w:val="24"/>
          <w:szCs w:val="24"/>
        </w:rPr>
        <w:t xml:space="preserve">Applications progress through nineteen defined states. The mainline runs from Applied through Screening, Shortlisted, Interview, Assessment, and Under Review into the two-step gate (Pending FIRA Review, FIRA Approved, Pending Employer Review, Employer Accepted) and onward through Offered, Hired, and Processing to Deployed and Completed. Negative-branch states are FIRA Rejected, Employer Declined, and Rejected; Withdrawn records applicant-initiated closure and is terminal. Each state defines which roles may set it and which states may follow it; the server validates both rules on every transition. From Rejected, an agency or staff member may return an application to Applied for a new cycle, and Withdrawn applications cannot be reopened.</w:t>
      </w:r>
    </w:p>
    <w:p>
      <w:pPr>
        <w:pStyle w:val="Heading2"/>
        <w:keepNext/>
        <w:spacing w:after="140" w:before="280" w:line="312"/>
      </w:pPr>
      <w:bookmarkStart w:id="100030" w:name="_Toc100030"/>
      <w:r>
        <w:rPr>
          <w:rFonts w:ascii="Arial" w:eastAsia="Arial"/>
          <w:b/>
          <w:bCs/>
          <w:color w:val="1A2330"/>
          <w:sz w:val="28"/>
          <w:szCs w:val="28"/>
        </w:rPr>
        <w:t xml:space="preserve">8.3 Data Classification and Retention</w:t>
      </w:r>
      <w:bookmarkEnd w:id="100030"/>
    </w:p>
    <w:p>
      <w:pPr>
        <w:spacing w:after="140" w:line="312"/>
        <w:jc w:val="both"/>
      </w:pPr>
      <w:r>
        <w:rPr>
          <w:rFonts w:ascii="Times New Roman" w:eastAsia="Times New Roman"/>
          <w:color w:val="000000"/>
          <w:sz w:val="24"/>
          <w:szCs w:val="24"/>
        </w:rPr>
        <w:t xml:space="preserve">Data is classified into four levels: public (published job orders, CMS content), internal (operational metrics, queues), personal (profile fields, documents, match results), and sensitive personal information (identity numbers, medical documents). Personal and sensitive data are accessible only to roles with a workflow need, are included in the applicant's export and erasure workflows, and are processed under the consent captured at registration. Cross-border transfer of applicant data to employers in Morocco occurs only through endorsements or as described in the Privacy Policy. Document vault entries follow the retention schedule in the Privacy Policy; audit records are retained longer as operational logs and are not subject to applicant erasure.</w:t>
      </w:r>
    </w:p>
    <w:p>
      <w:pPr>
        <w:pStyle w:val="Heading1"/>
        <w:keepNext/>
        <w:spacing w:after="180" w:before="400" w:line="312"/>
      </w:pPr>
      <w:bookmarkStart w:id="100031" w:name="_Toc100031"/>
      <w:r>
        <w:rPr>
          <w:rFonts w:ascii="Arial" w:eastAsia="Arial"/>
          <w:b/>
          <w:bCs/>
          <w:color w:val="1A2330"/>
          <w:sz w:val="32"/>
          <w:szCs w:val="32"/>
        </w:rPr>
        <w:t xml:space="preserve">9. Release Plan and Roadmap</w:t>
      </w:r>
      <w:bookmarkEnd w:id="100031"/>
    </w:p>
    <w:p>
      <w:pPr>
        <w:spacing w:after="140" w:line="312"/>
        <w:jc w:val="both"/>
      </w:pPr>
      <w:r>
        <w:rPr>
          <w:rFonts w:ascii="Times New Roman" w:eastAsia="Times New Roman"/>
          <w:color w:val="000000"/>
          <w:sz w:val="24"/>
          <w:szCs w:val="24"/>
        </w:rPr>
        <w:t xml:space="preserve">Delivery is organized into three phases. The MVP concentrates on the compliance-critical core: verified identities, approved demand, explainable matching, and the governed two-step endorsement. Phase 2 deepens operational efficiency; Phase 3 extends reach and sophistication. Priorities within each phase roll up from the MoSCoW markings in Sections 5 and 7 - all Must items land in the MVP unless explicitly noted otherwise.</w:t>
      </w:r>
    </w:p>
    <w:p>
      <w:pPr>
        <w:keepNext/>
        <w:spacing w:after="100" w:before="160" w:line="312"/>
      </w:pPr>
      <w:r>
        <w:rPr>
          <w:rFonts w:ascii="Arial" w:eastAsia="Arial"/>
          <w:b/>
          <w:bCs/>
          <w:color w:val="1A2330"/>
          <w:sz w:val="21"/>
          <w:szCs w:val="21"/>
        </w:rPr>
        <w:t xml:space="preserve">Table 13: Release phases and their goals</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tblGrid>
      <w:tr>
        <w:trPr>
          <w:cantSplit/>
          <w:tblHeader/>
        </w:trPr>
        <w:tc>
          <w:tcPr>
            <w:tcW w:type="pct" w:w="16%"/>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Phase</w:t>
            </w:r>
          </w:p>
        </w:tc>
        <w:tc>
          <w:tcPr>
            <w:tcW w:type="pct" w:w="30%"/>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Goal</w:t>
            </w:r>
          </w:p>
        </w:tc>
        <w:tc>
          <w:tcPr>
            <w:tcW w:type="pct" w:w="54%"/>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Contents</w:t>
            </w:r>
          </w:p>
        </w:tc>
      </w:tr>
      <w:tr>
        <w:trPr>
          <w:cantSplit/>
        </w:trPr>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MVP (Phase 1)</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Launch the governed matching pipeline end to end</w:t>
            </w:r>
          </w:p>
        </w:tc>
        <w:tc>
          <w:tcPr>
            <w:tcW w:type="pct" w:w="5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FR-A1-A5, FR-B1-B3, FR-C1-C3, FR-D1-D4, FR-E1-E3, FR-F1-F4, FR-G1, FR-H1-H3; NFR-01 to NFR-07, NFR-10</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Phase 2</w:t>
            </w:r>
          </w:p>
        </w:tc>
        <w:tc>
          <w:tcPr>
            <w:tcW w:type="pct" w:w="30%"/>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Operational efficiency and self-service</w:t>
            </w:r>
          </w:p>
        </w:tc>
        <w:tc>
          <w:tcPr>
            <w:tcW w:type="pct" w:w="5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FR-B4, FR-B5, FR-C4, FR-D5, FR-E4, FR-F5, FR-G2, FR-H4, FR-H5; NFR-08, NFR-09; polish from MVP feedback</w:t>
            </w:r>
          </w:p>
        </w:tc>
      </w:tr>
      <w:tr>
        <w:trPr>
          <w:cantSplit/>
        </w:trPr>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Phase 3</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Scale and extend</w:t>
            </w:r>
          </w:p>
        </w:tc>
        <w:tc>
          <w:tcPr>
            <w:tcW w:type="pct" w:w="5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FR-D6, FR-G3; native mobile apps; subscription payments; advanced matching (learning-to-rank); additional languages (French, Arabic); government and medical-booking integrations</w:t>
            </w:r>
          </w:p>
        </w:tc>
      </w:tr>
    </w:tbl>
    <w:p>
      <w:pPr>
        <w:spacing w:after="120"/>
      </w:pPr>
    </w:p>
    <w:p>
      <w:pPr>
        <w:spacing w:after="140" w:line="312"/>
        <w:jc w:val="both"/>
      </w:pPr>
      <w:r>
        <w:rPr>
          <w:rFonts w:ascii="Times New Roman" w:eastAsia="Times New Roman"/>
          <w:color w:val="000000"/>
          <w:sz w:val="24"/>
          <w:szCs w:val="24"/>
        </w:rPr>
        <w:t xml:space="preserve">Sequencing rationale: the MVP deliberately excludes convenience features (messaging threads, digest emails, exports) that would delay the compliance core. Phase 2 items are those observed to reduce manual coordination effort the most during pilot operation. Phase 3 items depend on scale or on third-party arrangements and carry their own discovery work before commitment.</w:t>
      </w:r>
    </w:p>
    <w:p>
      <w:pPr>
        <w:pStyle w:val="Heading1"/>
        <w:keepNext/>
        <w:spacing w:after="180" w:before="400" w:line="312"/>
      </w:pPr>
      <w:bookmarkStart w:id="100032" w:name="_Toc100032"/>
      <w:r>
        <w:rPr>
          <w:rFonts w:ascii="Arial" w:eastAsia="Arial"/>
          <w:b/>
          <w:bCs/>
          <w:color w:val="1A2330"/>
          <w:sz w:val="32"/>
          <w:szCs w:val="32"/>
        </w:rPr>
        <w:t xml:space="preserve">10. Risks and Mitigations</w:t>
      </w:r>
      <w:bookmarkEnd w:id="100032"/>
    </w:p>
    <w:p>
      <w:pPr>
        <w:spacing w:after="140" w:line="312"/>
        <w:jc w:val="both"/>
      </w:pPr>
      <w:r>
        <w:rPr>
          <w:rFonts w:ascii="Times New Roman" w:eastAsia="Times New Roman"/>
          <w:color w:val="000000"/>
          <w:sz w:val="24"/>
          <w:szCs w:val="24"/>
        </w:rPr>
        <w:t xml:space="preserve">The principal delivery and operating risks are listed below with their mitigations. The register should be reviewed at each phase gate and updated as risks materialize or retire.</w:t>
      </w:r>
    </w:p>
    <w:p>
      <w:pPr>
        <w:keepNext/>
        <w:spacing w:after="100" w:before="160" w:line="312"/>
      </w:pPr>
      <w:r>
        <w:rPr>
          <w:rFonts w:ascii="Arial" w:eastAsia="Arial"/>
          <w:b/>
          <w:bCs/>
          <w:color w:val="1A2330"/>
          <w:sz w:val="21"/>
          <w:szCs w:val="21"/>
        </w:rPr>
        <w:t xml:space="preserve">Table 14: Risk register</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tblGrid>
      <w:tr>
        <w:trPr>
          <w:cantSplit/>
          <w:tblHeader/>
        </w:trPr>
        <w:tc>
          <w:tcPr>
            <w:tcW w:type="pct" w:w="32%"/>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Risk</w:t>
            </w:r>
          </w:p>
        </w:tc>
        <w:tc>
          <w:tcPr>
            <w:tcW w:type="pct" w:w="14%"/>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Impact</w:t>
            </w:r>
          </w:p>
        </w:tc>
        <w:tc>
          <w:tcPr>
            <w:tcW w:type="pct" w:w="54%"/>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Mitigation</w:t>
            </w:r>
          </w:p>
        </w:tc>
      </w:tr>
      <w:tr>
        <w:trPr>
          <w:cantSplit/>
        </w:trPr>
        <w:tc>
          <w:tcPr>
            <w:tcW w:type="pct" w:w="3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Partner agencies lack valid or current DMW licenses</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High</w:t>
            </w:r>
          </w:p>
        </w:tc>
        <w:tc>
          <w:tcPr>
            <w:tcW w:type="pct" w:w="5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Verification gate FR-H1 blocks regulated actions until license validity is confirmed; periodic re-verification checks scheduled</w:t>
            </w:r>
          </w:p>
        </w:tc>
      </w:tr>
      <w:tr>
        <w:trPr>
          <w:cantSplit/>
        </w:trPr>
        <w:tc>
          <w:tcPr>
            <w:tcW w:type="pct" w:w="3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Applicants distrust automated scoring</w:t>
            </w:r>
          </w:p>
        </w:tc>
        <w:tc>
          <w:tcPr>
            <w:tcW w:type="pct" w:w="1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Medium</w:t>
            </w:r>
          </w:p>
        </w:tc>
        <w:tc>
          <w:tcPr>
            <w:tcW w:type="pct" w:w="5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Explainable scores (FR-D2), human-review path (FR-D6), and the disclosure language already published in the Terms and Privacy Policy</w:t>
            </w:r>
          </w:p>
        </w:tc>
      </w:tr>
      <w:tr>
        <w:trPr>
          <w:cantSplit/>
        </w:trPr>
        <w:tc>
          <w:tcPr>
            <w:tcW w:type="pct" w:w="3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Poor resume quality degrades matching</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Medium</w:t>
            </w:r>
          </w:p>
        </w:tc>
        <w:tc>
          <w:tcPr>
            <w:tcW w:type="pct" w:w="5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Profile wizard with completeness prompts (FR-B4), text extraction fallbacks, and match explanations guiding applicants to tailor resumes</w:t>
            </w:r>
          </w:p>
        </w:tc>
      </w:tr>
      <w:tr>
        <w:trPr>
          <w:cantSplit/>
        </w:trPr>
        <w:tc>
          <w:tcPr>
            <w:tcW w:type="pct" w:w="3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Low employer adoption slows endorsements</w:t>
            </w:r>
          </w:p>
        </w:tc>
        <w:tc>
          <w:tcPr>
            <w:tcW w:type="pct" w:w="1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High</w:t>
            </w:r>
          </w:p>
        </w:tc>
        <w:tc>
          <w:tcPr>
            <w:tcW w:type="pct" w:w="5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FIRA-managed onboarding in MVP, curated verified job orders, and dashboard metrics (FR-H4) to monitor and target engagement</w:t>
            </w:r>
          </w:p>
        </w:tc>
      </w:tr>
      <w:tr>
        <w:trPr>
          <w:cantSplit/>
        </w:trPr>
        <w:tc>
          <w:tcPr>
            <w:tcW w:type="pct" w:w="3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Cross-border data transfer compliance gaps</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High</w:t>
            </w:r>
          </w:p>
        </w:tc>
        <w:tc>
          <w:tcPr>
            <w:tcW w:type="pct" w:w="5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NFR-04 privacy workflows, transfer disclosures in the Privacy Policy, and DPO review before launch</w:t>
            </w:r>
          </w:p>
        </w:tc>
      </w:tr>
    </w:tbl>
    <w:p>
      <w:pPr>
        <w:spacing w:after="120"/>
      </w:pPr>
    </w:p>
    <w:p>
      <w:pPr>
        <w:pStyle w:val="Heading1"/>
        <w:keepNext/>
        <w:spacing w:after="180" w:before="400" w:line="312"/>
      </w:pPr>
      <w:bookmarkStart w:id="100033" w:name="_Toc100033"/>
      <w:r>
        <w:rPr>
          <w:rFonts w:ascii="Arial" w:eastAsia="Arial"/>
          <w:b/>
          <w:bCs/>
          <w:color w:val="1A2330"/>
          <w:sz w:val="32"/>
          <w:szCs w:val="32"/>
        </w:rPr>
        <w:t xml:space="preserve">11. Traceability Matrix</w:t>
      </w:r>
      <w:bookmarkEnd w:id="100033"/>
    </w:p>
    <w:p>
      <w:pPr>
        <w:spacing w:after="140" w:line="312"/>
        <w:jc w:val="both"/>
      </w:pPr>
      <w:r>
        <w:rPr>
          <w:rFonts w:ascii="Times New Roman" w:eastAsia="Times New Roman"/>
          <w:color w:val="000000"/>
          <w:sz w:val="24"/>
          <w:szCs w:val="24"/>
        </w:rPr>
        <w:t xml:space="preserve">The matrix links each functional module to the roles it primarily serves, the user stories that exercise it, its key data entities in the Data Dictionary, and the non-functional requirements that constrain its implementation. It is intended for scope sign-off: if a proposed change is not traceable to a row below, it is out of scope for the corresponding phase and must be raised as a change request.</w:t>
      </w:r>
    </w:p>
    <w:p>
      <w:pPr>
        <w:keepNext/>
        <w:spacing w:after="100" w:before="160" w:line="312"/>
      </w:pPr>
      <w:r>
        <w:rPr>
          <w:rFonts w:ascii="Arial" w:eastAsia="Arial"/>
          <w:b/>
          <w:bCs/>
          <w:color w:val="1A2330"/>
          <w:sz w:val="21"/>
          <w:szCs w:val="21"/>
        </w:rPr>
        <w:t xml:space="preserve">Table 15: Traceability - functional modules to roles, stories, entities and NFRs</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gridCol w:w="100"/>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Module</w:t>
            </w:r>
          </w:p>
        </w:tc>
        <w:tc>
          <w:tcPr>
            <w:tcW w:type="pct" w:w="22%"/>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Primary roles</w:t>
            </w:r>
          </w:p>
        </w:tc>
        <w:tc>
          <w:tcPr>
            <w:tcW w:type="pct" w:w="12%"/>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Stories</w:t>
            </w:r>
          </w:p>
        </w:tc>
        <w:tc>
          <w:tcPr>
            <w:tcW w:type="pct" w:w="26%"/>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Key data entities</w:t>
            </w:r>
          </w:p>
        </w:tc>
        <w:tc>
          <w:tcPr>
            <w:tcW w:type="pct" w:w="14%"/>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NFR refs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FR-A Accounts and roles</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All roles</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US-01</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User; VerificationCode</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NFR-03, NFR-05</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FR-B Profile and documents</w:t>
            </w:r>
          </w:p>
        </w:tc>
        <w:tc>
          <w:tcPr>
            <w:tcW w:type="pct" w:w="2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Applicant; Agency; FIRA Staff</w:t>
            </w:r>
          </w:p>
        </w:tc>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US-01, US-02</w:t>
            </w:r>
          </w:p>
        </w:tc>
        <w:tc>
          <w:tcPr>
            <w:tcW w:type="pct" w:w="2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ApplicantProfile; ApplicantDocument; ResumeEnhancement</w:t>
            </w:r>
          </w:p>
        </w:tc>
        <w:tc>
          <w:tcPr>
            <w:tcW w:type="pct" w:w="1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NFR-04, NFR-07, NFR-10</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FR-C Job orders</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Employer; FIRA Staff; Applicant</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US-02</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JobOrder</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NFR-01, NFR-05</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FR-D AI matching</w:t>
            </w:r>
          </w:p>
        </w:tc>
        <w:tc>
          <w:tcPr>
            <w:tcW w:type="pct" w:w="2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Applicant; Employer; FIRA Staff</w:t>
            </w:r>
          </w:p>
        </w:tc>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US-02</w:t>
            </w:r>
          </w:p>
        </w:tc>
        <w:tc>
          <w:tcPr>
            <w:tcW w:type="pct" w:w="2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AIAnalysisResult; JobOrder; ApplicantProfile</w:t>
            </w:r>
          </w:p>
        </w:tc>
        <w:tc>
          <w:tcPr>
            <w:tcW w:type="pct" w:w="1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NFR-04, NFR-06</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FR-E Applications and tracking</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Applicant; all staff roles</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US-02, US-06</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Application; StageHistory</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NFR-05, NFR-06</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FR-F Endorsement workflow</w:t>
            </w:r>
          </w:p>
        </w:tc>
        <w:tc>
          <w:tcPr>
            <w:tcW w:type="pct" w:w="2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Agency; FIRA Staff; Employer</w:t>
            </w:r>
          </w:p>
        </w:tc>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US-03, US-04, US-05</w:t>
            </w:r>
          </w:p>
        </w:tc>
        <w:tc>
          <w:tcPr>
            <w:tcW w:type="pct" w:w="2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Endorsement; Application</w:t>
            </w:r>
          </w:p>
        </w:tc>
        <w:tc>
          <w:tcPr>
            <w:tcW w:type="pct" w:w="1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NFR-05, NFR-06</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FR-G Messaging and notifications</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All roles</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US-06</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Notification; Message</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NFR-07</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FR-H Governance and CMS</w:t>
            </w:r>
          </w:p>
        </w:tc>
        <w:tc>
          <w:tcPr>
            <w:tcW w:type="pct" w:w="2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FIRA Staff; Super Admin</w:t>
            </w:r>
          </w:p>
        </w:tc>
        <w:tc>
          <w:tcPr>
            <w:tcW w:type="pct" w:w="12%"/>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US-04</w:t>
            </w:r>
          </w:p>
        </w:tc>
        <w:tc>
          <w:tcPr>
            <w:tcW w:type="pct" w:w="2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Agency; Employer; CMS content tables; intake tables</w:t>
            </w:r>
          </w:p>
        </w:tc>
        <w:tc>
          <w:tcPr>
            <w:tcW w:type="pct" w:w="1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NFR-02, NFR-05, NFR-06</w:t>
            </w:r>
          </w:p>
        </w:tc>
      </w:tr>
    </w:tbl>
    <w:p>
      <w:pPr>
        <w:spacing w:after="120"/>
      </w:pPr>
    </w:p>
    <w:p>
      <w:pPr>
        <w:spacing w:after="140" w:line="312"/>
        <w:jc w:val="both"/>
      </w:pPr>
      <w:r>
        <w:rPr>
          <w:rFonts w:ascii="Times New Roman" w:eastAsia="Times New Roman"/>
          <w:color w:val="000000"/>
          <w:sz w:val="24"/>
          <w:szCs w:val="24"/>
        </w:rPr>
        <w:t xml:space="preserve">Coverage notes: every Must requirement in Section 5 appears in at least one MVP phase row of the release plan (Section 9), and every story in Section 6 references only requirements listed in the matrix. The data entity names follow the MatchWise Data Dictionary; where the dictionary uses a different display name (for example, StageHistory for application status history), the dictionary prevails.</w:t>
      </w:r>
    </w:p>
    <w:p>
      <w:pPr>
        <w:pStyle w:val="Heading1"/>
        <w:keepNext/>
        <w:spacing w:after="180" w:before="400" w:line="312"/>
      </w:pPr>
      <w:bookmarkStart w:id="100034" w:name="_Toc100034"/>
      <w:r>
        <w:rPr>
          <w:rFonts w:ascii="Arial" w:eastAsia="Arial"/>
          <w:b/>
          <w:bCs/>
          <w:color w:val="1A2330"/>
          <w:sz w:val="32"/>
          <w:szCs w:val="32"/>
        </w:rPr>
        <w:t xml:space="preserve">12. Glossary and References</w:t>
      </w:r>
      <w:bookmarkEnd w:id="100034"/>
    </w:p>
    <w:p>
      <w:pPr>
        <w:spacing w:after="140" w:line="312"/>
        <w:jc w:val="both"/>
      </w:pPr>
      <w:r>
        <w:rPr>
          <w:rFonts w:ascii="Times New Roman" w:eastAsia="Times New Roman"/>
          <w:color w:val="000000"/>
          <w:sz w:val="24"/>
          <w:szCs w:val="24"/>
        </w:rPr>
        <w:t xml:space="preserve">The following terms are used with specific meanings in this specification. Where the legal suite defines a term, the legal definition governs in cases of conflict, because the platform's workflow terms mirror the published Terms and Conditions.</w:t>
      </w:r>
    </w:p>
    <w:p>
      <w:pPr>
        <w:keepNext/>
        <w:spacing w:after="100" w:before="160" w:line="312"/>
      </w:pPr>
      <w:r>
        <w:rPr>
          <w:rFonts w:ascii="Arial" w:eastAsia="Arial"/>
          <w:b/>
          <w:bCs/>
          <w:color w:val="1A2330"/>
          <w:sz w:val="21"/>
          <w:szCs w:val="21"/>
        </w:rPr>
        <w:t xml:space="preserve">Table 16: Glossary of terms</w:t>
      </w:r>
    </w:p>
    <w:tbl>
      <w:tblPr>
        <w:tblW w:type="pct" w:w="100%"/>
        <w:tblBorders>
          <w:top w:val="single" w:color="D4875A" w:sz="8"/>
          <w:left w:val="none" w:color="FFFFFF" w:sz="0"/>
          <w:bottom w:val="single" w:color="D4875A" w:sz="8"/>
          <w:right w:val="none" w:color="FFFFFF" w:sz="0"/>
          <w:insideH w:val="single" w:color="DDD0C8" w:sz="2"/>
          <w:insideV w:val="none" w:color="FFFFFF" w:sz="0"/>
        </w:tblBorders>
      </w:tblPr>
      <w:tblGrid>
        <w:gridCol w:w="100"/>
        <w:gridCol w:w="100"/>
      </w:tblGrid>
      <w:tr>
        <w:trPr>
          <w:cantSplit/>
          <w:tblHeader/>
        </w:trPr>
        <w:tc>
          <w:tcPr>
            <w:tcW w:type="pct" w:w="24%"/>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Term</w:t>
            </w:r>
          </w:p>
        </w:tc>
        <w:tc>
          <w:tcPr>
            <w:tcW w:type="pct" w:w="76%"/>
            <w:shd w:fill="D4875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Definition</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Applicant</w:t>
            </w:r>
          </w:p>
        </w:tc>
        <w:tc>
          <w:tcPr>
            <w:tcW w:type="pct" w:w="7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 registered user applying for overseas employment opportunities through the platform</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DMW</w:t>
            </w:r>
          </w:p>
        </w:tc>
        <w:tc>
          <w:tcPr>
            <w:tcW w:type="pct" w:w="7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Department of Migrant Workers of the Republic of the Philippines, successor of the POEA; the licensing authority for Philippine recruitment and placement</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Endorsement</w:t>
            </w:r>
          </w:p>
        </w:tc>
        <w:tc>
          <w:tcPr>
            <w:tcW w:type="pct" w:w="7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two-step facilitated referral of an applicant to an employer: FIRA review and approval first, employer acceptance or declination second</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FIRA</w:t>
            </w:r>
          </w:p>
        </w:tc>
        <w:tc>
          <w:tcPr>
            <w:tcW w:type="pct" w:w="7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FIL International Recruitment Agency, Casablanca - the platform operator</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Job Order</w:t>
            </w:r>
          </w:p>
        </w:tc>
        <w:tc>
          <w:tcPr>
            <w:tcW w:type="pct" w:w="7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 job posting or demand request published on the platform with position, destination, salary, qualifications, and required skills</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Match Score</w:t>
            </w:r>
          </w:p>
        </w:tc>
        <w:tc>
          <w:tcPr>
            <w:tcW w:type="pct" w:w="7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0-100 decision-support estimate computed as 40% semantic similarity, 40% skills overlap, and 20% experience factor</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MoSCoW</w:t>
            </w:r>
          </w:p>
        </w:tc>
        <w:tc>
          <w:tcPr>
            <w:tcW w:type="pct" w:w="7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Prioritization scheme: Must have, Should have, Could have, Won't have (this release)</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Partner Agency</w:t>
            </w:r>
          </w:p>
        </w:tc>
        <w:tc>
          <w:tcPr>
            <w:tcW w:type="pct" w:w="7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 DMW-licensed land-based recruitment agency conducting Philippine recruitment and placement for the platform (e.g., MY K STAR, ERRX)</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RA 8042</w:t>
            </w:r>
          </w:p>
        </w:tc>
        <w:tc>
          <w:tcPr>
            <w:tcW w:type="pct" w:w="7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Republic Act No. 8042 (Migrant Workers and Overseas Filipinos Act), as amended - the Philippine statute governing overseas recruitment, including illegal recruitment prohibitions</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RA 10173</w:t>
            </w:r>
          </w:p>
        </w:tc>
        <w:tc>
          <w:tcPr>
            <w:tcW w:type="pct" w:w="76%"/>
            <w:shd w:fill="F8F0EB"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Republic Act No. 10173 (Data Privacy Act of 2012) - the Philippine data protection statute</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State model</w:t>
            </w:r>
          </w:p>
        </w:tc>
        <w:tc>
          <w:tcPr>
            <w:tcW w:type="pct" w:w="76%"/>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nineteen-state, role-gated lifecycle of an application defined in Section 8.2</w:t>
            </w:r>
          </w:p>
        </w:tc>
      </w:tr>
    </w:tbl>
    <w:p>
      <w:pPr>
        <w:spacing w:after="120"/>
      </w:pPr>
    </w:p>
    <w:p>
      <w:pPr>
        <w:spacing w:after="140" w:line="312"/>
        <w:jc w:val="both"/>
      </w:pPr>
      <w:r>
        <w:rPr>
          <w:rFonts w:ascii="Times New Roman" w:eastAsia="Times New Roman"/>
          <w:color w:val="000000"/>
          <w:sz w:val="24"/>
          <w:szCs w:val="24"/>
        </w:rPr>
        <w:t xml:space="preserve">Companion references: MatchWise Terms and Conditions of Use (Articles 5 to 7 for roles, verification, and anti-illegal recruitment; Article 6 for AI matching disclosure); MatchWise Privacy Policy (Section 6 for automated processing rights); MatchWise EULA and Cookie Notice; MatchWise Data Dictionary (35 tables, 358 fields); and the clickable prototype, which demonstrates the flows specified in Section 6 using simulated match scores.</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rPr>
        <w:rFonts w:ascii="Times New Roman" w:eastAsia="Times New Roman"/>
        <w:color w:val="808080"/>
        <w:sz w:val="18"/>
        <w:szCs w:val="18"/>
      </w:rPr>
      <w:t xml:space="preserve">MatchWise Web Platform - Requirements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rPr>
        <w:rFonts w:ascii="Times New Roman" w:eastAsia="Times New Roman"/>
        <w:color w:val="808080"/>
        <w:sz w:val="18"/>
        <w:szCs w:val="18"/>
      </w:rPr>
      <w:t xml:space="preserve">MatchWise Web Platform -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12"/>
      <w:outlineLvl w:val="0"/>
    </w:pPr>
    <w:rPr>
      <w:rFonts w:ascii="Arial" w:eastAsia="Arial"/>
      <w:b/>
      <w:bCs/>
      <w:color w:val="1A2330"/>
      <w:sz w:val="32"/>
      <w:szCs w:val="32"/>
    </w:rPr>
  </w:style>
  <w:style w:type="paragraph" w:styleId="Heading2">
    <w:name w:val="Heading 2"/>
    <w:basedOn w:val="Normal"/>
    <w:next w:val="Normal"/>
    <w:qFormat/>
    <w:pPr>
      <w:spacing w:after="140" w:before="280" w:line="312"/>
      <w:outlineLvl w:val="1"/>
    </w:pPr>
    <w:rPr>
      <w:rFonts w:ascii="Arial" w:eastAsia="Arial"/>
      <w:b/>
      <w:bCs/>
      <w:color w:val="1A2330"/>
      <w:sz w:val="28"/>
      <w:szCs w:val="28"/>
    </w:rPr>
  </w:style>
  <w:style w:type="paragraph" w:styleId="Heading3">
    <w:name w:val="Heading 3"/>
    <w:basedOn w:val="Normal"/>
    <w:next w:val="Normal"/>
    <w:qFormat/>
    <w:pPr>
      <w:spacing w:after="100" w:before="220" w:line="312"/>
      <w:outlineLvl w:val="2"/>
    </w:pPr>
    <w:rPr>
      <w:rFonts w:ascii="Arial" w:eastAsia="Arial"/>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MatchWise Requirements Specification</dc:title>
  <dc:subject>MatchWise Web Platform Requirements Specification - FIL International Recruitment Agency (FIRA)</dc:subject>
  <dc:creator>Z.ai</dc:creator>
  <cp:lastModifiedBy>Un-named</cp:lastModifiedBy>
  <cp:revision>1</cp:revision>
  <dcterms:created xsi:type="dcterms:W3CDTF">2026-10-15T18:55:32.050Z</dcterms:created>
  <dcterms:modified xsi:type="dcterms:W3CDTF">2026-10-15T18:55:32.050Z</dcterms:modified>
</cp:coreProperties>
</file>

<file path=docProps/custom.xml><?xml version="1.0" encoding="utf-8"?>
<Properties xmlns="http://schemas.openxmlformats.org/officeDocument/2006/custom-properties" xmlns:vt="http://schemas.openxmlformats.org/officeDocument/2006/docPropsVTypes"/>
</file>