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AC3A8" w14:textId="085A7C83" w:rsidR="000407A9" w:rsidRDefault="00A305F1" w:rsidP="00E1613B">
      <w:pPr>
        <w:rPr>
          <w:sz w:val="24"/>
          <w:szCs w:val="24"/>
        </w:rPr>
      </w:pPr>
      <w:commentRangeStart w:id="0"/>
      <w:commentRangeEnd w:id="0"/>
      <w:r>
        <w:rPr>
          <w:rStyle w:val="CommentReference"/>
        </w:rPr>
        <w:commentReference w:id="0"/>
      </w:r>
    </w:p>
    <w:p w14:paraId="30D3DCA9" w14:textId="77777777" w:rsidR="00E1613B" w:rsidRPr="002A535D" w:rsidRDefault="00E1613B" w:rsidP="00E1613B">
      <w:pPr>
        <w:rPr>
          <w:sz w:val="24"/>
          <w:szCs w:val="24"/>
        </w:rPr>
      </w:pPr>
    </w:p>
    <w:p w14:paraId="48B0F9F8" w14:textId="3E87D35F"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00B25F24">
        <w:rPr>
          <w:b/>
          <w:sz w:val="24"/>
          <w:szCs w:val="24"/>
        </w:rPr>
        <w:t>screening</w:t>
      </w:r>
      <w:r w:rsidRPr="00255AC6">
        <w:rPr>
          <w:b/>
          <w:sz w:val="24"/>
          <w:szCs w:val="24"/>
        </w:rPr>
        <w:t xml:space="preserve"> battery </w:t>
      </w:r>
    </w:p>
    <w:p w14:paraId="0667225F" w14:textId="44C132AC"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 Jessica A. Grahn</w:t>
      </w:r>
      <w:r w:rsidR="003B46EC" w:rsidRPr="003B46EC">
        <w:rPr>
          <w:sz w:val="24"/>
          <w:szCs w:val="24"/>
          <w:vertAlign w:val="superscript"/>
        </w:rPr>
        <w:t>1</w:t>
      </w:r>
      <w:r w:rsidRPr="002A535D">
        <w:rPr>
          <w:sz w:val="24"/>
          <w:szCs w:val="24"/>
        </w:rPr>
        <w:t>, Adrian M. Owen</w:t>
      </w:r>
      <w:r w:rsidR="003B46EC" w:rsidRPr="003B46EC">
        <w:rPr>
          <w:sz w:val="24"/>
          <w:szCs w:val="24"/>
          <w:vertAlign w:val="superscript"/>
        </w:rPr>
        <w:t>1</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0E40BBAF" w:rsidR="002A535D" w:rsidRPr="002A535D" w:rsidRDefault="000407A9" w:rsidP="002A535D">
      <w:pPr>
        <w:jc w:val="right"/>
        <w:rPr>
          <w:sz w:val="24"/>
          <w:szCs w:val="24"/>
        </w:rPr>
      </w:pPr>
      <w:r w:rsidRPr="002A535D">
        <w:rPr>
          <w:sz w:val="24"/>
          <w:szCs w:val="24"/>
        </w:rPr>
        <w:t>* avital.sternin@uwo.ca</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46214157" w14:textId="77777777" w:rsidR="000236CE" w:rsidRDefault="000236CE" w:rsidP="009B47AB">
      <w:pPr>
        <w:jc w:val="right"/>
        <w:rPr>
          <w:sz w:val="24"/>
          <w:szCs w:val="24"/>
        </w:rPr>
      </w:pPr>
      <w:r w:rsidRPr="000236CE">
        <w:rPr>
          <w:sz w:val="24"/>
          <w:szCs w:val="24"/>
        </w:rPr>
        <w:t>Short Running Title: Cognitive assessment in older adults using online testing</w:t>
      </w:r>
    </w:p>
    <w:p w14:paraId="32234EA5" w14:textId="77777777" w:rsidR="000236CE" w:rsidRDefault="000236CE" w:rsidP="009B47AB">
      <w:pPr>
        <w:jc w:val="right"/>
        <w:rPr>
          <w:sz w:val="24"/>
          <w:szCs w:val="24"/>
        </w:rPr>
      </w:pPr>
    </w:p>
    <w:p w14:paraId="57BC929D" w14:textId="134CC563" w:rsidR="00C423FC" w:rsidRPr="000236CE" w:rsidRDefault="000236CE" w:rsidP="009B47AB">
      <w:pPr>
        <w:jc w:val="right"/>
        <w:rPr>
          <w:rFonts w:cs="ArialMT"/>
          <w:sz w:val="24"/>
          <w:szCs w:val="24"/>
        </w:rPr>
      </w:pPr>
      <w:r>
        <w:rPr>
          <w:sz w:val="24"/>
          <w:szCs w:val="24"/>
        </w:rPr>
        <w:t xml:space="preserve">Word Count: </w:t>
      </w:r>
      <w:r w:rsidR="00C423FC" w:rsidRPr="000236CE">
        <w:rPr>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1F0D0291" w14:textId="47C0C31D" w:rsidR="00CD22C4" w:rsidRDefault="005B460F" w:rsidP="00CD22C4">
      <w:pPr>
        <w:ind w:firstLine="567"/>
        <w:rPr>
          <w:sz w:val="24"/>
          <w:szCs w:val="24"/>
        </w:rPr>
      </w:pPr>
      <w:r>
        <w:rPr>
          <w:sz w:val="24"/>
          <w:szCs w:val="24"/>
        </w:rPr>
        <w:t xml:space="preserve">As the population ages, and millions more become at risk of developing undiagnosed dementia, an easy-to-use screening tool will become crucial for the health and safety of the growing population of older adults. </w:t>
      </w:r>
      <w:r w:rsidR="00CD22C4">
        <w:rPr>
          <w:sz w:val="24"/>
          <w:szCs w:val="24"/>
        </w:rPr>
        <w:t xml:space="preserve">We sought to </w:t>
      </w:r>
      <w:r>
        <w:rPr>
          <w:sz w:val="24"/>
          <w:szCs w:val="24"/>
        </w:rPr>
        <w:t xml:space="preserve">test the feasibility of using </w:t>
      </w:r>
      <w:r w:rsidR="00CD22C4">
        <w:rPr>
          <w:sz w:val="24"/>
          <w:szCs w:val="24"/>
        </w:rPr>
        <w:t>a</w:t>
      </w:r>
      <w:r>
        <w:rPr>
          <w:sz w:val="24"/>
          <w:szCs w:val="24"/>
        </w:rPr>
        <w:t xml:space="preserve">n </w:t>
      </w:r>
      <w:r w:rsidR="00CD22C4">
        <w:rPr>
          <w:sz w:val="24"/>
          <w:szCs w:val="24"/>
        </w:rPr>
        <w:t xml:space="preserve">online cognitive </w:t>
      </w:r>
      <w:r>
        <w:rPr>
          <w:sz w:val="24"/>
          <w:szCs w:val="24"/>
        </w:rPr>
        <w:t>battery to screen for dementia by categorizing</w:t>
      </w:r>
      <w:r w:rsidR="00CD22C4" w:rsidRPr="002A535D">
        <w:rPr>
          <w:sz w:val="24"/>
          <w:szCs w:val="24"/>
        </w:rPr>
        <w:t xml:space="preserve"> individuals with ambiguous </w:t>
      </w:r>
      <w:r w:rsidR="00CD22C4">
        <w:rPr>
          <w:sz w:val="24"/>
          <w:szCs w:val="24"/>
        </w:rPr>
        <w:t>cognitive scores</w:t>
      </w:r>
      <w:r w:rsidR="00A52DA9">
        <w:rPr>
          <w:sz w:val="24"/>
          <w:szCs w:val="24"/>
        </w:rPr>
        <w:t xml:space="preserve"> derived using traditional ‘paper and pencil’ tests</w:t>
      </w:r>
      <w:r w:rsidR="00CD22C4">
        <w:rPr>
          <w:sz w:val="24"/>
          <w:szCs w:val="24"/>
        </w:rPr>
        <w:t>; s</w:t>
      </w:r>
      <w:r w:rsidR="00CD22C4" w:rsidRPr="002A535D">
        <w:rPr>
          <w:sz w:val="24"/>
          <w:szCs w:val="24"/>
        </w:rPr>
        <w:t xml:space="preserve">pecifically, </w:t>
      </w:r>
      <w:r w:rsidR="00CD22C4">
        <w:rPr>
          <w:sz w:val="24"/>
          <w:szCs w:val="24"/>
        </w:rPr>
        <w:t>we asked which combination of online tests, best categorizes</w:t>
      </w:r>
      <w:r w:rsidR="00CD22C4" w:rsidRPr="002A535D">
        <w:rPr>
          <w:sz w:val="24"/>
          <w:szCs w:val="24"/>
        </w:rPr>
        <w:t xml:space="preserve"> individuals with ambiguous </w:t>
      </w:r>
      <w:r w:rsidR="00CD22C4">
        <w:rPr>
          <w:sz w:val="24"/>
          <w:szCs w:val="24"/>
        </w:rPr>
        <w:t>MoCA and MMSE scores.</w:t>
      </w:r>
    </w:p>
    <w:p w14:paraId="51282B73" w14:textId="06122110" w:rsidR="00CD22C4" w:rsidRDefault="00CD22C4" w:rsidP="00CD22C4">
      <w:pPr>
        <w:ind w:firstLine="567"/>
        <w:rPr>
          <w:sz w:val="24"/>
          <w:szCs w:val="24"/>
        </w:rPr>
      </w:pPr>
      <w:r w:rsidRPr="006C6BAE">
        <w:rPr>
          <w:sz w:val="24"/>
          <w:szCs w:val="24"/>
        </w:rPr>
        <w:t>52</w:t>
      </w:r>
      <w:r>
        <w:rPr>
          <w:sz w:val="24"/>
          <w:szCs w:val="24"/>
        </w:rPr>
        <w:t xml:space="preserve"> </w:t>
      </w:r>
      <w:r w:rsidR="005B460F">
        <w:rPr>
          <w:sz w:val="24"/>
          <w:szCs w:val="24"/>
        </w:rPr>
        <w:t>older adults</w:t>
      </w:r>
      <w:r>
        <w:rPr>
          <w:sz w:val="24"/>
          <w:szCs w:val="24"/>
        </w:rPr>
        <w:t xml:space="preserve"> completed 12 online tests on a tablet computer, </w:t>
      </w:r>
      <w:r w:rsidR="00A52DA9">
        <w:rPr>
          <w:sz w:val="24"/>
          <w:szCs w:val="24"/>
        </w:rPr>
        <w:t xml:space="preserve">as well as </w:t>
      </w:r>
      <w:r>
        <w:rPr>
          <w:sz w:val="24"/>
          <w:szCs w:val="24"/>
        </w:rPr>
        <w:t xml:space="preserve">a MoCA, and a MMSE. </w:t>
      </w:r>
    </w:p>
    <w:p w14:paraId="70A5A480" w14:textId="3D7DDCF8" w:rsidR="005B460F" w:rsidRDefault="00CD22C4" w:rsidP="005B460F">
      <w:pPr>
        <w:ind w:firstLine="567"/>
        <w:rPr>
          <w:sz w:val="24"/>
          <w:szCs w:val="24"/>
        </w:rPr>
      </w:pPr>
      <w:r>
        <w:rPr>
          <w:sz w:val="24"/>
          <w:szCs w:val="24"/>
        </w:rPr>
        <w:t xml:space="preserve">The MoCA categorized 72% of participants as </w:t>
      </w:r>
      <w:r w:rsidR="00A52DA9">
        <w:rPr>
          <w:sz w:val="24"/>
          <w:szCs w:val="24"/>
        </w:rPr>
        <w:t xml:space="preserve">clearly </w:t>
      </w:r>
      <w:r>
        <w:rPr>
          <w:sz w:val="24"/>
          <w:szCs w:val="24"/>
        </w:rPr>
        <w:t>impaired or unimpaired. The addition of a single online test increased categorization to 92%. A multiple regression identified two other tests that best predicted MoCA scores. The combination of scores from the three identified tests were highly correlated with MoCA scores. A regression also identified two tests that best predicted MMSE scores, but the categorization analysis was not performed because of a ceiling effect in MMSE scores</w:t>
      </w:r>
      <w:r w:rsidR="005B460F">
        <w:rPr>
          <w:sz w:val="24"/>
          <w:szCs w:val="24"/>
        </w:rPr>
        <w:t>.</w:t>
      </w:r>
    </w:p>
    <w:p w14:paraId="061D4907" w14:textId="4C264328" w:rsidR="002A535D" w:rsidRPr="002A535D" w:rsidRDefault="00A52DA9" w:rsidP="005B460F">
      <w:pPr>
        <w:ind w:firstLine="567"/>
        <w:rPr>
          <w:sz w:val="24"/>
          <w:szCs w:val="24"/>
        </w:rPr>
      </w:pPr>
      <w:r>
        <w:rPr>
          <w:sz w:val="24"/>
          <w:szCs w:val="24"/>
        </w:rPr>
        <w:t>In summary, t</w:t>
      </w:r>
      <w:r w:rsidR="00CD22C4">
        <w:rPr>
          <w:sz w:val="24"/>
          <w:szCs w:val="24"/>
        </w:rPr>
        <w:t>he addition of a single online test to the MoCA improved categorization of individuals with ambiguous scores</w:t>
      </w:r>
      <w:r w:rsidR="00F905C3">
        <w:rPr>
          <w:sz w:val="24"/>
          <w:szCs w:val="24"/>
        </w:rPr>
        <w:t xml:space="preserve">. In addition, </w:t>
      </w:r>
      <w:r w:rsidR="00CD22C4">
        <w:rPr>
          <w:sz w:val="24"/>
          <w:szCs w:val="24"/>
        </w:rPr>
        <w:t xml:space="preserve">a short battery of three </w:t>
      </w:r>
      <w:r w:rsidR="00F905C3">
        <w:rPr>
          <w:sz w:val="24"/>
          <w:szCs w:val="24"/>
        </w:rPr>
        <w:t xml:space="preserve">online </w:t>
      </w:r>
      <w:r w:rsidR="00CD22C4">
        <w:rPr>
          <w:sz w:val="24"/>
          <w:szCs w:val="24"/>
        </w:rPr>
        <w:t xml:space="preserve">tests </w:t>
      </w:r>
      <w:r w:rsidR="00F905C3">
        <w:rPr>
          <w:sz w:val="24"/>
          <w:szCs w:val="24"/>
        </w:rPr>
        <w:t>proved to be</w:t>
      </w:r>
      <w:r w:rsidR="00CD22C4">
        <w:rPr>
          <w:sz w:val="24"/>
          <w:szCs w:val="24"/>
        </w:rPr>
        <w:t xml:space="preserve"> a viable alternative to the paper-pencil tests currently used to </w:t>
      </w:r>
      <w:r w:rsidR="005B460F">
        <w:rPr>
          <w:sz w:val="24"/>
          <w:szCs w:val="24"/>
        </w:rPr>
        <w:t xml:space="preserve">screen for and </w:t>
      </w:r>
      <w:r w:rsidR="00CD22C4">
        <w:rPr>
          <w:sz w:val="24"/>
          <w:szCs w:val="24"/>
        </w:rPr>
        <w:t xml:space="preserve">monitor cognitive changes in older adults. This online testing battery may have significant </w:t>
      </w:r>
      <w:r w:rsidR="00F905C3">
        <w:rPr>
          <w:sz w:val="24"/>
          <w:szCs w:val="24"/>
        </w:rPr>
        <w:t xml:space="preserve">benefits </w:t>
      </w:r>
      <w:r w:rsidR="00CD22C4">
        <w:rPr>
          <w:sz w:val="24"/>
          <w:szCs w:val="24"/>
        </w:rPr>
        <w:t>for care and quality of life in the aging population.</w:t>
      </w:r>
    </w:p>
    <w:p w14:paraId="514504C4" w14:textId="77777777" w:rsidR="00CD22C4" w:rsidRDefault="00CD22C4" w:rsidP="00494CCD">
      <w:pPr>
        <w:rPr>
          <w:sz w:val="24"/>
          <w:szCs w:val="24"/>
        </w:rPr>
      </w:pPr>
    </w:p>
    <w:p w14:paraId="45D8C939" w14:textId="77777777" w:rsidR="00CD22C4" w:rsidRDefault="00CD22C4" w:rsidP="00494CCD">
      <w:pPr>
        <w:rPr>
          <w:sz w:val="24"/>
          <w:szCs w:val="24"/>
        </w:rPr>
      </w:pPr>
    </w:p>
    <w:p w14:paraId="591FF2B5" w14:textId="77777777" w:rsidR="00CD22C4" w:rsidRDefault="00CD22C4" w:rsidP="00494CCD">
      <w:pPr>
        <w:rPr>
          <w:sz w:val="24"/>
          <w:szCs w:val="24"/>
        </w:rPr>
      </w:pPr>
    </w:p>
    <w:p w14:paraId="2B7C327E" w14:textId="77777777" w:rsidR="00CD22C4" w:rsidRDefault="00CD22C4" w:rsidP="00494CCD">
      <w:pPr>
        <w:rPr>
          <w:sz w:val="24"/>
          <w:szCs w:val="24"/>
        </w:rPr>
      </w:pPr>
    </w:p>
    <w:p w14:paraId="2DC08648" w14:textId="77777777" w:rsidR="000236CE"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p>
    <w:p w14:paraId="18658768" w14:textId="77777777" w:rsidR="000236CE" w:rsidRDefault="000236CE" w:rsidP="00494CCD">
      <w:pPr>
        <w:rPr>
          <w:sz w:val="24"/>
          <w:szCs w:val="24"/>
        </w:rPr>
      </w:pPr>
    </w:p>
    <w:p w14:paraId="5723B984" w14:textId="03925309" w:rsidR="000236CE" w:rsidRPr="002A535D" w:rsidRDefault="000236CE" w:rsidP="00494CCD">
      <w:pPr>
        <w:rPr>
          <w:sz w:val="24"/>
          <w:szCs w:val="24"/>
        </w:rPr>
      </w:pPr>
      <w:r>
        <w:rPr>
          <w:sz w:val="24"/>
          <w:szCs w:val="24"/>
        </w:rPr>
        <w:t xml:space="preserve">Key Points: </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t>INTRODUCTION</w:t>
      </w:r>
    </w:p>
    <w:p w14:paraId="64754AE9" w14:textId="7B082872" w:rsidR="007056E2" w:rsidRDefault="000E22E5" w:rsidP="00E1613B">
      <w:pPr>
        <w:tabs>
          <w:tab w:val="left" w:pos="709"/>
        </w:tabs>
        <w:ind w:firstLine="567"/>
        <w:rPr>
          <w:sz w:val="24"/>
          <w:szCs w:val="24"/>
        </w:rPr>
      </w:pPr>
      <w:r>
        <w:rPr>
          <w:sz w:val="24"/>
          <w:szCs w:val="24"/>
        </w:rPr>
        <w:t>P</w:t>
      </w:r>
      <w:r w:rsidR="00AC6DE3">
        <w:rPr>
          <w:sz w:val="24"/>
          <w:szCs w:val="24"/>
        </w:rPr>
        <w:t xml:space="preserve">hysicians </w:t>
      </w:r>
      <w:r>
        <w:rPr>
          <w:sz w:val="24"/>
          <w:szCs w:val="24"/>
        </w:rPr>
        <w:t xml:space="preserve">around the world </w:t>
      </w:r>
      <w:r w:rsidR="00AC6DE3">
        <w:rPr>
          <w:sz w:val="24"/>
          <w:szCs w:val="24"/>
        </w:rPr>
        <w:t>fail to diagnose patients with dementia every day</w:t>
      </w:r>
      <w:r>
        <w:rPr>
          <w:sz w:val="24"/>
          <w:szCs w:val="24"/>
        </w:rPr>
        <w:fldChar w:fldCharType="begin" w:fldLock="1"/>
      </w:r>
      <w:r w:rsidR="00991AA6">
        <w:rPr>
          <w:sz w:val="24"/>
          <w:szCs w:val="24"/>
        </w:rPr>
        <w:instrText>ADDIN CSL_CITATION {"citationItems":[{"id":"ITEM-1","itemData":{"DOI":"10.1080/13607863.2011.596805","ISBN":"1360-7863\\n1364-6915","ISSN":"13607863","PMID":"21777080","abstract":"OBJECTIVES: Dementia is a major and growing health problem. Diagnosis is an important step in the access to care, but many dementia patients remain undiagnosed. This study investigated the magnitude and variation in the difference between 'observed' and 'estimated' prevalence of dementia in general practices. We also explored practice characteristics associated with observed prevalence rates. METHOD: Six Primary Care Trusts (PCTs) provided data on all general practices (N = 351) in their area in terms of number of doctors, patient list size, number of patients over 65 years of age, socio-economic deprivation status of practices and number of patients on dementia registers. RESULTS: The average observed prevalence overall of dementia amongst patients 65 years and over was 3.0% [95CI 2.8, 3.2]. The observed prevalence was 54.5% [95CI 49.2, 58.9] lower than the prevalence observed in the epidemiological studies in the UK. For an average size general practice (list size of 5269 patients) approximately 27 [95CI 22, 32] patients with dementia may remain undiagnosed. Statistically significant differences in prevalence rates were found between the different PCTs (Wald chi-square = 103.8 p &lt; 0.001). The observed prevalence of dementia was significantly lower among practices run by one GP compared to multiple GPs (p = 0.003), and in more affluent areas (p &lt; 0.001). CONCLUSION: Just under a half of the expected numbers of patients with dementia are recognised in GP dementia registers. The underdiagnosis of dementia varies with practice characteristics, socio-economic deprivation and between PCTs, which has implications for the local implementation of the National Dementia Strategy.","author":[{"dropping-particle":"","family":"Connolly","given":"Amanda","non-dropping-particle":"","parse-names":false,"suffix":""},{"dropping-particle":"","family":"Gaehl","given":"Ella","non-dropping-particle":"","parse-names":false,"suffix":""},{"dropping-particle":"","family":"Martin","given":"Helen","non-dropping-particle":"","parse-names":false,"suffix":""},{"dropping-particle":"","family":"Morris","given":"Julie","non-dropping-particle":"","parse-names":false,"suffix":""},{"dropping-particle":"","family":"Purandare","given":"Nitin","non-dropping-particle":"","parse-names":false,"suffix":""}],"container-title":"Aging and Mental Health","id":"ITEM-1","issue":"8","issued":{"date-parts":[["2011"]]},"page":"978-984","title":"Underdiagnosis of dementia in primary care: Variations in the observed prevalence and comparisons to the expected prevalence","type":"article-journal","volume":"15"},"uris":["http://www.mendeley.com/documents/?uuid=0265adda-2861-4148-8f32-41c9f26c47a7"]},{"id":"ITEM-2","itemData":{"DOI":"10.1136/bmjopen-2016-011146","ISBN":"2044-6055","ISSN":"20446055","PMID":"28159845","abstract":"Objectives: Detection of dementia is essential for improving the lives of patients but the extent of underdetection worldwide and its causes are not known. This study aimed to quantify the prevalence of undetected dementia and to examine its correlates. Methods/setting/participants: A systematic search was conducted until October 2016 for studies reporting the proportion of undetected dementia and/or its determinants in either the community or in residential care settings worldwide. Random-effects models calculated the pooled rate of undetected dementia and subgroup analyses were conducted to identify determinants of the variation. Primary and secondary outcome measures: The outcome measures of interest were the prevalence and determinants of undetected dementia.","author":[{"dropping-particle":"","family":"Lang","given":"Linda","non-dropping-particle":"","parse-names":false,"suffix":""},{"dropping-particle":"","family":"Clifford","given":"Angela","non-dropping-particle":"","parse-names":false,"suffix":""},{"dropping-particle":"","family":"Wei","given":"Li","non-dropping-particle":"","parse-names":false,"suffix":""},{"dropping-particle":"","family":"Zhang","given":"Dongmei","non-dropping-particle":"","parse-names":false,"suffix":""},{"dropping-particle":"","family":"Leung","given":"Daryl","non-dropping-particle":"","parse-names":false,"suffix":""},{"dropping-particle":"","family":"Augustine","given":"Glenda","non-dropping-particle":"","parse-names":false,"suffix":""},{"dropping-particle":"","family":"Danat","given":"Isaac M.","non-dropping-particle":"","parse-names":false,"suffix":""},{"dropping-particle":"","family":"Zhou","given":"Weiju","non-dropping-particle":"","parse-names":false,"suffix":""},{"dropping-particle":"","family":"Copeland","given":"John R.","non-dropping-particle":"","parse-names":false,"suffix":""},{"dropping-particle":"","family":"Anstey","given":"Kaarin J.","non-dropping-particle":"","parse-names":false,"suffix":""},{"dropping-particle":"","family":"Chen","given":"Ruoling","non-dropping-particle":"","parse-names":false,"suffix":""}],"container-title":"BMJ Open","id":"ITEM-2","issue":"2","issued":{"date-parts":[["2017"]]},"page":"1-8","title":"Prevalence and determinants of undetected dementia in the community: A systematic literature review and a meta-analysis","type":"article-journal","volume":"7"},"uris":["http://www.mendeley.com/documents/?uuid=711c842a-014a-45e6-bc01-0a97c6f95a09"]},{"id":"ITEM-3","itemData":{"DOI":"10.1001/archinte.160.19.2964","ISBN":"0003-9926 (Print)\\r0003-9926 (Linking)","ISSN":"00039926","PMID":"11041904","abstract":"BACKGROUND: Recognition and medical record documentation of dementia in the primary care setting are thought to be poor. To our knowledge, previous studies have not examined these issues in private practice office settings within the United States. OBJECTIVE: To determine the rate of unrecognized and undocumented dementia in a primary care internal medicine private practice. METHODS: This was a cross-sectional study of 297 ambulatory persons aged 65 years and older attending an internal medicine private group practice within an Asian American community of Honolulu, Hawaii. Of the subjects, 95% had been with their current primary care physician for at least 1 year. Each subject's primary care physician noted the presence or absence of dementia by questionnaire at the time of an office visit. An investigating physician (V.G.V.) subsequently assessed cognitive function using the Cognitive Abilities Screening Instrument, and confirmed the presence of dementia and its severity, if present, using Benson and Cummings' criteria and the Clinical Dementia Rating Scale, respectively. A trained research assistant completed telephone interviews to proxy informants for collateral information concerning cognition, behavior, and occupational or social function. Subjects' outpatient medical records were reviewed for documentation of problems with cognition. RESULTS: Twenty-six cases of dementia were identified. Of these 26, 17 (65%) (95% confidence interval, 44.3-82.8) were not documented in outpatient medical records; of 18 patients, 12 (67%) (95% confidence interval, 40.9-86.7) were not thought to have dementia by their physicians at the time of the office visit. Recognition and documentation rates increased with advancing stage of disease. CONCLUSION: Dementia is often unrecognized and undocumented in private practice settings. Arch Intern Med. 2000;160:2964-2968","author":[{"dropping-particle":"","family":"Valcour","given":"Victor G.","non-dropping-particle":"","parse-names":false,"suffix":""},{"dropping-particle":"","family":"Masaki","given":"Kamal H.","non-dropping-particle":"","parse-names":false,"suffix":""},{"dropping-particle":"","family":"Curb","given":"J. David","non-dropping-particle":"","parse-names":false,"suffix":""},{"dropping-particle":"","family":"Blanchette","given":"Patricia Lanoie","non-dropping-particle":"","parse-names":false,"suffix":""}],"container-title":"Archives of Internal Medicine","id":"ITEM-3","issue":"19","issued":{"date-parts":[["2000"]]},"page":"2964-2968","title":"The detection of dementia in the primary care setting","type":"article-journal","volume":"160"},"uris":["http://www.mendeley.com/documents/?uuid=f0bab0ae-07d0-4454-93d7-bd5ef7371557"]}],"mendeley":{"formattedCitation":"&lt;sup&gt;1–3&lt;/sup&gt;","plainTextFormattedCitation":"1–3","previouslyFormattedCitation":"&lt;sup&gt;1–3&lt;/sup&gt;"},"properties":{"noteIndex":0},"schema":"https://github.com/citation-style-language/schema/raw/master/csl-citation.json"}</w:instrText>
      </w:r>
      <w:r>
        <w:rPr>
          <w:sz w:val="24"/>
          <w:szCs w:val="24"/>
        </w:rPr>
        <w:fldChar w:fldCharType="separate"/>
      </w:r>
      <w:r w:rsidR="00110D47" w:rsidRPr="00110D47">
        <w:rPr>
          <w:noProof/>
          <w:sz w:val="24"/>
          <w:szCs w:val="24"/>
          <w:vertAlign w:val="superscript"/>
        </w:rPr>
        <w:t>1–3</w:t>
      </w:r>
      <w:r>
        <w:rPr>
          <w:sz w:val="24"/>
          <w:szCs w:val="24"/>
        </w:rPr>
        <w:fldChar w:fldCharType="end"/>
      </w:r>
      <w:r w:rsidR="00AC6DE3">
        <w:rPr>
          <w:sz w:val="24"/>
          <w:szCs w:val="24"/>
        </w:rPr>
        <w:t>. Many of these patients suffer needlessly: they experience falls and fractures</w:t>
      </w:r>
      <w:r w:rsidR="00681C12">
        <w:rPr>
          <w:sz w:val="24"/>
          <w:szCs w:val="24"/>
        </w:rPr>
        <w:fldChar w:fldCharType="begin" w:fldLock="1"/>
      </w:r>
      <w:r w:rsidR="00991AA6">
        <w:rPr>
          <w:sz w:val="24"/>
          <w:szCs w:val="24"/>
        </w:rPr>
        <w:instrText>ADDIN CSL_CITATION {"citationItems":[{"id":"ITEM-1","itemData":{"author":[{"dropping-particle":"","family":"Ballard","given":"Clive G.","non-dropping-particle":"","parse-names":false,"suffix":""},{"dropping-particle":"","family":"Shaw","given":"F","non-dropping-particle":"","parse-names":false,"suffix":""},{"dropping-particle":"","family":"Lowery","given":"K","non-dropping-particle":"","parse-names":false,"suffix":""},{"dropping-particle":"","family":"McKeith","given":"I","non-dropping-particle":"","parse-names":false,"suffix":""},{"dropping-particle":"","family":"Kenny","given":"R","non-dropping-particle":"","parse-names":false,"suffix":""}],"container-title":"Dementia and Geriatric Cognitive Disorders","id":"ITEM-1","issued":{"date-parts":[["1999"]]},"page":"97-103","title":"The prevalence, assessment and associations of falls in dementia with Lewy bodies and Alzheimer's Disease","type":"article-journal","volume":"10"},"uris":["http://www.mendeley.com/documents/?uuid=ca7b359e-ebe2-4edb-bbc3-ec7c7caba7d9"]}],"mendeley":{"formattedCitation":"&lt;sup&gt;4&lt;/sup&gt;","plainTextFormattedCitation":"4","previouslyFormattedCitation":"&lt;sup&gt;4&lt;/sup&gt;"},"properties":{"noteIndex":0},"schema":"https://github.com/citation-style-language/schema/raw/master/csl-citation.json"}</w:instrText>
      </w:r>
      <w:r w:rsidR="00681C12">
        <w:rPr>
          <w:sz w:val="24"/>
          <w:szCs w:val="24"/>
        </w:rPr>
        <w:fldChar w:fldCharType="separate"/>
      </w:r>
      <w:r w:rsidR="00110D47" w:rsidRPr="00110D47">
        <w:rPr>
          <w:noProof/>
          <w:sz w:val="24"/>
          <w:szCs w:val="24"/>
          <w:vertAlign w:val="superscript"/>
        </w:rPr>
        <w:t>4</w:t>
      </w:r>
      <w:r w:rsidR="00681C12">
        <w:rPr>
          <w:sz w:val="24"/>
          <w:szCs w:val="24"/>
        </w:rPr>
        <w:fldChar w:fldCharType="end"/>
      </w:r>
      <w:r w:rsidR="00553D3E">
        <w:rPr>
          <w:sz w:val="24"/>
          <w:szCs w:val="24"/>
        </w:rPr>
        <w:t xml:space="preserve"> and i</w:t>
      </w:r>
      <w:r w:rsidR="00AC6DE3">
        <w:rPr>
          <w:sz w:val="24"/>
          <w:szCs w:val="24"/>
        </w:rPr>
        <w:t>n some cases, a late diagnosis of dementia leads to life-limiting illness and preventable death</w:t>
      </w:r>
      <w:r w:rsidR="00574C32">
        <w:rPr>
          <w:sz w:val="24"/>
          <w:szCs w:val="24"/>
        </w:rPr>
        <w:fldChar w:fldCharType="begin" w:fldLock="1"/>
      </w:r>
      <w:r w:rsidR="00991AA6">
        <w:rPr>
          <w:sz w:val="24"/>
          <w:szCs w:val="24"/>
        </w:rPr>
        <w:instrText>ADDIN CSL_CITATION {"citationItems":[{"id":"ITEM-1","itemData":{"DOI":"10.1002/gps.474","ISBN":"0885-6230 (Print)\\r0885-6230","ISSN":"0885-6230","PMID":"12673619","author":[{"dropping-particle":"","family":"Keene","given":"Janet","non-dropping-particle":"","parse-names":false,"suffix":""},{"dropping-particle":"","family":"Hope","given":"Tony","non-dropping-particle":"","parse-names":false,"suffix":""},{"dropping-particle":"","family":"Fairburn","given":"Christopher G","non-dropping-particle":"","parse-names":false,"suffix":""},{"dropping-particle":"","family":"Jacoby","given":"Robin","non-dropping-particle":"","parse-names":false,"suffix":""}],"container-title":"International Journal of Geriatric Psychiatry","id":"ITEM-1","issue":"10","issued":{"date-parts":[["2001","10"]]},"page":"969-974","title":"Death and dementia","type":"article-journal","volume":"16"},"uris":["http://www.mendeley.com/documents/?uuid=c29e4273-cd7e-4aa0-a841-8e807766b420"]}],"mendeley":{"formattedCitation":"&lt;sup&gt;5&lt;/sup&gt;","plainTextFormattedCitation":"5","previouslyFormattedCitation":"&lt;sup&gt;5&lt;/sup&gt;"},"properties":{"noteIndex":0},"schema":"https://github.com/citation-style-language/schema/raw/master/csl-citation.json"}</w:instrText>
      </w:r>
      <w:r w:rsidR="00574C32">
        <w:rPr>
          <w:sz w:val="24"/>
          <w:szCs w:val="24"/>
        </w:rPr>
        <w:fldChar w:fldCharType="separate"/>
      </w:r>
      <w:r w:rsidR="00110D47" w:rsidRPr="00110D47">
        <w:rPr>
          <w:noProof/>
          <w:sz w:val="24"/>
          <w:szCs w:val="24"/>
          <w:vertAlign w:val="superscript"/>
        </w:rPr>
        <w:t>5</w:t>
      </w:r>
      <w:r w:rsidR="00574C32">
        <w:rPr>
          <w:sz w:val="24"/>
          <w:szCs w:val="24"/>
        </w:rPr>
        <w:fldChar w:fldCharType="end"/>
      </w:r>
      <w:r w:rsidR="00AC6DE3">
        <w:rPr>
          <w:sz w:val="24"/>
          <w:szCs w:val="24"/>
        </w:rPr>
        <w:t>.</w:t>
      </w:r>
      <w:r w:rsidR="00876F13">
        <w:rPr>
          <w:sz w:val="24"/>
          <w:szCs w:val="24"/>
        </w:rPr>
        <w:t xml:space="preserve"> Effective screening and accurate diagnosis of dementia saves lives</w:t>
      </w:r>
      <w:r w:rsidR="00110D47">
        <w:rPr>
          <w:sz w:val="24"/>
          <w:szCs w:val="24"/>
        </w:rPr>
        <w:fldChar w:fldCharType="begin" w:fldLock="1"/>
      </w:r>
      <w:r w:rsidR="00991AA6">
        <w:rPr>
          <w:sz w:val="24"/>
          <w:szCs w:val="24"/>
        </w:rPr>
        <w:instrText>ADDIN CSL_CITATION {"citationItems":[{"id":"ITEM-1","itemData":{"DOI":"10.1088/1742-6596/160/1/012043","ISSN":"1742-6596","abstract":"The World Alzheimer Report 2011 shows that there are interventions that are effective in the early stages of dementia, some of which may be more effective when started earlier, and that there is a strong economic argument in favour of earlier diagnosis and timely intervention.","author":[{"dropping-particle":"","family":"Prince","given":"M.","non-dropping-particle":"","parse-names":false,"suffix":""},{"dropping-particle":"","family":"Bryce","given":"R.","non-dropping-particle":"","parse-names":false,"suffix":""},{"dropping-particle":"","family":"Ferri","given":"C.","non-dropping-particle":"","parse-names":false,"suffix":""}],"container-title":"Alzeheimer's Disease International (ADI)","id":"ITEM-1","issued":{"date-parts":[["2011"]]},"page":"72","title":"World Alzheimer Report - The benefits of early diagnosis and intervention World Alzheimer Report","type":"article-journal"},"uris":["http://www.mendeley.com/documents/?uuid=df12f193-28cf-4927-8aeb-a8d164f76fb2"]}],"mendeley":{"formattedCitation":"&lt;sup&gt;6&lt;/sup&gt;","plainTextFormattedCitation":"6","previouslyFormattedCitation":"&lt;sup&gt;6&lt;/sup&gt;"},"properties":{"noteIndex":0},"schema":"https://github.com/citation-style-language/schema/raw/master/csl-citation.json"}</w:instrText>
      </w:r>
      <w:r w:rsidR="00110D47">
        <w:rPr>
          <w:sz w:val="24"/>
          <w:szCs w:val="24"/>
        </w:rPr>
        <w:fldChar w:fldCharType="separate"/>
      </w:r>
      <w:r w:rsidR="00110D47" w:rsidRPr="00110D47">
        <w:rPr>
          <w:noProof/>
          <w:sz w:val="24"/>
          <w:szCs w:val="24"/>
          <w:vertAlign w:val="superscript"/>
        </w:rPr>
        <w:t>6</w:t>
      </w:r>
      <w:r w:rsidR="00110D47">
        <w:rPr>
          <w:sz w:val="24"/>
          <w:szCs w:val="24"/>
        </w:rPr>
        <w:fldChar w:fldCharType="end"/>
      </w:r>
      <w:r w:rsidR="00876F13">
        <w:rPr>
          <w:sz w:val="24"/>
          <w:szCs w:val="24"/>
        </w:rPr>
        <w:t xml:space="preserve">, </w:t>
      </w:r>
      <w:r w:rsidR="00553D3E">
        <w:rPr>
          <w:sz w:val="24"/>
          <w:szCs w:val="24"/>
        </w:rPr>
        <w:t xml:space="preserve">yet </w:t>
      </w:r>
      <w:r w:rsidR="00876F13">
        <w:rPr>
          <w:sz w:val="24"/>
          <w:szCs w:val="24"/>
        </w:rPr>
        <w:t>the most reliable current screening tools for dementia, including the Mini-Mental State Examination (MMSE)</w:t>
      </w:r>
      <w:r w:rsidR="00A8204C">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7</w:t>
      </w:r>
      <w:r w:rsidR="00A8204C">
        <w:rPr>
          <w:sz w:val="24"/>
          <w:szCs w:val="24"/>
        </w:rPr>
        <w:fldChar w:fldCharType="end"/>
      </w:r>
      <w:r w:rsidR="00876F13">
        <w:rPr>
          <w:sz w:val="24"/>
          <w:szCs w:val="24"/>
        </w:rPr>
        <w:t xml:space="preserve"> and Montreal Cognitive Assessment (MoCA)</w:t>
      </w:r>
      <w:r w:rsidR="00A8204C">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8</w:t>
      </w:r>
      <w:r w:rsidR="00A8204C">
        <w:rPr>
          <w:sz w:val="24"/>
          <w:szCs w:val="24"/>
        </w:rPr>
        <w:fldChar w:fldCharType="end"/>
      </w:r>
      <w:r w:rsidR="00876F13">
        <w:rPr>
          <w:sz w:val="24"/>
          <w:szCs w:val="24"/>
        </w:rPr>
        <w:t>, are widely underused by primary care physicians</w:t>
      </w:r>
      <w:r w:rsidR="00991AA6">
        <w:rPr>
          <w:sz w:val="24"/>
          <w:szCs w:val="24"/>
        </w:rPr>
        <w:fldChar w:fldCharType="begin" w:fldLock="1"/>
      </w:r>
      <w:r w:rsidR="00A8204C">
        <w:rPr>
          <w:sz w:val="24"/>
          <w:szCs w:val="24"/>
        </w:rPr>
        <w:instrText>ADDIN CSL_CITATION {"citationItems":[{"id":"ITEM-1","itemData":{"ISBN":"1715-5258","ISSN":"0008350X","PMID":"24829010","abstract":"OBJECTIVE: To assess the current identification and management of patients with dementia in a primary care setting; to determine the accuracy of identification of dementia by primary care physicians; to examine reasons (triggers) for referral of patients with suspected dementia to the geriatric assessment team (GAT) from the primary care setting; and to compare indices of identification and management of dementia between the GAT and primary care network (PCN) physicians and between the GAT and community care (CC).\\n\\nDESIGN: Retrospective chart review and comparisons, based on quality indicators of dementia care as specified in the Third Canadian Consensus Conference on the Diagnosis and Treatment of Dementia, were conducted from matching charts obtained from 3 groups of health care providers.\\n\\nSETTING: Semirural region in the province of Alberta involving a PCN, CC, and a GAT.\\n\\nPARTICIPANTS: One hundred patients who had been assessed by the GAT randomly selected from among those diagnosed with dementia or mild cognitive impairment by the GAT.\\n\\nMAIN OUTCOME MEASURES: Diagnosis of dementia and indications of high-quality dementia care listed in PCN, CC, and GAT charts.\\n\\nRESULTS: Only 59% of the patients diagnosed with dementia by the GAT had a documented diagnosis of dementia in their PCN charts. None of the 12 patients diagnosed with mild cognitive impairment by the GAT had been diagnosed by the PCN. Memory decline was the most common reason for referral to the GAT. There were statistically significant differences between the PCN and the GAT on all quality indicators of dementia, with underuse of diagnostic and functional assessment tools and lack of attention to wandering, driving, medicolegal, and caregiver issues, and underuse of community supports in the PCN. There was higher congruence between CC and the GAT on assessment and care indices.\\n\\nCONCLUSION: Dementia care remains a challenge in primary care. Within our primary care setting, there are opportunities for synergistic collaboration among the health care professionals from the PCN, CC, and the GAT. Currently they exist as individual entities in the system. An integrated model of care is required in order to build capacity to meet the needs of an aging population.","author":[{"dropping-particle":"","family":"Parmar","given":"Jasneet","non-dropping-particle":"","parse-names":false,"suffix":""},{"dropping-particle":"","family":"Dobbs","given":"Bonnie","non-dropping-particle":"","parse-names":false,"suffix":""},{"dropping-particle":"","family":"McKay","given":"Rhianne","non-dropping-particle":"","parse-names":false,"suffix":""},{"dropping-particle":"","family":"Kirwan","given":"Catherine","non-dropping-particle":"","parse-names":false,"suffix":""},{"dropping-particle":"","family":"Cooper","given":"Tim","non-dropping-particle":"","parse-names":false,"suffix":""},{"dropping-particle":"","family":"Marin","given":"Alexandra","non-dropping-particle":"","parse-names":false,"suffix":""},{"dropping-particle":"","family":"Gupta","given":"Nancy","non-dropping-particle":"","parse-names":false,"suffix":""}],"container-title":"Canadian Family Physician","id":"ITEM-1","issue":"5","issued":{"date-parts":[["2014"]]},"page":"457-465","title":"Diagnosis and management of dementia in primary care: Exploratory study","type":"article-journal","volume":"60"},"uris":["http://www.mendeley.com/documents/?uuid=5b711d93-d085-403b-b172-434ed48a4beb"]}],"mendeley":{"formattedCitation":"&lt;sup&gt;9&lt;/sup&gt;","plainTextFormattedCitation":"9","previouslyFormattedCitation":"&lt;sup&gt;9&lt;/sup&gt;"},"properties":{"noteIndex":0},"schema":"https://github.com/citation-style-language/schema/raw/master/csl-citation.json"}</w:instrText>
      </w:r>
      <w:r w:rsidR="00991AA6">
        <w:rPr>
          <w:sz w:val="24"/>
          <w:szCs w:val="24"/>
        </w:rPr>
        <w:fldChar w:fldCharType="separate"/>
      </w:r>
      <w:r w:rsidR="00A8204C" w:rsidRPr="00A8204C">
        <w:rPr>
          <w:noProof/>
          <w:sz w:val="24"/>
          <w:szCs w:val="24"/>
          <w:vertAlign w:val="superscript"/>
        </w:rPr>
        <w:t>9</w:t>
      </w:r>
      <w:r w:rsidR="00991AA6">
        <w:rPr>
          <w:sz w:val="24"/>
          <w:szCs w:val="24"/>
        </w:rPr>
        <w:fldChar w:fldCharType="end"/>
      </w:r>
      <w:r w:rsidR="00876F13">
        <w:rPr>
          <w:sz w:val="24"/>
          <w:szCs w:val="24"/>
        </w:rPr>
        <w:t>.</w:t>
      </w:r>
      <w:r w:rsidR="00E03126">
        <w:rPr>
          <w:sz w:val="24"/>
          <w:szCs w:val="24"/>
        </w:rPr>
        <w:t xml:space="preserve"> </w:t>
      </w:r>
      <w:r w:rsidR="00991AA6">
        <w:rPr>
          <w:sz w:val="24"/>
          <w:szCs w:val="24"/>
        </w:rPr>
        <w:t xml:space="preserve">The underuse of </w:t>
      </w:r>
      <w:r w:rsidR="002706E2">
        <w:rPr>
          <w:sz w:val="24"/>
          <w:szCs w:val="24"/>
        </w:rPr>
        <w:t xml:space="preserve">these </w:t>
      </w:r>
      <w:r w:rsidR="00E03126">
        <w:rPr>
          <w:sz w:val="24"/>
          <w:szCs w:val="24"/>
        </w:rPr>
        <w:t>tools can be</w:t>
      </w:r>
      <w:r w:rsidR="00991AA6">
        <w:rPr>
          <w:sz w:val="24"/>
          <w:szCs w:val="24"/>
        </w:rPr>
        <w:t xml:space="preserve"> attributed to barriers such as </w:t>
      </w:r>
      <w:r w:rsidR="00E03126">
        <w:rPr>
          <w:sz w:val="24"/>
          <w:szCs w:val="24"/>
        </w:rPr>
        <w:t>expense,</w:t>
      </w:r>
      <w:r w:rsidR="00991AA6">
        <w:rPr>
          <w:sz w:val="24"/>
          <w:szCs w:val="24"/>
        </w:rPr>
        <w:t xml:space="preserve"> lack of training, and time constraints</w:t>
      </w:r>
      <w:r w:rsidR="00FF132D">
        <w:rPr>
          <w:sz w:val="24"/>
          <w:szCs w:val="24"/>
        </w:rPr>
        <w:fldChar w:fldCharType="begin" w:fldLock="1"/>
      </w:r>
      <w:r w:rsidR="00A8204C">
        <w:rPr>
          <w:sz w:val="24"/>
          <w:szCs w:val="24"/>
        </w:rPr>
        <w:instrText>ADDIN CSL_CITATION {"citationItems":[{"id":"ITEM-1","itemData":{"DOI":"10.1097/WAD.0b013e3181a6bebc","ISBN":"1051-5313 (Print)\\r1051-5313","ISSN":"0893-0341","PMID":"26027019","abstract":"Dementia is a growing public health problem for which early detection may be beneficial. Currently, the diagnosis of dementia in primary care is dependent mostly on clinical suspicion based on patient symptomsor caregivers’ concerns and is prone to be missed or delayed. We conducted a systematic review of the literature to ascertain the prevalence and contributing factors for missed and delayed dementia diagnoses in primary care. Prevalence of missed and delayed diagnosis was estimated by abstracting quantitative data from studies of diagnostic sensitivity among primary care providers. Possible predictors and contributory factors were determined from the text of quantitative and qualitative studies of patient-, caregiver-, provider-, and system-related barriers. Overall estimates of diagnostic sensitivity varied among studies and appeared to be in part a function of dementia severity, degree of patient impairment, dementia subtype, and frequency of patient-provider contact. Major contributory factors included problems with attitudes and patient-provider communication, educational deficits, and system resource constraints. The true prevalence of missed and delayed diagnoses of dementia is unknown but appears to be high. Until the case for dementia screening becomes more compelling, efforts to promote timely detection should focus on removing barriers to diagnosis.","author":[{"dropping-particle":"","family":"Bradford","given":"Andrea","non-dropping-particle":"","parse-names":false,"suffix":""},{"dropping-particle":"","family":"Kunik","given":"Mark E.","non-dropping-particle":"","parse-names":false,"suffix":""},{"dropping-particle":"","family":"Schulz","given":"Paul","non-dropping-particle":"","parse-names":false,"suffix":""},{"dropping-particle":"","family":"Williams","given":"Susan P.","non-dropping-particle":"","parse-names":false,"suffix":""},{"dropping-particle":"","family":"Singh","given":"Hardeep","non-dropping-particle":"","parse-names":false,"suffix":""}],"container-title":"Alzheimer Disease &amp; Associated Disorders","id":"ITEM-1","issue":"4","issued":{"date-parts":[["2009","10"]]},"page":"306-314","title":"Missed and Delayed Diagnosis of Dementia in Primary Care","type":"article-journal","volume":"23"},"uris":["http://www.mendeley.com/documents/?uuid=a153464c-f81b-4450-9891-fed1c0937cff"]}],"mendeley":{"formattedCitation":"&lt;sup&gt;10&lt;/sup&gt;","plainTextFormattedCitation":"10","previouslyFormattedCitation":"&lt;sup&gt;10&lt;/sup&gt;"},"properties":{"noteIndex":0},"schema":"https://github.com/citation-style-language/schema/raw/master/csl-citation.json"}</w:instrText>
      </w:r>
      <w:r w:rsidR="00FF132D">
        <w:rPr>
          <w:sz w:val="24"/>
          <w:szCs w:val="24"/>
        </w:rPr>
        <w:fldChar w:fldCharType="separate"/>
      </w:r>
      <w:r w:rsidR="00A8204C" w:rsidRPr="00A8204C">
        <w:rPr>
          <w:noProof/>
          <w:sz w:val="24"/>
          <w:szCs w:val="24"/>
          <w:vertAlign w:val="superscript"/>
        </w:rPr>
        <w:t>10</w:t>
      </w:r>
      <w:r w:rsidR="00FF132D">
        <w:rPr>
          <w:sz w:val="24"/>
          <w:szCs w:val="24"/>
        </w:rPr>
        <w:fldChar w:fldCharType="end"/>
      </w:r>
      <w:r w:rsidR="00E03126">
        <w:rPr>
          <w:sz w:val="24"/>
          <w:szCs w:val="24"/>
        </w:rPr>
        <w:t xml:space="preserve">. </w:t>
      </w:r>
      <w:r w:rsidR="00E1613B">
        <w:rPr>
          <w:sz w:val="24"/>
          <w:szCs w:val="24"/>
        </w:rPr>
        <w:t>As the population ages, and millions more become at risk of developing undiagnosed dementia, an easy-to-use screening tool will become crucial for the health and safety of th</w:t>
      </w:r>
      <w:r w:rsidR="00B27BC2">
        <w:rPr>
          <w:sz w:val="24"/>
          <w:szCs w:val="24"/>
        </w:rPr>
        <w:t>is</w:t>
      </w:r>
      <w:r w:rsidR="00E1613B">
        <w:rPr>
          <w:sz w:val="24"/>
          <w:szCs w:val="24"/>
        </w:rPr>
        <w:t xml:space="preserve"> growing population. </w:t>
      </w:r>
    </w:p>
    <w:p w14:paraId="66838BDF" w14:textId="3AB8FEB8" w:rsidR="0020386A" w:rsidRDefault="002706E2" w:rsidP="0020386A">
      <w:pPr>
        <w:tabs>
          <w:tab w:val="left" w:pos="709"/>
        </w:tabs>
        <w:ind w:firstLine="567"/>
        <w:rPr>
          <w:sz w:val="24"/>
          <w:szCs w:val="24"/>
        </w:rPr>
      </w:pPr>
      <w:r>
        <w:rPr>
          <w:sz w:val="24"/>
          <w:szCs w:val="24"/>
        </w:rPr>
        <w:t xml:space="preserve">In this study, we </w:t>
      </w:r>
      <w:r w:rsidR="00B27BC2">
        <w:rPr>
          <w:sz w:val="24"/>
          <w:szCs w:val="24"/>
        </w:rPr>
        <w:t>examined whether</w:t>
      </w:r>
      <w:r>
        <w:rPr>
          <w:sz w:val="24"/>
          <w:szCs w:val="24"/>
        </w:rPr>
        <w:t xml:space="preserve"> a new online battery of </w:t>
      </w:r>
      <w:r w:rsidR="00B27BC2">
        <w:rPr>
          <w:sz w:val="24"/>
          <w:szCs w:val="24"/>
        </w:rPr>
        <w:t xml:space="preserve">12 </w:t>
      </w:r>
      <w:r>
        <w:rPr>
          <w:sz w:val="24"/>
          <w:szCs w:val="24"/>
        </w:rPr>
        <w:t xml:space="preserve">cognitive tests </w:t>
      </w:r>
      <w:r w:rsidR="00B27BC2">
        <w:rPr>
          <w:sz w:val="24"/>
          <w:szCs w:val="24"/>
        </w:rPr>
        <w:t>(cambridgebrainsciences.com - CBS)</w:t>
      </w:r>
      <w:r w:rsidR="00B27BC2">
        <w:rPr>
          <w:sz w:val="24"/>
          <w:szCs w:val="24"/>
        </w:rPr>
        <w:fldChar w:fldCharType="begin" w:fldLock="1"/>
      </w:r>
      <w:r w:rsidR="00B27BC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instrText>
      </w:r>
      <w:r w:rsidR="00B27BC2">
        <w:rPr>
          <w:sz w:val="24"/>
          <w:szCs w:val="24"/>
        </w:rPr>
        <w:fldChar w:fldCharType="separate"/>
      </w:r>
      <w:r w:rsidR="00B27BC2" w:rsidRPr="00FF132D">
        <w:rPr>
          <w:noProof/>
          <w:sz w:val="24"/>
          <w:szCs w:val="24"/>
          <w:vertAlign w:val="superscript"/>
        </w:rPr>
        <w:t>16</w:t>
      </w:r>
      <w:r w:rsidR="00B27BC2">
        <w:rPr>
          <w:sz w:val="24"/>
          <w:szCs w:val="24"/>
        </w:rPr>
        <w:fldChar w:fldCharType="end"/>
      </w:r>
      <w:r w:rsidR="00B27BC2">
        <w:rPr>
          <w:sz w:val="24"/>
          <w:szCs w:val="24"/>
        </w:rPr>
        <w:t xml:space="preserve"> c</w:t>
      </w:r>
      <w:r w:rsidR="00A8204C">
        <w:rPr>
          <w:sz w:val="24"/>
          <w:szCs w:val="24"/>
        </w:rPr>
        <w:t xml:space="preserve">ould improve identification of individuals with cognitive impairments relative to </w:t>
      </w:r>
      <w:r w:rsidR="00B27BC2">
        <w:rPr>
          <w:sz w:val="24"/>
          <w:szCs w:val="24"/>
        </w:rPr>
        <w:t xml:space="preserve">the two current ‘gold standard’ approaches, </w:t>
      </w:r>
      <w:r w:rsidR="00A8204C">
        <w:rPr>
          <w:sz w:val="24"/>
          <w:szCs w:val="24"/>
        </w:rPr>
        <w:t>the MoCA and the MMSE</w:t>
      </w:r>
      <w:r w:rsidR="00E47048">
        <w:rPr>
          <w:sz w:val="24"/>
          <w:szCs w:val="24"/>
        </w:rPr>
        <w:t>,</w:t>
      </w:r>
      <w:r w:rsidR="00B27BC2">
        <w:rPr>
          <w:sz w:val="24"/>
          <w:szCs w:val="24"/>
        </w:rPr>
        <w:t xml:space="preserve">  with a small group of older adults</w:t>
      </w:r>
      <w:r w:rsidR="00A8204C">
        <w:rPr>
          <w:sz w:val="24"/>
          <w:szCs w:val="24"/>
        </w:rPr>
        <w:t xml:space="preserve">. </w:t>
      </w:r>
      <w:r w:rsidR="0020386A">
        <w:rPr>
          <w:sz w:val="24"/>
          <w:szCs w:val="24"/>
        </w:rPr>
        <w:t>Specifically, we asked which CBS test, or combin</w:t>
      </w:r>
      <w:r w:rsidR="004550EB">
        <w:rPr>
          <w:sz w:val="24"/>
          <w:szCs w:val="24"/>
        </w:rPr>
        <w:t xml:space="preserve">ation of tests, best categorizes </w:t>
      </w:r>
      <w:r w:rsidR="0020386A" w:rsidRPr="002A535D">
        <w:rPr>
          <w:sz w:val="24"/>
          <w:szCs w:val="24"/>
        </w:rPr>
        <w:t xml:space="preserve">individuals with ambiguous </w:t>
      </w:r>
      <w:r w:rsidR="0020386A">
        <w:rPr>
          <w:sz w:val="24"/>
          <w:szCs w:val="24"/>
        </w:rPr>
        <w:t xml:space="preserve">MoCA and MMSE scores in order to understand whether this novel </w:t>
      </w:r>
      <w:r w:rsidR="004550EB">
        <w:rPr>
          <w:sz w:val="24"/>
          <w:szCs w:val="24"/>
        </w:rPr>
        <w:t>screening</w:t>
      </w:r>
      <w:r w:rsidR="0020386A">
        <w:rPr>
          <w:sz w:val="24"/>
          <w:szCs w:val="24"/>
        </w:rPr>
        <w:t xml:space="preserve"> battery could be used to follow long term cognitive changes in older adult populations.</w:t>
      </w:r>
    </w:p>
    <w:p w14:paraId="58145F6D" w14:textId="3A73B386" w:rsidR="00A8204C" w:rsidRDefault="00A8204C" w:rsidP="0020386A">
      <w:pPr>
        <w:tabs>
          <w:tab w:val="left" w:pos="709"/>
        </w:tabs>
        <w:ind w:firstLine="567"/>
        <w:rPr>
          <w:sz w:val="24"/>
          <w:szCs w:val="24"/>
        </w:rPr>
      </w:pPr>
      <w:r>
        <w:rPr>
          <w:sz w:val="24"/>
          <w:szCs w:val="24"/>
        </w:rPr>
        <w:t>The CBS test battery</w:t>
      </w:r>
      <w:r w:rsidR="00B27BC2">
        <w:rPr>
          <w:sz w:val="24"/>
          <w:szCs w:val="24"/>
        </w:rPr>
        <w:t xml:space="preserve"> </w:t>
      </w:r>
      <w:r>
        <w:rPr>
          <w:sz w:val="24"/>
          <w:szCs w:val="24"/>
        </w:rPr>
        <w:t xml:space="preserve">is </w:t>
      </w:r>
      <w:r w:rsidR="00B27BC2">
        <w:rPr>
          <w:sz w:val="24"/>
          <w:szCs w:val="24"/>
        </w:rPr>
        <w:t>derived from</w:t>
      </w:r>
      <w:r>
        <w:rPr>
          <w:sz w:val="24"/>
          <w:szCs w:val="24"/>
        </w:rPr>
        <w:t xml:space="preserve"> </w:t>
      </w:r>
      <w:r w:rsidR="00B27BC2">
        <w:rPr>
          <w:sz w:val="24"/>
          <w:szCs w:val="24"/>
        </w:rPr>
        <w:t xml:space="preserve">a set of </w:t>
      </w:r>
      <w:r>
        <w:rPr>
          <w:sz w:val="24"/>
          <w:szCs w:val="24"/>
        </w:rPr>
        <w:t>standard neuropsychological tests</w:t>
      </w:r>
      <w:r w:rsidR="00B27BC2">
        <w:rPr>
          <w:sz w:val="24"/>
          <w:szCs w:val="24"/>
        </w:rPr>
        <w:t xml:space="preserve">, although </w:t>
      </w:r>
      <w:r>
        <w:rPr>
          <w:sz w:val="24"/>
          <w:szCs w:val="24"/>
        </w:rPr>
        <w:t>the tests are computerized and available online, with comprehensive instructions, practice trials, and ‘guided learning’ videos to ensure that individuals can complete them without an examiner being present. Additionally, difficulty levels scale with ability, and test items are randomized, creating a unique set of stimuli for the participant every time the test</w:t>
      </w:r>
      <w:r w:rsidR="00B27BC2">
        <w:rPr>
          <w:sz w:val="24"/>
          <w:szCs w:val="24"/>
        </w:rPr>
        <w:t>s</w:t>
      </w:r>
      <w:r>
        <w:rPr>
          <w:sz w:val="24"/>
          <w:szCs w:val="24"/>
        </w:rPr>
        <w:t xml:space="preserve"> </w:t>
      </w:r>
      <w:r w:rsidR="00B27BC2">
        <w:rPr>
          <w:sz w:val="24"/>
          <w:szCs w:val="24"/>
        </w:rPr>
        <w:t>are</w:t>
      </w:r>
      <w:r>
        <w:rPr>
          <w:sz w:val="24"/>
          <w:szCs w:val="24"/>
        </w:rPr>
        <w:t xml:space="preserve"> taken. </w:t>
      </w:r>
    </w:p>
    <w:p w14:paraId="7E3964F5" w14:textId="2A5823BE" w:rsidR="002706E2" w:rsidRDefault="002706E2" w:rsidP="002706E2">
      <w:pPr>
        <w:tabs>
          <w:tab w:val="left" w:pos="709"/>
        </w:tabs>
        <w:ind w:firstLine="567"/>
        <w:rPr>
          <w:sz w:val="24"/>
          <w:szCs w:val="24"/>
        </w:rPr>
      </w:pPr>
      <w:r>
        <w:rPr>
          <w:sz w:val="24"/>
          <w:szCs w:val="24"/>
        </w:rPr>
        <w:t xml:space="preserve">We compared the results of this online battery to the MoCA and MMSE scores </w:t>
      </w:r>
      <w:r w:rsidR="00B27BC2">
        <w:rPr>
          <w:sz w:val="24"/>
          <w:szCs w:val="24"/>
        </w:rPr>
        <w:t>in</w:t>
      </w:r>
      <w:r>
        <w:rPr>
          <w:sz w:val="24"/>
          <w:szCs w:val="24"/>
        </w:rPr>
        <w:t xml:space="preserve"> the same </w:t>
      </w:r>
      <w:r w:rsidR="00B27BC2">
        <w:rPr>
          <w:sz w:val="24"/>
          <w:szCs w:val="24"/>
        </w:rPr>
        <w:t xml:space="preserve">group of elderly individuals in order </w:t>
      </w:r>
      <w:r>
        <w:rPr>
          <w:sz w:val="24"/>
          <w:szCs w:val="24"/>
        </w:rPr>
        <w:t xml:space="preserve">to: </w:t>
      </w:r>
    </w:p>
    <w:p w14:paraId="7AE3104D" w14:textId="77777777" w:rsidR="002706E2" w:rsidRDefault="002706E2" w:rsidP="002706E2">
      <w:pPr>
        <w:tabs>
          <w:tab w:val="left" w:pos="709"/>
        </w:tabs>
        <w:ind w:firstLine="567"/>
        <w:rPr>
          <w:sz w:val="24"/>
          <w:szCs w:val="24"/>
        </w:rPr>
      </w:pPr>
      <w:r>
        <w:rPr>
          <w:sz w:val="24"/>
          <w:szCs w:val="24"/>
        </w:rPr>
        <w:t xml:space="preserve">i) replicate the flow of testing that might occur in the primary care setting, </w:t>
      </w:r>
    </w:p>
    <w:p w14:paraId="73F544BE" w14:textId="77777777" w:rsidR="002706E2" w:rsidRDefault="002706E2" w:rsidP="002706E2">
      <w:pPr>
        <w:tabs>
          <w:tab w:val="left" w:pos="709"/>
        </w:tabs>
        <w:ind w:firstLine="567"/>
        <w:rPr>
          <w:sz w:val="24"/>
          <w:szCs w:val="24"/>
        </w:rPr>
      </w:pPr>
      <w:r>
        <w:rPr>
          <w:sz w:val="24"/>
          <w:szCs w:val="24"/>
        </w:rPr>
        <w:t>ii) evaluate the feasibility of using an online battery</w:t>
      </w:r>
    </w:p>
    <w:p w14:paraId="7DFEC780" w14:textId="0C387A8B" w:rsidR="00A8204C" w:rsidRDefault="002706E2" w:rsidP="00A8204C">
      <w:pPr>
        <w:tabs>
          <w:tab w:val="left" w:pos="709"/>
        </w:tabs>
        <w:ind w:firstLine="567"/>
        <w:rPr>
          <w:sz w:val="24"/>
          <w:szCs w:val="24"/>
        </w:rPr>
      </w:pPr>
      <w:r>
        <w:rPr>
          <w:sz w:val="24"/>
          <w:szCs w:val="24"/>
        </w:rPr>
        <w:t>iii) examin</w:t>
      </w:r>
      <w:r w:rsidR="00B27BC2">
        <w:rPr>
          <w:sz w:val="24"/>
          <w:szCs w:val="24"/>
        </w:rPr>
        <w:t>e</w:t>
      </w:r>
      <w:r>
        <w:rPr>
          <w:sz w:val="24"/>
          <w:szCs w:val="24"/>
        </w:rPr>
        <w:t xml:space="preserve"> </w:t>
      </w:r>
      <w:r w:rsidR="00B27BC2">
        <w:rPr>
          <w:sz w:val="24"/>
          <w:szCs w:val="24"/>
        </w:rPr>
        <w:t>how</w:t>
      </w:r>
      <w:r>
        <w:rPr>
          <w:sz w:val="24"/>
          <w:szCs w:val="24"/>
        </w:rPr>
        <w:t xml:space="preserve"> </w:t>
      </w:r>
      <w:r w:rsidR="00A8204C">
        <w:rPr>
          <w:sz w:val="24"/>
          <w:szCs w:val="24"/>
        </w:rPr>
        <w:t>the</w:t>
      </w:r>
      <w:r>
        <w:rPr>
          <w:sz w:val="24"/>
          <w:szCs w:val="24"/>
        </w:rPr>
        <w:t xml:space="preserve"> </w:t>
      </w:r>
      <w:r w:rsidR="00A8204C">
        <w:rPr>
          <w:sz w:val="24"/>
          <w:szCs w:val="24"/>
        </w:rPr>
        <w:t>new test</w:t>
      </w:r>
      <w:r w:rsidR="00B27BC2">
        <w:rPr>
          <w:sz w:val="24"/>
          <w:szCs w:val="24"/>
        </w:rPr>
        <w:t>s</w:t>
      </w:r>
      <w:r>
        <w:rPr>
          <w:sz w:val="24"/>
          <w:szCs w:val="24"/>
        </w:rPr>
        <w:t xml:space="preserve"> </w:t>
      </w:r>
      <w:r w:rsidR="00B27BC2">
        <w:rPr>
          <w:sz w:val="24"/>
          <w:szCs w:val="24"/>
        </w:rPr>
        <w:t xml:space="preserve">compare </w:t>
      </w:r>
      <w:r>
        <w:rPr>
          <w:sz w:val="24"/>
          <w:szCs w:val="24"/>
        </w:rPr>
        <w:t>to current standards of care</w:t>
      </w:r>
    </w:p>
    <w:p w14:paraId="34EA8E07" w14:textId="5E645EE0" w:rsidR="00E03126" w:rsidRDefault="00DE5D38" w:rsidP="00A8204C">
      <w:pPr>
        <w:tabs>
          <w:tab w:val="left" w:pos="709"/>
        </w:tabs>
        <w:ind w:firstLine="567"/>
        <w:rPr>
          <w:sz w:val="24"/>
          <w:szCs w:val="24"/>
        </w:rPr>
      </w:pPr>
      <w:r>
        <w:rPr>
          <w:sz w:val="24"/>
          <w:szCs w:val="24"/>
        </w:rPr>
        <w:t xml:space="preserve">This study </w:t>
      </w:r>
      <w:r w:rsidR="00A8204C">
        <w:rPr>
          <w:sz w:val="24"/>
          <w:szCs w:val="24"/>
        </w:rPr>
        <w:t>builds on previous work</w:t>
      </w:r>
      <w:r w:rsidR="00A8204C">
        <w:rPr>
          <w:sz w:val="24"/>
          <w:szCs w:val="24"/>
        </w:rPr>
        <w:fldChar w:fldCharType="begin" w:fldLock="1"/>
      </w:r>
      <w:r w:rsidR="00A8204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plainTextFormattedCitation":"11"},"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11</w:t>
      </w:r>
      <w:r w:rsidR="00A8204C">
        <w:rPr>
          <w:sz w:val="24"/>
          <w:szCs w:val="24"/>
        </w:rPr>
        <w:fldChar w:fldCharType="end"/>
      </w:r>
      <w:r w:rsidR="00A8204C">
        <w:rPr>
          <w:sz w:val="24"/>
          <w:szCs w:val="24"/>
        </w:rPr>
        <w:t xml:space="preserve"> and </w:t>
      </w:r>
      <w:r>
        <w:rPr>
          <w:sz w:val="24"/>
          <w:szCs w:val="24"/>
        </w:rPr>
        <w:t xml:space="preserve">serves as a first step in considering how to improve the state of cognitive testing and screening for dementia. </w:t>
      </w:r>
    </w:p>
    <w:p w14:paraId="16B9131E" w14:textId="616BF8AE" w:rsidR="00FC0731" w:rsidRPr="002A535D" w:rsidRDefault="00702431" w:rsidP="00A50A2F">
      <w:pPr>
        <w:jc w:val="center"/>
        <w:rPr>
          <w:b/>
          <w:sz w:val="24"/>
          <w:szCs w:val="24"/>
        </w:rPr>
      </w:pPr>
      <w:r>
        <w:rPr>
          <w:b/>
          <w:sz w:val="24"/>
          <w:szCs w:val="24"/>
        </w:rPr>
        <w:t>METHODS</w:t>
      </w:r>
    </w:p>
    <w:p w14:paraId="551F1B65" w14:textId="5523C82D" w:rsidR="00FC0731" w:rsidRPr="002A535D" w:rsidRDefault="00CC2E66" w:rsidP="00A50A2F">
      <w:pPr>
        <w:rPr>
          <w:b/>
          <w:sz w:val="24"/>
          <w:szCs w:val="24"/>
        </w:rPr>
      </w:pPr>
      <w:r>
        <w:rPr>
          <w:b/>
          <w:sz w:val="24"/>
          <w:szCs w:val="24"/>
        </w:rPr>
        <w:t>Participants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12FC0A63"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4550EB">
        <w:rPr>
          <w:sz w:val="24"/>
          <w:szCs w:val="24"/>
        </w:rPr>
        <w:t xml:space="preserve">task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8</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7</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r w:rsidR="00CC2E66">
        <w:rPr>
          <w:sz w:val="24"/>
          <w:szCs w:val="24"/>
        </w:rPr>
        <w:t xml:space="preserve"> to provide information a</w:t>
      </w:r>
      <w:r w:rsidR="008F0D54">
        <w:rPr>
          <w:sz w:val="24"/>
          <w:szCs w:val="24"/>
        </w:rPr>
        <w:t>bout age, level of education, existing medical conditions etc</w:t>
      </w:r>
      <w:r w:rsidR="000407A9" w:rsidRPr="002A535D">
        <w:rPr>
          <w:sz w:val="24"/>
          <w:szCs w:val="24"/>
        </w:rPr>
        <w:t>.</w:t>
      </w:r>
    </w:p>
    <w:p w14:paraId="59C684F8" w14:textId="5766370E" w:rsidR="001666A6" w:rsidRPr="002A535D" w:rsidRDefault="00702431" w:rsidP="00A50A2F">
      <w:pPr>
        <w:jc w:val="center"/>
        <w:rPr>
          <w:b/>
          <w:sz w:val="24"/>
          <w:szCs w:val="24"/>
        </w:rPr>
      </w:pPr>
      <w:r>
        <w:rPr>
          <w:b/>
          <w:sz w:val="24"/>
          <w:szCs w:val="24"/>
        </w:rPr>
        <w:t>RESULTS</w:t>
      </w:r>
    </w:p>
    <w:p w14:paraId="66A84678" w14:textId="360CA15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8F0D54">
        <w:rPr>
          <w:sz w:val="24"/>
          <w:szCs w:val="24"/>
        </w:rPr>
        <w:t xml:space="preserve">the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8F0D54">
        <w:rPr>
          <w:sz w:val="24"/>
          <w:szCs w:val="24"/>
        </w:rPr>
        <w:t xml:space="preserve">presented </w:t>
      </w:r>
      <w:r w:rsidR="00A95DF3">
        <w:rPr>
          <w:sz w:val="24"/>
          <w:szCs w:val="24"/>
        </w:rPr>
        <w:t>in Table 1.</w:t>
      </w:r>
    </w:p>
    <w:p w14:paraId="46846131" w14:textId="6AE688E2" w:rsidR="00832527" w:rsidRDefault="00832527" w:rsidP="00832527">
      <w:pPr>
        <w:jc w:val="center"/>
        <w:rPr>
          <w:sz w:val="24"/>
          <w:szCs w:val="24"/>
        </w:rPr>
      </w:pPr>
      <w:r>
        <w:rPr>
          <w:sz w:val="24"/>
          <w:szCs w:val="24"/>
        </w:rPr>
        <w:t>*** Table 1 about here please***</w:t>
      </w:r>
    </w:p>
    <w:p w14:paraId="34FC7315" w14:textId="4E27B0A7"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A</w:t>
      </w:r>
      <w:r w:rsidR="008F0D54">
        <w:rPr>
          <w:sz w:val="24"/>
          <w:szCs w:val="24"/>
        </w:rPr>
        <w:t>gain, a</w:t>
      </w:r>
      <w:r w:rsidR="00094E31">
        <w:rPr>
          <w:sz w:val="24"/>
          <w:szCs w:val="24"/>
        </w:rPr>
        <w:t xml:space="preserve">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21073253"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w:t>
      </w:r>
      <w:r w:rsidR="00271EA0">
        <w:rPr>
          <w:sz w:val="24"/>
          <w:szCs w:val="24"/>
        </w:rPr>
        <w:t xml:space="preserve"> and Supplementary Figure 2</w:t>
      </w:r>
      <w:r w:rsidR="003A3286">
        <w:rPr>
          <w:sz w:val="24"/>
          <w:szCs w:val="24"/>
        </w:rPr>
        <w:t xml:space="preserve">). </w:t>
      </w:r>
    </w:p>
    <w:p w14:paraId="65E83176" w14:textId="039D931B"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r w:rsidR="008F0D54">
        <w:rPr>
          <w:sz w:val="24"/>
          <w:szCs w:val="24"/>
        </w:rPr>
        <w:t xml:space="preserve">the results of the </w:t>
      </w:r>
      <w:r w:rsidR="003E5762">
        <w:rPr>
          <w:sz w:val="24"/>
          <w:szCs w:val="24"/>
        </w:rPr>
        <w:t xml:space="preserve">MoCA </w:t>
      </w:r>
      <w:r w:rsidR="008F0D54">
        <w:rPr>
          <w:sz w:val="24"/>
          <w:szCs w:val="24"/>
        </w:rPr>
        <w:t xml:space="preserve">test </w:t>
      </w:r>
      <w:r w:rsidR="008A4F56">
        <w:rPr>
          <w:sz w:val="24"/>
          <w:szCs w:val="24"/>
        </w:rPr>
        <w:t>(</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A8204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13–15&lt;/sup&gt;","plainTextFormattedCitation":"13–15","previouslyFormattedCitation":"&lt;sup&gt;11,13,14&lt;/sup&gt;"},"properties":{"noteIndex":0},"schema":"https://github.com/citation-style-language/schema/raw/master/csl-citation.json"}</w:instrText>
      </w:r>
      <w:r w:rsidR="00357752" w:rsidRPr="00357752">
        <w:rPr>
          <w:sz w:val="24"/>
          <w:szCs w:val="24"/>
        </w:rPr>
        <w:fldChar w:fldCharType="separate"/>
      </w:r>
      <w:r w:rsidR="00A8204C" w:rsidRPr="00A8204C">
        <w:rPr>
          <w:noProof/>
          <w:sz w:val="24"/>
          <w:szCs w:val="24"/>
          <w:vertAlign w:val="superscript"/>
        </w:rPr>
        <w:t>13–15</w:t>
      </w:r>
      <w:r w:rsidR="00357752" w:rsidRPr="00357752">
        <w:rPr>
          <w:sz w:val="24"/>
          <w:szCs w:val="24"/>
        </w:rPr>
        <w:fldChar w:fldCharType="end"/>
      </w:r>
      <w:r w:rsidR="00357752">
        <w:rPr>
          <w:sz w:val="24"/>
          <w:szCs w:val="24"/>
          <w:lang w:val="da-DK"/>
        </w:rPr>
        <w:t>)</w:t>
      </w:r>
      <w:r w:rsidR="002B54EF" w:rsidRPr="00F03CBB">
        <w:rPr>
          <w:sz w:val="24"/>
          <w:szCs w:val="24"/>
          <w:lang w:val="da-DK"/>
        </w:rPr>
        <w:t xml:space="preserve"> </w:t>
      </w:r>
      <w:r w:rsidR="009B013B">
        <w:rPr>
          <w:sz w:val="24"/>
          <w:szCs w:val="24"/>
          <w:lang w:val="da-DK"/>
        </w:rPr>
        <w:t xml:space="preserve">A </w:t>
      </w:r>
      <w:r w:rsidR="007D2AC1">
        <w:rPr>
          <w:sz w:val="24"/>
          <w:szCs w:val="24"/>
          <w:lang w:val="da-DK"/>
        </w:rPr>
        <w:t xml:space="preserve">ceiling effect precluded </w:t>
      </w:r>
      <w:r w:rsidR="009B013B">
        <w:rPr>
          <w:sz w:val="24"/>
          <w:szCs w:val="24"/>
          <w:lang w:val="da-DK"/>
        </w:rPr>
        <w:t>such an</w:t>
      </w:r>
      <w:r w:rsidR="00335A31" w:rsidRPr="00D84897">
        <w:rPr>
          <w:sz w:val="24"/>
          <w:szCs w:val="24"/>
        </w:rPr>
        <w:t xml:space="preserve"> analysis </w:t>
      </w:r>
      <w:r w:rsidR="009B013B">
        <w:rPr>
          <w:sz w:val="24"/>
          <w:szCs w:val="24"/>
        </w:rPr>
        <w:t>for the</w:t>
      </w:r>
      <w:r w:rsidR="00335A31" w:rsidRPr="00D84897">
        <w:rPr>
          <w:sz w:val="24"/>
          <w:szCs w:val="24"/>
        </w:rPr>
        <w:t xml:space="preserve"> MMSE </w:t>
      </w:r>
      <w:r w:rsidR="004C0581">
        <w:rPr>
          <w:sz w:val="24"/>
          <w:szCs w:val="24"/>
        </w:rPr>
        <w:t>results</w:t>
      </w:r>
      <w:r w:rsidR="00D84897">
        <w:rPr>
          <w:sz w:val="24"/>
          <w:szCs w:val="24"/>
        </w:rPr>
        <w:t xml:space="preserve">. </w:t>
      </w:r>
    </w:p>
    <w:p w14:paraId="15D7A1D2" w14:textId="574E10DC" w:rsidR="0004680F" w:rsidRDefault="0004680F" w:rsidP="0004680F">
      <w:pPr>
        <w:ind w:firstLine="567"/>
        <w:rPr>
          <w:sz w:val="24"/>
          <w:szCs w:val="24"/>
        </w:rPr>
      </w:pPr>
      <w:r>
        <w:rPr>
          <w:sz w:val="24"/>
          <w:szCs w:val="24"/>
        </w:rPr>
        <w:t xml:space="preserve">Using the same method as </w:t>
      </w:r>
      <w:r>
        <w:rPr>
          <w:sz w:val="24"/>
          <w:szCs w:val="24"/>
        </w:rPr>
        <w:fldChar w:fldCharType="begin" w:fldLock="1"/>
      </w:r>
      <w:r>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Function","type":"article-journal","volume":"7"},"uris":["http://www.mendeley.com/documents/?uuid=e65facd4-4f3d-4990-ace1-f7cf7a2c876c"]}],"mendeley":{"formattedCitation":"&lt;sup&gt;11&lt;/sup&gt;","manualFormatting":"Brenkel et al. (2017)","plainTextFormattedCitation":"11","previouslyFormattedCitation":"&lt;sup&gt;15&lt;/sup&gt;"},"properties":{"noteIndex":0},"schema":"https://github.com/citation-style-language/schema/raw/master/csl-citation.json"}</w:instrText>
      </w:r>
      <w:r>
        <w:rPr>
          <w:sz w:val="24"/>
          <w:szCs w:val="24"/>
        </w:rPr>
        <w:fldChar w:fldCharType="separate"/>
      </w:r>
      <w:r>
        <w:rPr>
          <w:noProof/>
          <w:sz w:val="24"/>
          <w:szCs w:val="24"/>
        </w:rPr>
        <w:t>Brenkel et al. (</w:t>
      </w:r>
      <w:r w:rsidRPr="00D96A08">
        <w:rPr>
          <w:noProof/>
          <w:sz w:val="24"/>
          <w:szCs w:val="24"/>
        </w:rPr>
        <w:t>2017)</w:t>
      </w:r>
      <w:r>
        <w:rPr>
          <w:sz w:val="24"/>
          <w:szCs w:val="24"/>
        </w:rPr>
        <w:fldChar w:fldCharType="end"/>
      </w:r>
      <w:r>
        <w:rPr>
          <w:sz w:val="24"/>
          <w:szCs w:val="24"/>
        </w:rPr>
        <w:t xml:space="preserve">, each participant in the borderline </w:t>
      </w:r>
      <w:r w:rsidR="009B013B">
        <w:rPr>
          <w:sz w:val="24"/>
          <w:szCs w:val="24"/>
        </w:rPr>
        <w:t xml:space="preserve">MoCA </w:t>
      </w:r>
      <w:r>
        <w:rPr>
          <w:sz w:val="24"/>
          <w:szCs w:val="24"/>
        </w:rPr>
        <w:t xml:space="preserve">group </w:t>
      </w:r>
      <w:r w:rsidR="009B013B">
        <w:rPr>
          <w:sz w:val="24"/>
          <w:szCs w:val="24"/>
        </w:rPr>
        <w:t xml:space="preserve">(N=14) </w:t>
      </w:r>
      <w:r>
        <w:rPr>
          <w:sz w:val="24"/>
          <w:szCs w:val="24"/>
        </w:rPr>
        <w:t>was reallocated to either the impaired or unimpaired groups based on their CBS test scores as follows: If the participant’s score on one of the 12 tasks was less than or equal to the average score of the impaired group (on that task) they were categorized as impaired. If their score on a particular task was greater than or equal to the average score of the unimpaired group (on that task) they were classified as unimpaired. If their score fell between the average scores of the impaired and unimpaired groups they remained classified as borderline. This procedure was conducted for each individual CBS test as well as all possible combinations</w:t>
      </w:r>
      <w:r w:rsidR="009B013B">
        <w:rPr>
          <w:sz w:val="24"/>
          <w:szCs w:val="24"/>
        </w:rPr>
        <w:t xml:space="preserve"> of tests</w:t>
      </w:r>
      <w:r>
        <w:rPr>
          <w:sz w:val="24"/>
          <w:szCs w:val="24"/>
        </w:rPr>
        <w:t xml:space="preserve">. When multiple tests were used, participants were only categorized if categorization was consistent across all tests in the combination. </w:t>
      </w:r>
    </w:p>
    <w:p w14:paraId="1153B1FA" w14:textId="7B9D216C" w:rsidR="00960595" w:rsidRDefault="00705A43" w:rsidP="00960595">
      <w:pPr>
        <w:jc w:val="center"/>
        <w:rPr>
          <w:sz w:val="24"/>
          <w:szCs w:val="24"/>
        </w:rPr>
      </w:pPr>
      <w:r>
        <w:rPr>
          <w:sz w:val="24"/>
          <w:szCs w:val="24"/>
        </w:rPr>
        <w:t>***Figure 1</w:t>
      </w:r>
      <w:bookmarkStart w:id="1" w:name="_GoBack"/>
      <w:bookmarkEnd w:id="1"/>
      <w:r>
        <w:rPr>
          <w:sz w:val="24"/>
          <w:szCs w:val="24"/>
        </w:rPr>
        <w:t xml:space="preserve"> about here please ***</w:t>
      </w:r>
    </w:p>
    <w:p w14:paraId="2DEB3C8B" w14:textId="1E1FD2E6" w:rsidR="0004680F" w:rsidRPr="0004680F" w:rsidRDefault="0004680F" w:rsidP="0004680F">
      <w:pPr>
        <w:rPr>
          <w:sz w:val="20"/>
          <w:szCs w:val="20"/>
        </w:rPr>
      </w:pPr>
      <w:r w:rsidRPr="0004680F">
        <w:rPr>
          <w:rFonts w:cs="ArialMT"/>
          <w:sz w:val="20"/>
          <w:szCs w:val="20"/>
        </w:rPr>
        <w:t xml:space="preserve">Figure 1. </w:t>
      </w:r>
      <w:r w:rsidR="00760217">
        <w:rPr>
          <w:rFonts w:cs="ArialMT"/>
          <w:sz w:val="20"/>
          <w:szCs w:val="20"/>
        </w:rPr>
        <w:t>The proportion of participants categorized as unimpaired, impaired, or borderline is shown. The MoCA alone categorizes 72% of participants leaving 28% in the borderlin</w:t>
      </w:r>
      <w:r w:rsidR="00C52968">
        <w:rPr>
          <w:rFonts w:cs="ArialMT"/>
          <w:sz w:val="20"/>
          <w:szCs w:val="20"/>
        </w:rPr>
        <w:t>e</w:t>
      </w:r>
      <w:r w:rsidR="00B21BF0">
        <w:rPr>
          <w:rFonts w:cs="ArialMT"/>
          <w:sz w:val="20"/>
          <w:szCs w:val="20"/>
        </w:rPr>
        <w:t xml:space="preserve"> category. The addition of the Spatial P</w:t>
      </w:r>
      <w:r w:rsidR="00C52968">
        <w:rPr>
          <w:rFonts w:cs="ArialMT"/>
          <w:sz w:val="20"/>
          <w:szCs w:val="20"/>
        </w:rPr>
        <w:t xml:space="preserve">lanning task categorizes 92% of participants leaving only 8% in the borderline category. The MMSE scores are at ceiling and are not informative in this population. </w:t>
      </w:r>
    </w:p>
    <w:p w14:paraId="5B04FCA9" w14:textId="1EF51562" w:rsidR="00E53396" w:rsidRDefault="009B013B" w:rsidP="00ED0E30">
      <w:pPr>
        <w:ind w:firstLine="567"/>
        <w:rPr>
          <w:sz w:val="24"/>
          <w:szCs w:val="24"/>
        </w:rPr>
      </w:pPr>
      <w:r>
        <w:rPr>
          <w:sz w:val="24"/>
          <w:szCs w:val="24"/>
        </w:rPr>
        <w:t xml:space="preserve">Using </w:t>
      </w:r>
      <w:r w:rsidR="00B92BDA">
        <w:rPr>
          <w:sz w:val="24"/>
          <w:szCs w:val="24"/>
        </w:rPr>
        <w:t xml:space="preserve">the MoCA </w:t>
      </w:r>
      <w:r>
        <w:rPr>
          <w:sz w:val="24"/>
          <w:szCs w:val="24"/>
        </w:rPr>
        <w:t xml:space="preserve">score </w:t>
      </w:r>
      <w:r w:rsidR="00B92BDA">
        <w:rPr>
          <w:sz w:val="24"/>
          <w:szCs w:val="24"/>
        </w:rPr>
        <w:t xml:space="preserve">alone, </w:t>
      </w:r>
      <w:r w:rsidR="0004680F">
        <w:rPr>
          <w:sz w:val="24"/>
          <w:szCs w:val="24"/>
        </w:rPr>
        <w:t>72</w:t>
      </w:r>
      <w:r w:rsidR="00B92BDA">
        <w:rPr>
          <w:sz w:val="24"/>
          <w:szCs w:val="24"/>
        </w:rPr>
        <w:t>% of participants were classified</w:t>
      </w:r>
      <w:r w:rsidR="00145389">
        <w:rPr>
          <w:sz w:val="24"/>
          <w:szCs w:val="24"/>
        </w:rPr>
        <w:t xml:space="preserve"> as impaired</w:t>
      </w:r>
      <w:r w:rsidR="00F87D96">
        <w:rPr>
          <w:sz w:val="24"/>
          <w:szCs w:val="24"/>
        </w:rPr>
        <w:t xml:space="preserve"> (scores</w:t>
      </w:r>
      <w:r w:rsidR="00E47048">
        <w:rPr>
          <w:sz w:val="24"/>
          <w:szCs w:val="24"/>
        </w:rPr>
        <w:t xml:space="preserve"> </w:t>
      </w:r>
      <w:r w:rsidR="00E47048">
        <w:rPr>
          <w:rFonts w:ascii="Calibri" w:hAnsi="Calibri"/>
          <w:sz w:val="24"/>
          <w:szCs w:val="24"/>
        </w:rPr>
        <w:t>≤</w:t>
      </w:r>
      <w:r w:rsidR="00E47048">
        <w:rPr>
          <w:sz w:val="24"/>
          <w:szCs w:val="24"/>
        </w:rPr>
        <w:t xml:space="preserve"> </w:t>
      </w:r>
      <w:r w:rsidR="00F87D96">
        <w:rPr>
          <w:sz w:val="24"/>
          <w:szCs w:val="24"/>
        </w:rPr>
        <w:t>22)</w:t>
      </w:r>
      <w:r w:rsidR="00145389">
        <w:rPr>
          <w:sz w:val="24"/>
          <w:szCs w:val="24"/>
        </w:rPr>
        <w:t xml:space="preserve"> or unimpaired</w:t>
      </w:r>
      <w:r w:rsidR="00F87D96">
        <w:rPr>
          <w:sz w:val="24"/>
          <w:szCs w:val="24"/>
        </w:rPr>
        <w:t xml:space="preserve"> (</w:t>
      </w:r>
      <w:r>
        <w:rPr>
          <w:sz w:val="24"/>
          <w:szCs w:val="24"/>
        </w:rPr>
        <w:t xml:space="preserve">scores </w:t>
      </w:r>
      <w:r w:rsidR="00E47048">
        <w:rPr>
          <w:rFonts w:ascii="Calibri" w:hAnsi="Calibri"/>
          <w:sz w:val="24"/>
          <w:szCs w:val="24"/>
        </w:rPr>
        <w:t>≥</w:t>
      </w:r>
      <w:r>
        <w:rPr>
          <w:sz w:val="24"/>
          <w:szCs w:val="24"/>
        </w:rPr>
        <w:t xml:space="preserve"> </w:t>
      </w:r>
      <w:r w:rsidR="00F87D96">
        <w:rPr>
          <w:sz w:val="24"/>
          <w:szCs w:val="24"/>
        </w:rPr>
        <w:t>26)</w:t>
      </w:r>
      <w:r w:rsidR="00B92BDA">
        <w:rPr>
          <w:sz w:val="24"/>
          <w:szCs w:val="24"/>
        </w:rPr>
        <w:t xml:space="preserve">. Adding </w:t>
      </w:r>
      <w:r w:rsidR="005761F9">
        <w:rPr>
          <w:sz w:val="24"/>
          <w:szCs w:val="24"/>
        </w:rPr>
        <w:t xml:space="preserve">one </w:t>
      </w:r>
      <w:r w:rsidR="00B92BDA">
        <w:rPr>
          <w:sz w:val="24"/>
          <w:szCs w:val="24"/>
        </w:rPr>
        <w:t xml:space="preserve">CBS </w:t>
      </w:r>
      <w:r w:rsidR="005761F9">
        <w:rPr>
          <w:sz w:val="24"/>
          <w:szCs w:val="24"/>
        </w:rPr>
        <w:t xml:space="preserve">test (Spatial Planning) increased categorization </w:t>
      </w:r>
      <w:r w:rsidR="00A201BD">
        <w:rPr>
          <w:sz w:val="24"/>
          <w:szCs w:val="24"/>
        </w:rPr>
        <w:t>the most</w:t>
      </w:r>
      <w:r w:rsidR="005D7AF8">
        <w:rPr>
          <w:sz w:val="24"/>
          <w:szCs w:val="24"/>
        </w:rPr>
        <w:t xml:space="preserve"> (92</w:t>
      </w:r>
      <w:r w:rsidR="00671D30">
        <w:rPr>
          <w:sz w:val="24"/>
          <w:szCs w:val="24"/>
        </w:rPr>
        <w:t xml:space="preserve">%), </w:t>
      </w:r>
      <w:r w:rsidR="005D7AF8">
        <w:rPr>
          <w:sz w:val="24"/>
          <w:szCs w:val="24"/>
        </w:rPr>
        <w:t>leaving only 4</w:t>
      </w:r>
      <w:r w:rsidR="004C0581">
        <w:rPr>
          <w:sz w:val="24"/>
          <w:szCs w:val="24"/>
        </w:rPr>
        <w:t xml:space="preserve"> participants</w:t>
      </w:r>
      <w:r w:rsidR="00A201BD">
        <w:rPr>
          <w:sz w:val="24"/>
          <w:szCs w:val="24"/>
        </w:rPr>
        <w:t xml:space="preserve"> in the borderline group</w:t>
      </w:r>
      <w:r w:rsidR="0004680F">
        <w:rPr>
          <w:sz w:val="24"/>
          <w:szCs w:val="24"/>
        </w:rPr>
        <w:t xml:space="preserve"> (See Figure 1)</w:t>
      </w:r>
      <w:r w:rsidR="00A201BD">
        <w:rPr>
          <w:sz w:val="24"/>
          <w:szCs w:val="24"/>
        </w:rPr>
        <w:t xml:space="preserve">. </w:t>
      </w:r>
      <w:r w:rsidR="00B92BDA">
        <w:rPr>
          <w:sz w:val="24"/>
          <w:szCs w:val="24"/>
        </w:rPr>
        <w:t xml:space="preserve">This was not </w:t>
      </w:r>
      <w:r w:rsidR="004D1BC9">
        <w:rPr>
          <w:sz w:val="24"/>
          <w:szCs w:val="24"/>
        </w:rPr>
        <w:t xml:space="preserve">simply </w:t>
      </w:r>
      <w:r w:rsidR="00B92BDA">
        <w:rPr>
          <w:sz w:val="24"/>
          <w:szCs w:val="24"/>
        </w:rPr>
        <w:t>because Spatial Planning was the most difficult test, as the</w:t>
      </w:r>
      <w:r w:rsidR="00754655">
        <w:rPr>
          <w:sz w:val="24"/>
          <w:szCs w:val="24"/>
        </w:rPr>
        <w:t xml:space="preserve"> equally difficult </w:t>
      </w:r>
      <w:r w:rsidR="001B71A9">
        <w:rPr>
          <w:sz w:val="24"/>
          <w:szCs w:val="24"/>
        </w:rPr>
        <w:t>Spatial Span</w:t>
      </w:r>
      <w:r w:rsidR="00B92BDA">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sidR="00B92BDA">
        <w:rPr>
          <w:sz w:val="24"/>
          <w:szCs w:val="24"/>
        </w:rPr>
        <w:t xml:space="preserve">from </w:t>
      </w:r>
      <w:r w:rsidR="00754655">
        <w:rPr>
          <w:sz w:val="24"/>
          <w:szCs w:val="24"/>
        </w:rPr>
        <w:t xml:space="preserve">an unrelated study </w:t>
      </w:r>
      <w:r w:rsidR="00B92BDA">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6E044C6D"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 xml:space="preserve">&lt;0.001; see </w:t>
      </w:r>
      <w:r w:rsidR="006F32CF">
        <w:rPr>
          <w:sz w:val="24"/>
          <w:szCs w:val="24"/>
        </w:rPr>
        <w:t>Supplementary Figure 2</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4E80FB8" w14:textId="4601FE1E" w:rsidR="000968A2" w:rsidRDefault="00357752" w:rsidP="000968A2">
      <w:pPr>
        <w:tabs>
          <w:tab w:val="left" w:pos="709"/>
        </w:tabs>
        <w:ind w:firstLine="567"/>
        <w:rPr>
          <w:sz w:val="24"/>
          <w:szCs w:val="24"/>
        </w:rPr>
      </w:pPr>
      <w:r>
        <w:rPr>
          <w:sz w:val="24"/>
          <w:szCs w:val="24"/>
        </w:rPr>
        <w:t xml:space="preserve">The goal of this study was to </w:t>
      </w:r>
      <w:r w:rsidR="00271EA0">
        <w:rPr>
          <w:sz w:val="24"/>
          <w:szCs w:val="24"/>
        </w:rPr>
        <w:t xml:space="preserve">evaluate </w:t>
      </w:r>
      <w:r w:rsidR="004D1BC9">
        <w:rPr>
          <w:sz w:val="24"/>
          <w:szCs w:val="24"/>
        </w:rPr>
        <w:t>whether</w:t>
      </w:r>
      <w:r w:rsidR="00FB4347">
        <w:rPr>
          <w:sz w:val="24"/>
          <w:szCs w:val="24"/>
        </w:rPr>
        <w:t xml:space="preserve"> cognitive testing and screening for dementia </w:t>
      </w:r>
      <w:r w:rsidR="004D1BC9">
        <w:rPr>
          <w:sz w:val="24"/>
          <w:szCs w:val="24"/>
        </w:rPr>
        <w:t xml:space="preserve">could be improved </w:t>
      </w:r>
      <w:r w:rsidR="00FB4347">
        <w:rPr>
          <w:sz w:val="24"/>
          <w:szCs w:val="24"/>
        </w:rPr>
        <w:t>using a novel online test battery.</w:t>
      </w:r>
      <w:r w:rsidR="000968A2">
        <w:rPr>
          <w:sz w:val="24"/>
          <w:szCs w:val="24"/>
        </w:rPr>
        <w:t xml:space="preserve"> Dementia is highly underdiagnosed and a testing platform such as the CBS testing battery could help primary care physicians flag potential cognitive decline and serve as a signal that more in-depth cognitive testing is warranted. This easy to use, independently completed cognitive testing battery could regularly be administered on a portable computer prior to seeing a physician. This novel testing platform could flag potential cognitive decline and serve as a signal to the primary care physician that more in-depth cognitive testing is warranted. Given the rates of undiagnosed dementia, such screening measures could allow physicians to more accurately diagnose dementia in their patients. </w:t>
      </w:r>
    </w:p>
    <w:p w14:paraId="6D168735" w14:textId="273F87E4" w:rsidR="00755E68" w:rsidRDefault="00357752" w:rsidP="00FB4347">
      <w:pPr>
        <w:tabs>
          <w:tab w:val="left" w:pos="709"/>
        </w:tabs>
        <w:ind w:firstLine="567"/>
        <w:rPr>
          <w:sz w:val="24"/>
          <w:szCs w:val="24"/>
        </w:rPr>
      </w:pPr>
      <w:r>
        <w:rPr>
          <w:sz w:val="24"/>
          <w:szCs w:val="24"/>
        </w:rPr>
        <w:t>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w:t>
      </w:r>
      <w:r w:rsidR="005B3F20">
        <w:rPr>
          <w:sz w:val="24"/>
          <w:szCs w:val="24"/>
        </w:rPr>
        <w:t>one computerized test</w:t>
      </w:r>
      <w:r w:rsidR="00917C73">
        <w:rPr>
          <w:sz w:val="24"/>
          <w:szCs w:val="24"/>
        </w:rPr>
        <w:t xml:space="preserve"> of </w:t>
      </w:r>
      <w:r w:rsidR="00145389">
        <w:rPr>
          <w:sz w:val="24"/>
          <w:szCs w:val="24"/>
        </w:rPr>
        <w:t>Spatial Planning,</w:t>
      </w:r>
      <w:r w:rsidR="005B3F20">
        <w:rPr>
          <w:sz w:val="24"/>
          <w:szCs w:val="24"/>
        </w:rPr>
        <w:t xml:space="preserve"> </w:t>
      </w:r>
      <w:r w:rsidR="00917C73">
        <w:rPr>
          <w:sz w:val="24"/>
          <w:szCs w:val="24"/>
        </w:rPr>
        <w:t xml:space="preserve">when considered </w:t>
      </w:r>
      <w:r w:rsidR="005B3F20">
        <w:rPr>
          <w:sz w:val="24"/>
          <w:szCs w:val="24"/>
        </w:rPr>
        <w:t>in conjunction with the</w:t>
      </w:r>
      <w:r w:rsidR="00A955D4">
        <w:rPr>
          <w:sz w:val="24"/>
          <w:szCs w:val="24"/>
        </w:rPr>
        <w:t xml:space="preserve"> </w:t>
      </w:r>
      <w:r w:rsidR="00AB7B13">
        <w:rPr>
          <w:sz w:val="24"/>
          <w:szCs w:val="24"/>
        </w:rPr>
        <w:t>MoCA</w:t>
      </w:r>
      <w:r w:rsidR="00917C73">
        <w:rPr>
          <w:sz w:val="24"/>
          <w:szCs w:val="24"/>
        </w:rPr>
        <w:t xml:space="preserve"> score</w:t>
      </w:r>
      <w:r w:rsidR="00145389">
        <w:rPr>
          <w:sz w:val="24"/>
          <w:szCs w:val="24"/>
        </w:rPr>
        <w:t>,</w:t>
      </w:r>
      <w:r w:rsidR="005B3F20">
        <w:rPr>
          <w:sz w:val="24"/>
          <w:szCs w:val="24"/>
        </w:rPr>
        <w:t xml:space="preserve"> </w:t>
      </w:r>
      <w:r w:rsidR="00145389">
        <w:rPr>
          <w:sz w:val="24"/>
          <w:szCs w:val="24"/>
        </w:rPr>
        <w:t>classified</w:t>
      </w:r>
      <w:r w:rsidR="004F4341">
        <w:rPr>
          <w:sz w:val="24"/>
          <w:szCs w:val="24"/>
        </w:rPr>
        <w:t xml:space="preserve"> 92</w:t>
      </w:r>
      <w:r w:rsidR="00AB7B13">
        <w:rPr>
          <w:sz w:val="24"/>
          <w:szCs w:val="24"/>
        </w:rPr>
        <w:t>%</w:t>
      </w:r>
      <w:r w:rsidR="001F156D">
        <w:rPr>
          <w:sz w:val="24"/>
          <w:szCs w:val="24"/>
        </w:rPr>
        <w:t xml:space="preserve"> of participants as impaired or unimpaired (compared to </w:t>
      </w:r>
      <w:r w:rsidR="004F4341">
        <w:rPr>
          <w:sz w:val="24"/>
          <w:szCs w:val="24"/>
        </w:rPr>
        <w:t>72</w:t>
      </w:r>
      <w:r w:rsidR="00145389">
        <w:rPr>
          <w:sz w:val="24"/>
          <w:szCs w:val="24"/>
        </w:rPr>
        <w:t xml:space="preserve">% </w:t>
      </w:r>
      <w:r w:rsidR="00917C73">
        <w:rPr>
          <w:sz w:val="24"/>
          <w:szCs w:val="24"/>
        </w:rPr>
        <w:t xml:space="preserve">using </w:t>
      </w:r>
      <w:r w:rsidR="001F156D">
        <w:rPr>
          <w:sz w:val="24"/>
          <w:szCs w:val="24"/>
        </w:rPr>
        <w:t>the MoCA</w:t>
      </w:r>
      <w:r w:rsidR="00AB7B13">
        <w:rPr>
          <w:sz w:val="24"/>
          <w:szCs w:val="24"/>
        </w:rPr>
        <w:t xml:space="preserve"> </w:t>
      </w:r>
      <w:r w:rsidR="00917C73">
        <w:rPr>
          <w:sz w:val="24"/>
          <w:szCs w:val="24"/>
        </w:rPr>
        <w:t xml:space="preserve">score </w:t>
      </w:r>
      <w:r w:rsidR="00AB7B13">
        <w:rPr>
          <w:sz w:val="24"/>
          <w:szCs w:val="24"/>
        </w:rPr>
        <w:t>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w:t>
      </w:r>
      <w:r w:rsidR="00917C73">
        <w:rPr>
          <w:sz w:val="24"/>
          <w:szCs w:val="24"/>
        </w:rPr>
        <w:t xml:space="preserve">the </w:t>
      </w:r>
      <w:r w:rsidR="000E0916">
        <w:rPr>
          <w:sz w:val="24"/>
          <w:szCs w:val="24"/>
        </w:rPr>
        <w:t xml:space="preserve">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57BFBC8C"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sidR="00B7619B">
        <w:rPr>
          <w:sz w:val="24"/>
          <w:szCs w:val="24"/>
        </w:rPr>
        <w:t>=0.74). T</w:t>
      </w:r>
      <w:r w:rsidR="00B7619B">
        <w:rPr>
          <w:sz w:val="24"/>
          <w:szCs w:val="24"/>
        </w:rPr>
        <w:t>hese three tests may be an effective way to track cognitive changes in aging adults over time, independent of the MoCA itself</w:t>
      </w:r>
      <w:r w:rsidR="00B7619B">
        <w:rPr>
          <w:sz w:val="24"/>
          <w:szCs w:val="24"/>
        </w:rPr>
        <w:t xml:space="preserve"> because the CBS tests are designed to be taken multiple times without repetition effects, can be self-administered, and are quick and easy to perform. </w:t>
      </w:r>
    </w:p>
    <w:p w14:paraId="5762C1B9" w14:textId="1AB6177B"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A8204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17&lt;/sup&gt;","plainTextFormattedCitation":"17","previouslyFormattedCitation":"&lt;sup&gt;17&lt;/sup&gt;"},"properties":{"noteIndex":0},"schema":"https://github.com/citation-style-language/schema/raw/master/csl-citation.json"}</w:instrText>
      </w:r>
      <w:r w:rsidR="00EC2EBD">
        <w:rPr>
          <w:sz w:val="24"/>
          <w:szCs w:val="24"/>
        </w:rPr>
        <w:fldChar w:fldCharType="separate"/>
      </w:r>
      <w:r w:rsidR="00FF132D" w:rsidRPr="00FF132D">
        <w:rPr>
          <w:noProof/>
          <w:sz w:val="24"/>
          <w:szCs w:val="24"/>
          <w:vertAlign w:val="superscript"/>
        </w:rPr>
        <w:t>17</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5CDC1E35" w:rsidR="000F1256" w:rsidRDefault="00614F76" w:rsidP="009D529F">
      <w:pPr>
        <w:tabs>
          <w:tab w:val="left" w:pos="709"/>
        </w:tabs>
        <w:ind w:firstLine="567"/>
        <w:rPr>
          <w:sz w:val="24"/>
          <w:szCs w:val="24"/>
        </w:rPr>
      </w:pPr>
      <w:r>
        <w:rPr>
          <w:sz w:val="24"/>
          <w:szCs w:val="24"/>
        </w:rPr>
        <w:t xml:space="preserve">The </w:t>
      </w:r>
      <w:r w:rsidR="00BC5197">
        <w:rPr>
          <w:sz w:val="24"/>
          <w:szCs w:val="24"/>
        </w:rPr>
        <w:t xml:space="preserve">results of the </w:t>
      </w:r>
      <w:r>
        <w:rPr>
          <w:sz w:val="24"/>
          <w:szCs w:val="24"/>
        </w:rPr>
        <w:t xml:space="preserve">current study indicate that an online testing battery </w:t>
      </w:r>
      <w:r w:rsidR="00BC5197">
        <w:rPr>
          <w:sz w:val="24"/>
          <w:szCs w:val="24"/>
        </w:rPr>
        <w:t>such as</w:t>
      </w:r>
      <w:r>
        <w:rPr>
          <w:sz w:val="24"/>
          <w:szCs w:val="24"/>
        </w:rPr>
        <w:t xml:space="preserve"> the CBS </w:t>
      </w:r>
      <w:r w:rsidR="00BC5197">
        <w:rPr>
          <w:sz w:val="24"/>
          <w:szCs w:val="24"/>
        </w:rPr>
        <w:t xml:space="preserve">platform </w:t>
      </w:r>
      <w:r>
        <w:rPr>
          <w:sz w:val="24"/>
          <w:szCs w:val="24"/>
        </w:rPr>
        <w:t xml:space="preserve">could be used to efficiently </w:t>
      </w:r>
      <w:r w:rsidR="0020386A">
        <w:rPr>
          <w:sz w:val="24"/>
          <w:szCs w:val="24"/>
        </w:rPr>
        <w:t>screen for and monitor</w:t>
      </w:r>
      <w:r>
        <w:rPr>
          <w:sz w:val="24"/>
          <w:szCs w:val="24"/>
        </w:rPr>
        <w:t xml:space="preserve"> cognitive changes in </w:t>
      </w:r>
      <w:r w:rsidR="00BC5197">
        <w:rPr>
          <w:sz w:val="24"/>
          <w:szCs w:val="24"/>
        </w:rPr>
        <w:t xml:space="preserve">cognition in </w:t>
      </w:r>
      <w:r>
        <w:rPr>
          <w:sz w:val="24"/>
          <w:szCs w:val="24"/>
        </w:rPr>
        <w:t xml:space="preserve">older adults. To move towards the </w:t>
      </w:r>
      <w:r w:rsidR="00BC5197">
        <w:rPr>
          <w:sz w:val="24"/>
          <w:szCs w:val="24"/>
        </w:rPr>
        <w:t xml:space="preserve">widespread </w:t>
      </w:r>
      <w:r>
        <w:rPr>
          <w:sz w:val="24"/>
          <w:szCs w:val="24"/>
        </w:rPr>
        <w:t>clinical implementation of such a testing battery, more work needs to be done to determine the sensitivity and specificity for the CBS tests</w:t>
      </w:r>
      <w:r w:rsidR="00BC5197">
        <w:rPr>
          <w:sz w:val="24"/>
          <w:szCs w:val="24"/>
        </w:rPr>
        <w:t xml:space="preserve"> and this will be the focus of future studies using </w:t>
      </w:r>
      <w:r w:rsidR="005F5FCA">
        <w:rPr>
          <w:sz w:val="24"/>
          <w:szCs w:val="24"/>
        </w:rPr>
        <w:t>large</w:t>
      </w:r>
      <w:r w:rsidR="00BC5197">
        <w:rPr>
          <w:sz w:val="24"/>
          <w:szCs w:val="24"/>
        </w:rPr>
        <w:t>r</w:t>
      </w:r>
      <w:r w:rsidR="005F5FCA">
        <w:rPr>
          <w:sz w:val="24"/>
          <w:szCs w:val="24"/>
        </w:rPr>
        <w:t xml:space="preserv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with known diagnoses</w:t>
      </w:r>
      <w:r w:rsidR="00BC5197">
        <w:rPr>
          <w:sz w:val="24"/>
          <w:szCs w:val="24"/>
        </w:rPr>
        <w:t xml:space="preserve">. </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46BBFEA"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Inc, of which Dr. Owen is the </w:t>
      </w:r>
      <w:r w:rsidR="00BC5197">
        <w:rPr>
          <w:rFonts w:cs="ArialMT"/>
          <w:sz w:val="24"/>
          <w:szCs w:val="24"/>
          <w:lang w:val="en-US"/>
        </w:rPr>
        <w:t xml:space="preserve">unpaid </w:t>
      </w:r>
      <w:r w:rsidRPr="001229F7">
        <w:rPr>
          <w:rFonts w:cs="ArialMT"/>
          <w:sz w:val="24"/>
          <w:szCs w:val="24"/>
          <w:lang w:val="en-US"/>
        </w:rPr>
        <w:t>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5246A254" w14:textId="0FDECEAF" w:rsidR="00B25F24" w:rsidRPr="00B25F24" w:rsidRDefault="00B25F24" w:rsidP="00B77C7E">
      <w:pPr>
        <w:rPr>
          <w:rFonts w:cs="ArialMT"/>
          <w:b/>
          <w:sz w:val="24"/>
          <w:szCs w:val="24"/>
          <w:lang w:val="en-US"/>
        </w:rPr>
      </w:pPr>
      <w:r w:rsidRPr="00B25F24">
        <w:rPr>
          <w:rFonts w:cs="ArialMT"/>
          <w:b/>
          <w:sz w:val="24"/>
          <w:szCs w:val="24"/>
          <w:lang w:val="en-US"/>
        </w:rPr>
        <w:t>Funding</w:t>
      </w:r>
    </w:p>
    <w:p w14:paraId="45F98136" w14:textId="290CBD37" w:rsidR="00B25F24" w:rsidRDefault="00B25F24" w:rsidP="00B77C7E">
      <w:pPr>
        <w:rPr>
          <w:rFonts w:cs="ArialMT"/>
          <w:sz w:val="24"/>
          <w:szCs w:val="24"/>
          <w:lang w:val="en-US"/>
        </w:rPr>
      </w:pPr>
      <w:r>
        <w:rPr>
          <w:rFonts w:cs="ArialMT"/>
          <w:sz w:val="24"/>
          <w:szCs w:val="24"/>
        </w:rPr>
        <w:t>This project was supported by the National Science and Engineering Research Council [418550/2012] and the Canada Excellence Research Chairs Program [#215063].</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513250F8" w14:textId="17FB72C8" w:rsidR="00A8204C" w:rsidRPr="00A8204C" w:rsidRDefault="00741BE1" w:rsidP="00A8204C">
      <w:pPr>
        <w:widowControl w:val="0"/>
        <w:autoSpaceDE w:val="0"/>
        <w:autoSpaceDN w:val="0"/>
        <w:adjustRightInd w:val="0"/>
        <w:spacing w:line="240" w:lineRule="auto"/>
        <w:ind w:left="640" w:hanging="64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A8204C" w:rsidRPr="00A8204C">
        <w:rPr>
          <w:rFonts w:ascii="Calibri" w:hAnsi="Calibri"/>
          <w:noProof/>
          <w:sz w:val="24"/>
          <w:szCs w:val="24"/>
          <w:lang w:val="en-US"/>
        </w:rPr>
        <w:t xml:space="preserve">1. </w:t>
      </w:r>
      <w:r w:rsidR="00A8204C" w:rsidRPr="00A8204C">
        <w:rPr>
          <w:rFonts w:ascii="Calibri" w:hAnsi="Calibri"/>
          <w:noProof/>
          <w:sz w:val="24"/>
          <w:szCs w:val="24"/>
          <w:lang w:val="en-US"/>
        </w:rPr>
        <w:tab/>
        <w:t xml:space="preserve">Connolly A, Gaehl E, Martin H, Morris J, Purandare N. Underdiagnosis of dementia in primary care: Variations in the observed prevalence and comparisons to the expected prevalence. </w:t>
      </w:r>
      <w:r w:rsidR="00A8204C" w:rsidRPr="00A8204C">
        <w:rPr>
          <w:rFonts w:ascii="Calibri" w:hAnsi="Calibri"/>
          <w:i/>
          <w:iCs/>
          <w:noProof/>
          <w:sz w:val="24"/>
          <w:szCs w:val="24"/>
          <w:lang w:val="en-US"/>
        </w:rPr>
        <w:t>Aging Ment Heal</w:t>
      </w:r>
      <w:r w:rsidR="00A8204C" w:rsidRPr="00A8204C">
        <w:rPr>
          <w:rFonts w:ascii="Calibri" w:hAnsi="Calibri"/>
          <w:noProof/>
          <w:sz w:val="24"/>
          <w:szCs w:val="24"/>
          <w:lang w:val="en-US"/>
        </w:rPr>
        <w:t>. 2011;15(8):978-984. doi:10.1080/13607863.2011.596805.</w:t>
      </w:r>
    </w:p>
    <w:p w14:paraId="125913A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2. </w:t>
      </w:r>
      <w:r w:rsidRPr="00A8204C">
        <w:rPr>
          <w:rFonts w:ascii="Calibri" w:hAnsi="Calibri"/>
          <w:noProof/>
          <w:sz w:val="24"/>
          <w:szCs w:val="24"/>
          <w:lang w:val="en-US"/>
        </w:rPr>
        <w:tab/>
        <w:t xml:space="preserve">Lang L, Clifford A, Wei L, et al. Prevalence and determinants of undetected dementia in the community: A systematic literature review and a meta-analysis. </w:t>
      </w:r>
      <w:r w:rsidRPr="00A8204C">
        <w:rPr>
          <w:rFonts w:ascii="Calibri" w:hAnsi="Calibri"/>
          <w:i/>
          <w:iCs/>
          <w:noProof/>
          <w:sz w:val="24"/>
          <w:szCs w:val="24"/>
          <w:lang w:val="en-US"/>
        </w:rPr>
        <w:t>BMJ Open</w:t>
      </w:r>
      <w:r w:rsidRPr="00A8204C">
        <w:rPr>
          <w:rFonts w:ascii="Calibri" w:hAnsi="Calibri"/>
          <w:noProof/>
          <w:sz w:val="24"/>
          <w:szCs w:val="24"/>
          <w:lang w:val="en-US"/>
        </w:rPr>
        <w:t>. 2017;7(2):1-8. doi:10.1136/bmjopen-2016-011146.</w:t>
      </w:r>
    </w:p>
    <w:p w14:paraId="7E530A0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3. </w:t>
      </w:r>
      <w:r w:rsidRPr="00A8204C">
        <w:rPr>
          <w:rFonts w:ascii="Calibri" w:hAnsi="Calibri"/>
          <w:noProof/>
          <w:sz w:val="24"/>
          <w:szCs w:val="24"/>
          <w:lang w:val="en-US"/>
        </w:rPr>
        <w:tab/>
        <w:t xml:space="preserve">Valcour VG, Masaki KH, Curb JD, Blanchette PL. The detection of dementia in the primary care setting. </w:t>
      </w:r>
      <w:r w:rsidRPr="00A8204C">
        <w:rPr>
          <w:rFonts w:ascii="Calibri" w:hAnsi="Calibri"/>
          <w:i/>
          <w:iCs/>
          <w:noProof/>
          <w:sz w:val="24"/>
          <w:szCs w:val="24"/>
          <w:lang w:val="en-US"/>
        </w:rPr>
        <w:t>Arch Intern Med</w:t>
      </w:r>
      <w:r w:rsidRPr="00A8204C">
        <w:rPr>
          <w:rFonts w:ascii="Calibri" w:hAnsi="Calibri"/>
          <w:noProof/>
          <w:sz w:val="24"/>
          <w:szCs w:val="24"/>
          <w:lang w:val="en-US"/>
        </w:rPr>
        <w:t>. 2000;160(19):2964-2968. doi:10.1001/archinte.160.19.2964.</w:t>
      </w:r>
    </w:p>
    <w:p w14:paraId="52B3FEF6"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4. </w:t>
      </w:r>
      <w:r w:rsidRPr="00A8204C">
        <w:rPr>
          <w:rFonts w:ascii="Calibri" w:hAnsi="Calibri"/>
          <w:noProof/>
          <w:sz w:val="24"/>
          <w:szCs w:val="24"/>
          <w:lang w:val="en-US"/>
        </w:rPr>
        <w:tab/>
        <w:t xml:space="preserve">Ballard CG, Shaw F, Lowery K, McKeith I, Kenny R. The prevalence, assessment and associations of falls in dementia with Lewy bodies and Alzheimer’s Disease.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1999;10:97-103.</w:t>
      </w:r>
    </w:p>
    <w:p w14:paraId="5E4916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5. </w:t>
      </w:r>
      <w:r w:rsidRPr="00A8204C">
        <w:rPr>
          <w:rFonts w:ascii="Calibri" w:hAnsi="Calibri"/>
          <w:noProof/>
          <w:sz w:val="24"/>
          <w:szCs w:val="24"/>
          <w:lang w:val="en-US"/>
        </w:rPr>
        <w:tab/>
        <w:t xml:space="preserve">Keene J, Hope T, Fairburn CG, Jacoby R. Death and dementia. </w:t>
      </w:r>
      <w:r w:rsidRPr="00A8204C">
        <w:rPr>
          <w:rFonts w:ascii="Calibri" w:hAnsi="Calibri"/>
          <w:i/>
          <w:iCs/>
          <w:noProof/>
          <w:sz w:val="24"/>
          <w:szCs w:val="24"/>
          <w:lang w:val="en-US"/>
        </w:rPr>
        <w:t>Int J Geriatr Psychiatry</w:t>
      </w:r>
      <w:r w:rsidRPr="00A8204C">
        <w:rPr>
          <w:rFonts w:ascii="Calibri" w:hAnsi="Calibri"/>
          <w:noProof/>
          <w:sz w:val="24"/>
          <w:szCs w:val="24"/>
          <w:lang w:val="en-US"/>
        </w:rPr>
        <w:t>. 2001;16(10):969-974. doi:10.1002/gps.474.</w:t>
      </w:r>
    </w:p>
    <w:p w14:paraId="34F24037"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6. </w:t>
      </w:r>
      <w:r w:rsidRPr="00A8204C">
        <w:rPr>
          <w:rFonts w:ascii="Calibri" w:hAnsi="Calibri"/>
          <w:noProof/>
          <w:sz w:val="24"/>
          <w:szCs w:val="24"/>
          <w:lang w:val="en-US"/>
        </w:rPr>
        <w:tab/>
        <w:t xml:space="preserve">Prince M, Bryce R, Ferri C. World Alzheimer Report - The benefits of early diagnosis and intervention World Alzheimer Report. </w:t>
      </w:r>
      <w:r w:rsidRPr="00A8204C">
        <w:rPr>
          <w:rFonts w:ascii="Calibri" w:hAnsi="Calibri"/>
          <w:i/>
          <w:iCs/>
          <w:noProof/>
          <w:sz w:val="24"/>
          <w:szCs w:val="24"/>
          <w:lang w:val="en-US"/>
        </w:rPr>
        <w:t>Alzeheimer’s Dis Int</w:t>
      </w:r>
      <w:r w:rsidRPr="00A8204C">
        <w:rPr>
          <w:rFonts w:ascii="Calibri" w:hAnsi="Calibri"/>
          <w:noProof/>
          <w:sz w:val="24"/>
          <w:szCs w:val="24"/>
          <w:lang w:val="en-US"/>
        </w:rPr>
        <w:t>. 2011:72. doi:10.1088/1742-6596/160/1/012043.</w:t>
      </w:r>
    </w:p>
    <w:p w14:paraId="4C964B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7. </w:t>
      </w:r>
      <w:r w:rsidRPr="00A8204C">
        <w:rPr>
          <w:rFonts w:ascii="Calibri" w:hAnsi="Calibri"/>
          <w:noProof/>
          <w:sz w:val="24"/>
          <w:szCs w:val="24"/>
          <w:lang w:val="en-US"/>
        </w:rPr>
        <w:tab/>
        <w:t xml:space="preserve">Folstein MF, Folstein SE, McHugh PR. “Mini-mental state”. A practical method for grading the cognitive state of patients for the clinician. </w:t>
      </w:r>
      <w:r w:rsidRPr="00A8204C">
        <w:rPr>
          <w:rFonts w:ascii="Calibri" w:hAnsi="Calibri"/>
          <w:i/>
          <w:iCs/>
          <w:noProof/>
          <w:sz w:val="24"/>
          <w:szCs w:val="24"/>
          <w:lang w:val="en-US"/>
        </w:rPr>
        <w:t>J Psychiatr Res</w:t>
      </w:r>
      <w:r w:rsidRPr="00A8204C">
        <w:rPr>
          <w:rFonts w:ascii="Calibri" w:hAnsi="Calibri"/>
          <w:noProof/>
          <w:sz w:val="24"/>
          <w:szCs w:val="24"/>
          <w:lang w:val="en-US"/>
        </w:rPr>
        <w:t>. 1975;12(3):189-198. doi:10.1016/0022-3956(75)90026-6.</w:t>
      </w:r>
    </w:p>
    <w:p w14:paraId="3CDC7A2C"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8. </w:t>
      </w:r>
      <w:r w:rsidRPr="00A8204C">
        <w:rPr>
          <w:rFonts w:ascii="Calibri" w:hAnsi="Calibri"/>
          <w:noProof/>
          <w:sz w:val="24"/>
          <w:szCs w:val="24"/>
          <w:lang w:val="en-US"/>
        </w:rPr>
        <w:tab/>
        <w:t xml:space="preserve">Nasreddine ZS, Phillips NA, Bédirian V, et al. The Montreal Cognitive Assessment, MoCA: a brief screening tool for mild cognitive impairment. </w:t>
      </w:r>
      <w:r w:rsidRPr="00A8204C">
        <w:rPr>
          <w:rFonts w:ascii="Calibri" w:hAnsi="Calibri"/>
          <w:i/>
          <w:iCs/>
          <w:noProof/>
          <w:sz w:val="24"/>
          <w:szCs w:val="24"/>
          <w:lang w:val="en-US"/>
        </w:rPr>
        <w:t>J Am Geriatr Soc</w:t>
      </w:r>
      <w:r w:rsidRPr="00A8204C">
        <w:rPr>
          <w:rFonts w:ascii="Calibri" w:hAnsi="Calibri"/>
          <w:noProof/>
          <w:sz w:val="24"/>
          <w:szCs w:val="24"/>
          <w:lang w:val="en-US"/>
        </w:rPr>
        <w:t>. 2005;53(4):695-699. doi:10.1111/j.1532-5415.2005.53221.x.</w:t>
      </w:r>
    </w:p>
    <w:p w14:paraId="7147B4AF"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9. </w:t>
      </w:r>
      <w:r w:rsidRPr="00A8204C">
        <w:rPr>
          <w:rFonts w:ascii="Calibri" w:hAnsi="Calibri"/>
          <w:noProof/>
          <w:sz w:val="24"/>
          <w:szCs w:val="24"/>
          <w:lang w:val="en-US"/>
        </w:rPr>
        <w:tab/>
        <w:t xml:space="preserve">Parmar J, Dobbs B, McKay R, et al. Diagnosis and management of dementia in primary care: Exploratory study. </w:t>
      </w:r>
      <w:r w:rsidRPr="00A8204C">
        <w:rPr>
          <w:rFonts w:ascii="Calibri" w:hAnsi="Calibri"/>
          <w:i/>
          <w:iCs/>
          <w:noProof/>
          <w:sz w:val="24"/>
          <w:szCs w:val="24"/>
          <w:lang w:val="en-US"/>
        </w:rPr>
        <w:t>Can Fam Physician</w:t>
      </w:r>
      <w:r w:rsidRPr="00A8204C">
        <w:rPr>
          <w:rFonts w:ascii="Calibri" w:hAnsi="Calibri"/>
          <w:noProof/>
          <w:sz w:val="24"/>
          <w:szCs w:val="24"/>
          <w:lang w:val="en-US"/>
        </w:rPr>
        <w:t>. 2014;60(5):457-465.</w:t>
      </w:r>
    </w:p>
    <w:p w14:paraId="66EBA17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10. </w:t>
      </w:r>
      <w:r w:rsidRPr="00A8204C">
        <w:rPr>
          <w:rFonts w:ascii="Calibri" w:hAnsi="Calibri"/>
          <w:noProof/>
          <w:sz w:val="24"/>
          <w:szCs w:val="24"/>
          <w:lang w:val="en-US"/>
        </w:rPr>
        <w:tab/>
        <w:t xml:space="preserve">Bradford A, Kunik ME, Schulz P, Williams SP, Singh H. Missed and Delayed Diagnosis of Dementia in Primary Care. </w:t>
      </w:r>
      <w:r w:rsidRPr="00A8204C">
        <w:rPr>
          <w:rFonts w:ascii="Calibri" w:hAnsi="Calibri"/>
          <w:i/>
          <w:iCs/>
          <w:noProof/>
          <w:sz w:val="24"/>
          <w:szCs w:val="24"/>
          <w:lang w:val="en-US"/>
        </w:rPr>
        <w:t>Alzheimer Dis Assoc Disord</w:t>
      </w:r>
      <w:r w:rsidRPr="00A8204C">
        <w:rPr>
          <w:rFonts w:ascii="Calibri" w:hAnsi="Calibri"/>
          <w:noProof/>
          <w:sz w:val="24"/>
          <w:szCs w:val="24"/>
          <w:lang w:val="en-US"/>
        </w:rPr>
        <w:t>. 2009;23(4):306-314. doi:10.1097/WAD.0b013e3181a6bebc.</w:t>
      </w:r>
    </w:p>
    <w:p w14:paraId="789D86A0"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11. </w:t>
      </w:r>
      <w:r w:rsidRPr="00A8204C">
        <w:rPr>
          <w:rFonts w:ascii="Calibri" w:hAnsi="Calibri"/>
          <w:noProof/>
          <w:sz w:val="24"/>
          <w:szCs w:val="24"/>
          <w:lang w:val="en-US"/>
        </w:rPr>
        <w:tab/>
        <w:t xml:space="preserve">Brenkel M, Shulman K, Hazan E, Herrmann N, Owen AM. Assessing Capacity in the Elderly: Comparing the MoCA with a Novel Computerized Battery of Executive Function. </w:t>
      </w:r>
      <w:r w:rsidRPr="00A8204C">
        <w:rPr>
          <w:rFonts w:ascii="Calibri" w:hAnsi="Calibri"/>
          <w:i/>
          <w:iCs/>
          <w:noProof/>
          <w:sz w:val="24"/>
          <w:szCs w:val="24"/>
          <w:lang w:val="en-US"/>
        </w:rPr>
        <w:t>Dement Geriatr Cogn Dis Extra</w:t>
      </w:r>
      <w:r w:rsidRPr="00A8204C">
        <w:rPr>
          <w:rFonts w:ascii="Calibri" w:hAnsi="Calibri"/>
          <w:noProof/>
          <w:sz w:val="24"/>
          <w:szCs w:val="24"/>
          <w:lang w:val="en-US"/>
        </w:rPr>
        <w:t>. 2017;7(2):249-256. doi:10.1159/000478008.</w:t>
      </w:r>
    </w:p>
    <w:p w14:paraId="4E429DC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12. </w:t>
      </w:r>
      <w:r w:rsidRPr="00A8204C">
        <w:rPr>
          <w:rFonts w:ascii="Calibri" w:hAnsi="Calibri"/>
          <w:noProof/>
          <w:sz w:val="24"/>
          <w:szCs w:val="24"/>
          <w:lang w:val="en-US"/>
        </w:rPr>
        <w:tab/>
        <w:t xml:space="preserve">Nasreddine ZS, Phillips N, Chertkow H. Normative data for the montreal cognitive assessment (MOCA) in a population-based sample. </w:t>
      </w:r>
      <w:r w:rsidRPr="00A8204C">
        <w:rPr>
          <w:rFonts w:ascii="Calibri" w:hAnsi="Calibri"/>
          <w:i/>
          <w:iCs/>
          <w:noProof/>
          <w:sz w:val="24"/>
          <w:szCs w:val="24"/>
          <w:lang w:val="en-US"/>
        </w:rPr>
        <w:t>Neurology</w:t>
      </w:r>
      <w:r w:rsidRPr="00A8204C">
        <w:rPr>
          <w:rFonts w:ascii="Calibri" w:hAnsi="Calibri"/>
          <w:noProof/>
          <w:sz w:val="24"/>
          <w:szCs w:val="24"/>
          <w:lang w:val="en-US"/>
        </w:rPr>
        <w:t>. 2012;78(10):765-766. doi:10.1212/01.wnl.0000413072.54070.a3.</w:t>
      </w:r>
    </w:p>
    <w:p w14:paraId="6CAB229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13. </w:t>
      </w:r>
      <w:r w:rsidRPr="00A8204C">
        <w:rPr>
          <w:rFonts w:ascii="Calibri" w:hAnsi="Calibri"/>
          <w:noProof/>
          <w:sz w:val="24"/>
          <w:szCs w:val="24"/>
          <w:lang w:val="en-US"/>
        </w:rPr>
        <w:tab/>
        <w:t xml:space="preserve">Gluhm S, Goldstein J, Loc K, Colt A, Liew C Van, Corey-Bloom J. Cognitive Performance on the Mini-Mental State Examination and the Montreal Cognitive Assessment Across the Healthy Adult Lifespan. </w:t>
      </w:r>
      <w:r w:rsidRPr="00A8204C">
        <w:rPr>
          <w:rFonts w:ascii="Calibri" w:hAnsi="Calibri"/>
          <w:i/>
          <w:iCs/>
          <w:noProof/>
          <w:sz w:val="24"/>
          <w:szCs w:val="24"/>
          <w:lang w:val="en-US"/>
        </w:rPr>
        <w:t>Cogn Behav Neurol</w:t>
      </w:r>
      <w:r w:rsidRPr="00A8204C">
        <w:rPr>
          <w:rFonts w:ascii="Calibri" w:hAnsi="Calibri"/>
          <w:noProof/>
          <w:sz w:val="24"/>
          <w:szCs w:val="24"/>
          <w:lang w:val="en-US"/>
        </w:rPr>
        <w:t>. 2013;26(1):1-5. doi:10.1097/WNN.0b013e31828b7d26.Cognitive.</w:t>
      </w:r>
    </w:p>
    <w:p w14:paraId="7C5A27F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14. </w:t>
      </w:r>
      <w:r w:rsidRPr="00A8204C">
        <w:rPr>
          <w:rFonts w:ascii="Calibri" w:hAnsi="Calibri"/>
          <w:noProof/>
          <w:sz w:val="24"/>
          <w:szCs w:val="24"/>
          <w:lang w:val="en-US"/>
        </w:rPr>
        <w:tab/>
        <w:t xml:space="preserve">Damian AM, Jacobson SA, Hentz JG, et al. The montreal cognitive assessment and the mini-mental state examination as screening instruments for cognitive impairment: Item analyses and threshold scores.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2011;31(2):126-131. doi:10.1159/000323867.</w:t>
      </w:r>
    </w:p>
    <w:p w14:paraId="29BCCC95"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15. </w:t>
      </w:r>
      <w:r w:rsidRPr="00A8204C">
        <w:rPr>
          <w:rFonts w:ascii="Calibri" w:hAnsi="Calibri"/>
          <w:noProof/>
          <w:sz w:val="24"/>
          <w:szCs w:val="24"/>
          <w:lang w:val="en-US"/>
        </w:rPr>
        <w:tab/>
        <w:t xml:space="preserve">Malek-Ahmadi M, Powell JJ, Belden CM, et al. Age- and education-adjusted normative data for the Montreal Cognitive Assessment (MoCA) in older adults age 70–99. </w:t>
      </w:r>
      <w:r w:rsidRPr="00A8204C">
        <w:rPr>
          <w:rFonts w:ascii="Calibri" w:hAnsi="Calibri"/>
          <w:i/>
          <w:iCs/>
          <w:noProof/>
          <w:sz w:val="24"/>
          <w:szCs w:val="24"/>
          <w:lang w:val="en-US"/>
        </w:rPr>
        <w:t>Aging, Neuropsychol Cogn</w:t>
      </w:r>
      <w:r w:rsidRPr="00A8204C">
        <w:rPr>
          <w:rFonts w:ascii="Calibri" w:hAnsi="Calibri"/>
          <w:noProof/>
          <w:sz w:val="24"/>
          <w:szCs w:val="24"/>
          <w:lang w:val="en-US"/>
        </w:rPr>
        <w:t>. 2015;22(6):755-761. doi:10.1080/13825585.2015.1041449.</w:t>
      </w:r>
    </w:p>
    <w:p w14:paraId="4B01487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16. </w:t>
      </w:r>
      <w:r w:rsidRPr="00A8204C">
        <w:rPr>
          <w:rFonts w:ascii="Calibri" w:hAnsi="Calibri"/>
          <w:noProof/>
          <w:sz w:val="24"/>
          <w:szCs w:val="24"/>
          <w:lang w:val="en-US"/>
        </w:rPr>
        <w:tab/>
        <w:t xml:space="preserve">Hampshire A, Highfield RR, Parkin BL, Owen AM. Fractionating Human Intelligence. </w:t>
      </w:r>
      <w:r w:rsidRPr="00A8204C">
        <w:rPr>
          <w:rFonts w:ascii="Calibri" w:hAnsi="Calibri"/>
          <w:i/>
          <w:iCs/>
          <w:noProof/>
          <w:sz w:val="24"/>
          <w:szCs w:val="24"/>
          <w:lang w:val="en-US"/>
        </w:rPr>
        <w:t>Neuron</w:t>
      </w:r>
      <w:r w:rsidRPr="00A8204C">
        <w:rPr>
          <w:rFonts w:ascii="Calibri" w:hAnsi="Calibri"/>
          <w:noProof/>
          <w:sz w:val="24"/>
          <w:szCs w:val="24"/>
          <w:lang w:val="en-US"/>
        </w:rPr>
        <w:t>. 2012;76(6):1225-1237. doi:10.1016/j.neuron.2012.06.022.</w:t>
      </w:r>
    </w:p>
    <w:p w14:paraId="0B46035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rPr>
      </w:pPr>
      <w:r w:rsidRPr="00A8204C">
        <w:rPr>
          <w:rFonts w:ascii="Calibri" w:hAnsi="Calibri"/>
          <w:noProof/>
          <w:sz w:val="24"/>
          <w:szCs w:val="24"/>
          <w:lang w:val="en-US"/>
        </w:rPr>
        <w:t xml:space="preserve">17. </w:t>
      </w:r>
      <w:r w:rsidRPr="00A8204C">
        <w:rPr>
          <w:rFonts w:ascii="Calibri" w:hAnsi="Calibri"/>
          <w:noProof/>
          <w:sz w:val="24"/>
          <w:szCs w:val="24"/>
          <w:lang w:val="en-US"/>
        </w:rPr>
        <w:tab/>
        <w:t xml:space="preserve">Canada S. </w:t>
      </w:r>
      <w:r w:rsidRPr="00A8204C">
        <w:rPr>
          <w:rFonts w:ascii="Calibri" w:hAnsi="Calibri"/>
          <w:i/>
          <w:iCs/>
          <w:noProof/>
          <w:sz w:val="24"/>
          <w:szCs w:val="24"/>
          <w:lang w:val="en-US"/>
        </w:rPr>
        <w:t>Census of Population, 1851 to 2016</w:t>
      </w:r>
      <w:r w:rsidRPr="00A8204C">
        <w:rPr>
          <w:rFonts w:ascii="Calibri" w:hAnsi="Calibri"/>
          <w:noProof/>
          <w:sz w:val="24"/>
          <w:szCs w:val="24"/>
          <w:lang w:val="en-US"/>
        </w:rPr>
        <w:t>.; 2016.</w:t>
      </w:r>
    </w:p>
    <w:p w14:paraId="5D5CD12A" w14:textId="1EF2056A" w:rsidR="00EF685F" w:rsidRDefault="00741BE1" w:rsidP="00A8204C">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529C9951" w14:textId="77777777" w:rsidR="004550EB" w:rsidRDefault="004550EB" w:rsidP="007A291F">
            <w:pPr>
              <w:jc w:val="center"/>
              <w:rPr>
                <w:b/>
                <w:sz w:val="24"/>
                <w:szCs w:val="24"/>
              </w:rPr>
            </w:pPr>
            <w:r>
              <w:rPr>
                <w:b/>
                <w:sz w:val="24"/>
                <w:szCs w:val="24"/>
              </w:rPr>
              <w:t>Participant</w:t>
            </w:r>
          </w:p>
          <w:p w14:paraId="1EEEFC66" w14:textId="6A144FD3" w:rsidR="00832527" w:rsidRPr="00DE5310" w:rsidRDefault="004550EB" w:rsidP="007A291F">
            <w:pPr>
              <w:jc w:val="center"/>
              <w:rPr>
                <w:b/>
                <w:sz w:val="24"/>
                <w:szCs w:val="24"/>
              </w:rPr>
            </w:pPr>
            <w:r>
              <w:rPr>
                <w:b/>
                <w:sz w:val="24"/>
                <w:szCs w:val="24"/>
              </w:rPr>
              <w:t>s</w:t>
            </w:r>
            <w:r w:rsidR="00832527" w:rsidRPr="00DE5310">
              <w:rPr>
                <w:b/>
                <w:sz w:val="24"/>
                <w:szCs w:val="24"/>
              </w:rPr>
              <w:t>cores</w:t>
            </w:r>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r w:rsidRPr="00DE5310">
              <w:rPr>
                <w:b/>
                <w:sz w:val="24"/>
                <w:szCs w:val="24"/>
              </w:rPr>
              <w:t>age 70-94</w:t>
            </w:r>
          </w:p>
        </w:tc>
      </w:tr>
      <w:tr w:rsidR="00832527" w:rsidRPr="00DE5310" w14:paraId="1DA1447F" w14:textId="77777777" w:rsidTr="007A291F">
        <w:tc>
          <w:tcPr>
            <w:tcW w:w="3154" w:type="dxa"/>
          </w:tcPr>
          <w:p w14:paraId="123A63E7" w14:textId="5CB28FCA"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r>
              <w:rPr>
                <w:sz w:val="24"/>
                <w:szCs w:val="24"/>
              </w:rPr>
              <w:t>MoCA</w:t>
            </w:r>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9100EDE" w:rsidR="00832527" w:rsidRDefault="00832527" w:rsidP="007A291F">
            <w:pPr>
              <w:rPr>
                <w:sz w:val="24"/>
                <w:szCs w:val="24"/>
              </w:rPr>
            </w:pPr>
            <w:r>
              <w:rPr>
                <w:sz w:val="24"/>
                <w:szCs w:val="24"/>
              </w:rPr>
              <w:t>Double Trouble (CBS)</w:t>
            </w:r>
            <w:r w:rsidR="004550EB">
              <w:rPr>
                <w:sz w:val="24"/>
                <w:szCs w:val="24"/>
              </w:rPr>
              <w:t xml:space="preserve"> </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065801C" w:rsidR="00832527" w:rsidRDefault="00832527" w:rsidP="007A291F">
            <w:pPr>
              <w:rPr>
                <w:sz w:val="24"/>
                <w:szCs w:val="24"/>
              </w:rPr>
            </w:pPr>
            <w:r>
              <w:rPr>
                <w:sz w:val="24"/>
                <w:szCs w:val="24"/>
              </w:rPr>
              <w:t>Odd One Out (CBS)</w:t>
            </w:r>
            <w:r w:rsidR="004550EB">
              <w:rPr>
                <w:sz w:val="24"/>
                <w:szCs w:val="24"/>
              </w:rPr>
              <w:t xml:space="preserve"> </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270A2864"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2A01208C"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2D730288"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6CD0F464"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021E9868"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3BC5BE56"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3F6FFBD4"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1DD003B4" w14:textId="3D7AB020" w:rsidR="00702431" w:rsidRPr="006F32CF" w:rsidRDefault="00960595" w:rsidP="006F32CF">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sectPr w:rsidR="00702431" w:rsidRPr="006F32CF" w:rsidSect="00B77C7E">
      <w:headerReference w:type="default" r:id="rId1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vis apramian" w:date="2018-11-17T22:32:00Z" w:initials="ta">
    <w:p w14:paraId="64E43E35" w14:textId="19D29C34" w:rsidR="00E47048" w:rsidRDefault="00E47048">
      <w:pPr>
        <w:pStyle w:val="CommentText"/>
      </w:pPr>
      <w:r>
        <w:rPr>
          <w:rStyle w:val="CommentReference"/>
        </w:rPr>
        <w:annotationRef/>
      </w:r>
      <w:r>
        <w:rPr>
          <w:rFonts w:ascii="Arial" w:hAnsi="Arial" w:cs="Arial"/>
          <w:color w:val="222222"/>
          <w:shd w:val="clear" w:color="auto" w:fill="FFFFFF"/>
        </w:rPr>
        <w:t>EDITOR COMMENTS (if any): A simple online test that enhances our ability to identify MCI and dementia would be of value. However there are major problems with this study as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sample size is small, not diverse, and comes from one institution.</w:t>
      </w:r>
      <w:r>
        <w:rPr>
          <w:rFonts w:ascii="Arial" w:hAnsi="Arial" w:cs="Arial"/>
          <w:color w:val="222222"/>
        </w:rPr>
        <w:br/>
      </w:r>
      <w:r>
        <w:rPr>
          <w:rFonts w:ascii="Arial" w:hAnsi="Arial" w:cs="Arial"/>
          <w:color w:val="222222"/>
          <w:shd w:val="clear" w:color="auto" w:fill="FFFFFF"/>
        </w:rPr>
        <w:t>2. The test does not appear to be validated against diagnostic standards for MCI or dementia.</w:t>
      </w:r>
      <w:r>
        <w:rPr>
          <w:rFonts w:ascii="Arial" w:hAnsi="Arial" w:cs="Arial"/>
          <w:color w:val="222222"/>
        </w:rPr>
        <w:br/>
      </w:r>
      <w:r>
        <w:rPr>
          <w:rFonts w:ascii="Arial" w:hAnsi="Arial" w:cs="Arial"/>
          <w:color w:val="222222"/>
          <w:shd w:val="clear" w:color="auto" w:fill="FFFFFF"/>
        </w:rPr>
        <w:t>3. The data are presented in a confusing way.</w:t>
      </w:r>
      <w:r>
        <w:rPr>
          <w:rFonts w:ascii="Arial" w:hAnsi="Arial" w:cs="Arial"/>
          <w:color w:val="222222"/>
        </w:rPr>
        <w:br/>
      </w:r>
      <w:r>
        <w:rPr>
          <w:rFonts w:ascii="Arial" w:hAnsi="Arial" w:cs="Arial"/>
          <w:color w:val="222222"/>
          <w:shd w:val="clear" w:color="auto" w:fill="FFFFFF"/>
        </w:rPr>
        <w:t>4. The senior author, if paid as a Scientific Advisor, has a significant conflict or interest and there is no statement about how this potential conflict is managed. I am very familiar with this issue as I have had to develop financial conflict of interest plans for my own recent research.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43E35" w15:done="0"/>
  <w15:commentEx w15:paraId="394958AC" w15:done="0"/>
  <w15:commentEx w15:paraId="6C427BE0" w15:done="0"/>
  <w15:commentEx w15:paraId="075F4C5E" w15:done="0"/>
  <w15:commentEx w15:paraId="6280AC7A" w15:done="0"/>
  <w15:commentEx w15:paraId="6EDDE7FD" w15:done="0"/>
  <w15:commentEx w15:paraId="1E16C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861AD" w14:textId="77777777" w:rsidR="00E47048" w:rsidRDefault="00E47048" w:rsidP="00A50A2F">
      <w:pPr>
        <w:spacing w:after="0" w:line="240" w:lineRule="auto"/>
      </w:pPr>
      <w:r>
        <w:separator/>
      </w:r>
    </w:p>
  </w:endnote>
  <w:endnote w:type="continuationSeparator" w:id="0">
    <w:p w14:paraId="127F1C20" w14:textId="77777777" w:rsidR="00E47048" w:rsidRDefault="00E47048"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101ED" w14:textId="77777777" w:rsidR="00E47048" w:rsidRDefault="00E47048" w:rsidP="00A50A2F">
      <w:pPr>
        <w:spacing w:after="0" w:line="240" w:lineRule="auto"/>
      </w:pPr>
      <w:r>
        <w:separator/>
      </w:r>
    </w:p>
  </w:footnote>
  <w:footnote w:type="continuationSeparator" w:id="0">
    <w:p w14:paraId="3F4A4F89" w14:textId="77777777" w:rsidR="00E47048" w:rsidRDefault="00E47048" w:rsidP="00A50A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324911"/>
      <w:docPartObj>
        <w:docPartGallery w:val="Page Numbers (Top of Page)"/>
        <w:docPartUnique/>
      </w:docPartObj>
    </w:sdtPr>
    <w:sdtEndPr>
      <w:rPr>
        <w:noProof/>
      </w:rPr>
    </w:sdtEndPr>
    <w:sdtContent>
      <w:p w14:paraId="7AF8649C" w14:textId="16356794" w:rsidR="00E47048" w:rsidRDefault="00E47048">
        <w:pPr>
          <w:pStyle w:val="Header"/>
          <w:jc w:val="right"/>
        </w:pPr>
        <w:r>
          <w:fldChar w:fldCharType="begin"/>
        </w:r>
        <w:r>
          <w:instrText xml:space="preserve"> PAGE   \* MERGEFORMAT </w:instrText>
        </w:r>
        <w:r>
          <w:fldChar w:fldCharType="separate"/>
        </w:r>
        <w:r w:rsidR="00705A43">
          <w:rPr>
            <w:noProof/>
          </w:rPr>
          <w:t>1</w:t>
        </w:r>
        <w:r>
          <w:rPr>
            <w:noProof/>
          </w:rPr>
          <w:fldChar w:fldCharType="end"/>
        </w:r>
      </w:p>
    </w:sdtContent>
  </w:sdt>
  <w:p w14:paraId="25AEE121" w14:textId="77777777" w:rsidR="00E47048" w:rsidRDefault="00E47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is apramian">
    <w15:presenceInfo w15:providerId="Windows Live" w15:userId="552522d94dba5404"/>
  </w15:person>
  <w15:person w15:author="Adrian Owen">
    <w15:presenceInfo w15:providerId="None" w15:userId="Adrian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236CE"/>
    <w:rsid w:val="00030255"/>
    <w:rsid w:val="000407A9"/>
    <w:rsid w:val="00041AFE"/>
    <w:rsid w:val="000423E7"/>
    <w:rsid w:val="0004680F"/>
    <w:rsid w:val="0005017A"/>
    <w:rsid w:val="0005657E"/>
    <w:rsid w:val="00062D31"/>
    <w:rsid w:val="00094E31"/>
    <w:rsid w:val="000968A2"/>
    <w:rsid w:val="000B384A"/>
    <w:rsid w:val="000B3D0B"/>
    <w:rsid w:val="000B5A29"/>
    <w:rsid w:val="000B63D0"/>
    <w:rsid w:val="000C6821"/>
    <w:rsid w:val="000E0916"/>
    <w:rsid w:val="000E22E5"/>
    <w:rsid w:val="000E2D96"/>
    <w:rsid w:val="000E4968"/>
    <w:rsid w:val="000F1256"/>
    <w:rsid w:val="000F5F6F"/>
    <w:rsid w:val="00103225"/>
    <w:rsid w:val="001072B6"/>
    <w:rsid w:val="00110D47"/>
    <w:rsid w:val="00111FE7"/>
    <w:rsid w:val="0011678D"/>
    <w:rsid w:val="001229F7"/>
    <w:rsid w:val="001320D1"/>
    <w:rsid w:val="001355EC"/>
    <w:rsid w:val="00145389"/>
    <w:rsid w:val="001666A6"/>
    <w:rsid w:val="001A012A"/>
    <w:rsid w:val="001A2FE2"/>
    <w:rsid w:val="001A6168"/>
    <w:rsid w:val="001A6F70"/>
    <w:rsid w:val="001B24F4"/>
    <w:rsid w:val="001B64A9"/>
    <w:rsid w:val="001B71A9"/>
    <w:rsid w:val="001F156D"/>
    <w:rsid w:val="001F3A28"/>
    <w:rsid w:val="001F686E"/>
    <w:rsid w:val="00200AEC"/>
    <w:rsid w:val="0020386A"/>
    <w:rsid w:val="00212D43"/>
    <w:rsid w:val="00212F4E"/>
    <w:rsid w:val="00230D8D"/>
    <w:rsid w:val="0023518E"/>
    <w:rsid w:val="00237868"/>
    <w:rsid w:val="002452C7"/>
    <w:rsid w:val="0025279A"/>
    <w:rsid w:val="00255AC6"/>
    <w:rsid w:val="00256A9F"/>
    <w:rsid w:val="00266238"/>
    <w:rsid w:val="00266B94"/>
    <w:rsid w:val="002706E2"/>
    <w:rsid w:val="00271EA0"/>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95C08"/>
    <w:rsid w:val="003A3286"/>
    <w:rsid w:val="003A62D6"/>
    <w:rsid w:val="003A7AD7"/>
    <w:rsid w:val="003B46EC"/>
    <w:rsid w:val="003E4809"/>
    <w:rsid w:val="003E5762"/>
    <w:rsid w:val="00402D3A"/>
    <w:rsid w:val="00410F18"/>
    <w:rsid w:val="00424DEA"/>
    <w:rsid w:val="00434A20"/>
    <w:rsid w:val="00443C18"/>
    <w:rsid w:val="00446051"/>
    <w:rsid w:val="00446A84"/>
    <w:rsid w:val="004550EB"/>
    <w:rsid w:val="004614B1"/>
    <w:rsid w:val="00467AEB"/>
    <w:rsid w:val="004773D0"/>
    <w:rsid w:val="0048400B"/>
    <w:rsid w:val="004949AD"/>
    <w:rsid w:val="00494CCD"/>
    <w:rsid w:val="004A786F"/>
    <w:rsid w:val="004C0547"/>
    <w:rsid w:val="004C0581"/>
    <w:rsid w:val="004D1BC9"/>
    <w:rsid w:val="004D2EA8"/>
    <w:rsid w:val="004D33D2"/>
    <w:rsid w:val="004E1F55"/>
    <w:rsid w:val="004F36E5"/>
    <w:rsid w:val="004F4202"/>
    <w:rsid w:val="004F4341"/>
    <w:rsid w:val="0051386C"/>
    <w:rsid w:val="00520A1A"/>
    <w:rsid w:val="00526573"/>
    <w:rsid w:val="00526588"/>
    <w:rsid w:val="00535CB3"/>
    <w:rsid w:val="00535E67"/>
    <w:rsid w:val="005453DA"/>
    <w:rsid w:val="00553D3E"/>
    <w:rsid w:val="00563617"/>
    <w:rsid w:val="005662E2"/>
    <w:rsid w:val="00574C32"/>
    <w:rsid w:val="005761F9"/>
    <w:rsid w:val="00585697"/>
    <w:rsid w:val="005B383C"/>
    <w:rsid w:val="005B3F20"/>
    <w:rsid w:val="005B460F"/>
    <w:rsid w:val="005B689D"/>
    <w:rsid w:val="005B6AA3"/>
    <w:rsid w:val="005C1966"/>
    <w:rsid w:val="005C76A2"/>
    <w:rsid w:val="005D403D"/>
    <w:rsid w:val="005D599E"/>
    <w:rsid w:val="005D7AF8"/>
    <w:rsid w:val="005F0CCD"/>
    <w:rsid w:val="005F5FCA"/>
    <w:rsid w:val="00614F76"/>
    <w:rsid w:val="00633585"/>
    <w:rsid w:val="0063532F"/>
    <w:rsid w:val="00635D62"/>
    <w:rsid w:val="00650DC4"/>
    <w:rsid w:val="0065296F"/>
    <w:rsid w:val="00652D8C"/>
    <w:rsid w:val="00671D30"/>
    <w:rsid w:val="00674DFE"/>
    <w:rsid w:val="0067642C"/>
    <w:rsid w:val="00681C12"/>
    <w:rsid w:val="00685ADD"/>
    <w:rsid w:val="00691752"/>
    <w:rsid w:val="0069452B"/>
    <w:rsid w:val="006C329E"/>
    <w:rsid w:val="006C63DE"/>
    <w:rsid w:val="006C6BAE"/>
    <w:rsid w:val="006D120E"/>
    <w:rsid w:val="006D4784"/>
    <w:rsid w:val="006E4C97"/>
    <w:rsid w:val="006E7242"/>
    <w:rsid w:val="006F32CF"/>
    <w:rsid w:val="00702431"/>
    <w:rsid w:val="00702B6B"/>
    <w:rsid w:val="007056E2"/>
    <w:rsid w:val="00705A43"/>
    <w:rsid w:val="007075DF"/>
    <w:rsid w:val="0072335C"/>
    <w:rsid w:val="00733BBC"/>
    <w:rsid w:val="0073789A"/>
    <w:rsid w:val="007416C1"/>
    <w:rsid w:val="00741BE1"/>
    <w:rsid w:val="00744170"/>
    <w:rsid w:val="00754655"/>
    <w:rsid w:val="00755E68"/>
    <w:rsid w:val="00760217"/>
    <w:rsid w:val="00783C34"/>
    <w:rsid w:val="007976AD"/>
    <w:rsid w:val="007A291F"/>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0D54"/>
    <w:rsid w:val="008F492A"/>
    <w:rsid w:val="008F7FFE"/>
    <w:rsid w:val="00902DEB"/>
    <w:rsid w:val="00903A15"/>
    <w:rsid w:val="00917C73"/>
    <w:rsid w:val="0092033D"/>
    <w:rsid w:val="00920A6A"/>
    <w:rsid w:val="00921C2D"/>
    <w:rsid w:val="009432BB"/>
    <w:rsid w:val="0094404F"/>
    <w:rsid w:val="00944B0A"/>
    <w:rsid w:val="00953E40"/>
    <w:rsid w:val="00960595"/>
    <w:rsid w:val="009653CF"/>
    <w:rsid w:val="009712C4"/>
    <w:rsid w:val="00991AA6"/>
    <w:rsid w:val="009A640D"/>
    <w:rsid w:val="009B013B"/>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2DA9"/>
    <w:rsid w:val="00A55237"/>
    <w:rsid w:val="00A635EA"/>
    <w:rsid w:val="00A777AE"/>
    <w:rsid w:val="00A8204C"/>
    <w:rsid w:val="00A82E0F"/>
    <w:rsid w:val="00A955D4"/>
    <w:rsid w:val="00A95DF3"/>
    <w:rsid w:val="00AB7B13"/>
    <w:rsid w:val="00AC6DE3"/>
    <w:rsid w:val="00AE325D"/>
    <w:rsid w:val="00AE42B1"/>
    <w:rsid w:val="00AF251B"/>
    <w:rsid w:val="00B21BF0"/>
    <w:rsid w:val="00B25F24"/>
    <w:rsid w:val="00B27BC2"/>
    <w:rsid w:val="00B70012"/>
    <w:rsid w:val="00B7619B"/>
    <w:rsid w:val="00B77C7E"/>
    <w:rsid w:val="00B92BDA"/>
    <w:rsid w:val="00B92DB0"/>
    <w:rsid w:val="00B95214"/>
    <w:rsid w:val="00BA0688"/>
    <w:rsid w:val="00BA322B"/>
    <w:rsid w:val="00BA6B09"/>
    <w:rsid w:val="00BB1E4D"/>
    <w:rsid w:val="00BC5197"/>
    <w:rsid w:val="00BC79D5"/>
    <w:rsid w:val="00BD0160"/>
    <w:rsid w:val="00BD2734"/>
    <w:rsid w:val="00BD41EC"/>
    <w:rsid w:val="00C06154"/>
    <w:rsid w:val="00C075A5"/>
    <w:rsid w:val="00C109B4"/>
    <w:rsid w:val="00C17A2A"/>
    <w:rsid w:val="00C423FC"/>
    <w:rsid w:val="00C46DE3"/>
    <w:rsid w:val="00C47164"/>
    <w:rsid w:val="00C52968"/>
    <w:rsid w:val="00C538CE"/>
    <w:rsid w:val="00C654AC"/>
    <w:rsid w:val="00C75F2A"/>
    <w:rsid w:val="00CA2963"/>
    <w:rsid w:val="00CA30F4"/>
    <w:rsid w:val="00CB2248"/>
    <w:rsid w:val="00CC01E0"/>
    <w:rsid w:val="00CC05AB"/>
    <w:rsid w:val="00CC2E66"/>
    <w:rsid w:val="00CC42F2"/>
    <w:rsid w:val="00CC446D"/>
    <w:rsid w:val="00CD102C"/>
    <w:rsid w:val="00CD22C4"/>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B5DF2"/>
    <w:rsid w:val="00DD7BE2"/>
    <w:rsid w:val="00DE5310"/>
    <w:rsid w:val="00DE5D38"/>
    <w:rsid w:val="00E03126"/>
    <w:rsid w:val="00E03B35"/>
    <w:rsid w:val="00E07160"/>
    <w:rsid w:val="00E1613B"/>
    <w:rsid w:val="00E2392B"/>
    <w:rsid w:val="00E44F1B"/>
    <w:rsid w:val="00E45A63"/>
    <w:rsid w:val="00E47048"/>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87D96"/>
    <w:rsid w:val="00F905C3"/>
    <w:rsid w:val="00F95B2C"/>
    <w:rsid w:val="00FB4347"/>
    <w:rsid w:val="00FB4A90"/>
    <w:rsid w:val="00FB61A0"/>
    <w:rsid w:val="00FC0731"/>
    <w:rsid w:val="00FC3902"/>
    <w:rsid w:val="00FC4D78"/>
    <w:rsid w:val="00FE39AC"/>
    <w:rsid w:val="00FE6906"/>
    <w:rsid w:val="00FF132D"/>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6" Type="http://schemas.microsoft.com/office/2016/09/relationships/commentsIds" Target="commentsIds.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4C0C1-05D4-2740-B752-C96C969F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9500</Words>
  <Characters>54152</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11</cp:revision>
  <cp:lastPrinted>2018-07-16T15:03:00Z</cp:lastPrinted>
  <dcterms:created xsi:type="dcterms:W3CDTF">2019-01-08T20:33:00Z</dcterms:created>
  <dcterms:modified xsi:type="dcterms:W3CDTF">2019-01-10T15:06:00Z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