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AC3A8" w14:textId="085A7C83" w:rsidR="000407A9" w:rsidRDefault="00A305F1" w:rsidP="00E1613B">
      <w:pPr>
        <w:rPr>
          <w:sz w:val="24"/>
          <w:szCs w:val="24"/>
        </w:rPr>
      </w:pPr>
      <w:commentRangeStart w:id="0"/>
      <w:commentRangeEnd w:id="0"/>
      <w:r>
        <w:rPr>
          <w:rStyle w:val="CommentReference"/>
        </w:rPr>
        <w:commentReference w:id="0"/>
      </w:r>
    </w:p>
    <w:p w14:paraId="30D3DCA9" w14:textId="77777777" w:rsidR="00E1613B" w:rsidRPr="002A535D" w:rsidRDefault="00E1613B" w:rsidP="00E1613B">
      <w:pPr>
        <w:rPr>
          <w:sz w:val="24"/>
          <w:szCs w:val="24"/>
        </w:rPr>
      </w:pPr>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xml:space="preserve">* </w:t>
      </w:r>
      <w:proofErr w:type="gramStart"/>
      <w:r w:rsidRPr="002A535D">
        <w:rPr>
          <w:sz w:val="24"/>
          <w:szCs w:val="24"/>
        </w:rPr>
        <w:t>avital.sternin@uwo.ca</w:t>
      </w:r>
      <w:proofErr w:type="gramEnd"/>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57BC929D" w14:textId="64D1EB2C" w:rsidR="00C423FC" w:rsidRPr="009B47AB" w:rsidRDefault="00C423FC" w:rsidP="009B47AB">
      <w:pPr>
        <w:jc w:val="right"/>
        <w:rPr>
          <w:rFonts w:cs="ArialMT"/>
          <w:sz w:val="24"/>
          <w:szCs w:val="24"/>
        </w:rPr>
      </w:pPr>
      <w:r>
        <w:rPr>
          <w:b/>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1F0D0291" w14:textId="0D4B2BAF"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proofErr w:type="spellStart"/>
      <w:r w:rsidR="00CD22C4">
        <w:rPr>
          <w:sz w:val="24"/>
          <w:szCs w:val="24"/>
        </w:rPr>
        <w:t>MoCA</w:t>
      </w:r>
      <w:proofErr w:type="spellEnd"/>
      <w:r w:rsidR="00CD22C4">
        <w:rPr>
          <w:sz w:val="24"/>
          <w:szCs w:val="24"/>
        </w:rPr>
        <w:t xml:space="preserve"> and MMSE scores.</w:t>
      </w:r>
    </w:p>
    <w:p w14:paraId="51282B73" w14:textId="7CC8DD71"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a </w:t>
      </w:r>
      <w:proofErr w:type="spellStart"/>
      <w:r>
        <w:rPr>
          <w:sz w:val="24"/>
          <w:szCs w:val="24"/>
        </w:rPr>
        <w:t>MoCA</w:t>
      </w:r>
      <w:proofErr w:type="spellEnd"/>
      <w:r>
        <w:rPr>
          <w:sz w:val="24"/>
          <w:szCs w:val="24"/>
        </w:rPr>
        <w:t xml:space="preserve">, and a MMSE. </w:t>
      </w:r>
    </w:p>
    <w:p w14:paraId="70A5A480" w14:textId="77777777" w:rsidR="005B460F" w:rsidRDefault="00CD22C4" w:rsidP="005B460F">
      <w:pPr>
        <w:ind w:firstLine="567"/>
        <w:rPr>
          <w:sz w:val="24"/>
          <w:szCs w:val="24"/>
        </w:rPr>
      </w:pPr>
      <w:r>
        <w:rPr>
          <w:sz w:val="24"/>
          <w:szCs w:val="24"/>
        </w:rPr>
        <w:t xml:space="preserve">The </w:t>
      </w:r>
      <w:proofErr w:type="spellStart"/>
      <w:r>
        <w:rPr>
          <w:sz w:val="24"/>
          <w:szCs w:val="24"/>
        </w:rPr>
        <w:t>MoCA</w:t>
      </w:r>
      <w:proofErr w:type="spellEnd"/>
      <w:r>
        <w:rPr>
          <w:sz w:val="24"/>
          <w:szCs w:val="24"/>
        </w:rPr>
        <w:t xml:space="preserve"> categorized 7</w:t>
      </w:r>
      <w:r>
        <w:rPr>
          <w:sz w:val="24"/>
          <w:szCs w:val="24"/>
        </w:rPr>
        <w:t>2</w:t>
      </w:r>
      <w:r>
        <w:rPr>
          <w:sz w:val="24"/>
          <w:szCs w:val="24"/>
        </w:rPr>
        <w:t>% of participants as impaired or unimpaired. The addition of a single online test increased categorization t</w:t>
      </w:r>
      <w:r>
        <w:rPr>
          <w:sz w:val="24"/>
          <w:szCs w:val="24"/>
        </w:rPr>
        <w:t>o 92</w:t>
      </w:r>
      <w:r>
        <w:rPr>
          <w:sz w:val="24"/>
          <w:szCs w:val="24"/>
        </w:rPr>
        <w:t xml:space="preserve">%. A multiple regression identified two other tests that best predicted </w:t>
      </w:r>
      <w:proofErr w:type="spellStart"/>
      <w:r>
        <w:rPr>
          <w:sz w:val="24"/>
          <w:szCs w:val="24"/>
        </w:rPr>
        <w:t>MoCA</w:t>
      </w:r>
      <w:proofErr w:type="spellEnd"/>
      <w:r>
        <w:rPr>
          <w:sz w:val="24"/>
          <w:szCs w:val="24"/>
        </w:rPr>
        <w:t xml:space="preserve"> scores. The combination of scores from the three identified tests were highly correlated with </w:t>
      </w:r>
      <w:proofErr w:type="spellStart"/>
      <w:r>
        <w:rPr>
          <w:sz w:val="24"/>
          <w:szCs w:val="24"/>
        </w:rPr>
        <w:t>MoCA</w:t>
      </w:r>
      <w:proofErr w:type="spellEnd"/>
      <w:r>
        <w:rPr>
          <w:sz w:val="24"/>
          <w:szCs w:val="24"/>
        </w:rPr>
        <w:t xml:space="preserve"> scores. A regression also identified two tests that best predicted MMSE scores, but the categorization analysis was not performed because of a ceiling effect in MMSE scores</w:t>
      </w:r>
      <w:r w:rsidR="005B460F">
        <w:rPr>
          <w:sz w:val="24"/>
          <w:szCs w:val="24"/>
        </w:rPr>
        <w:t>.</w:t>
      </w:r>
    </w:p>
    <w:p w14:paraId="061D4907" w14:textId="1DA4C255" w:rsidR="002A535D" w:rsidRPr="002A535D" w:rsidRDefault="00CD22C4" w:rsidP="005B460F">
      <w:pPr>
        <w:ind w:firstLine="567"/>
        <w:rPr>
          <w:sz w:val="24"/>
          <w:szCs w:val="24"/>
        </w:rPr>
      </w:pPr>
      <w:r>
        <w:rPr>
          <w:sz w:val="24"/>
          <w:szCs w:val="24"/>
        </w:rPr>
        <w:t xml:space="preserve">The addition of a single online test to the </w:t>
      </w:r>
      <w:proofErr w:type="spellStart"/>
      <w:r>
        <w:rPr>
          <w:sz w:val="24"/>
          <w:szCs w:val="24"/>
        </w:rPr>
        <w:t>MoCA</w:t>
      </w:r>
      <w:proofErr w:type="spellEnd"/>
      <w:r>
        <w:rPr>
          <w:sz w:val="24"/>
          <w:szCs w:val="24"/>
        </w:rPr>
        <w:t xml:space="preserve"> improved categorization of individuals with ambiguous scores and a short battery of three CBS tests is a viable alternative to the paper-pencil tests currently used to </w:t>
      </w:r>
      <w:r w:rsidR="005B460F">
        <w:rPr>
          <w:sz w:val="24"/>
          <w:szCs w:val="24"/>
        </w:rPr>
        <w:t xml:space="preserve">screen for and </w:t>
      </w:r>
      <w:r>
        <w:rPr>
          <w:sz w:val="24"/>
          <w:szCs w:val="24"/>
        </w:rPr>
        <w:t>monitor cognitive changes in older adults. This online testing battery may have significant consequences for care and quality of life in the aging population.</w:t>
      </w:r>
    </w:p>
    <w:p w14:paraId="514504C4" w14:textId="77777777" w:rsidR="00CD22C4" w:rsidRDefault="00CD22C4" w:rsidP="00494CCD">
      <w:pPr>
        <w:rPr>
          <w:sz w:val="24"/>
          <w:szCs w:val="24"/>
        </w:rPr>
      </w:pPr>
    </w:p>
    <w:p w14:paraId="45D8C939" w14:textId="77777777" w:rsidR="00CD22C4" w:rsidRDefault="00CD22C4" w:rsidP="00494CCD">
      <w:pPr>
        <w:rPr>
          <w:sz w:val="24"/>
          <w:szCs w:val="24"/>
        </w:rPr>
      </w:pPr>
    </w:p>
    <w:p w14:paraId="591FF2B5" w14:textId="77777777" w:rsidR="00CD22C4" w:rsidRDefault="00CD22C4" w:rsidP="00494CCD">
      <w:pPr>
        <w:rPr>
          <w:sz w:val="24"/>
          <w:szCs w:val="24"/>
        </w:rPr>
      </w:pPr>
    </w:p>
    <w:p w14:paraId="2B7C327E" w14:textId="77777777" w:rsidR="00CD22C4" w:rsidRDefault="00CD22C4" w:rsidP="00494CCD">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 xml:space="preserve">MMSE, </w:t>
      </w:r>
      <w:proofErr w:type="spellStart"/>
      <w:r>
        <w:rPr>
          <w:sz w:val="24"/>
          <w:szCs w:val="24"/>
        </w:rPr>
        <w:t>MoCA</w:t>
      </w:r>
      <w:proofErr w:type="spellEnd"/>
      <w:r>
        <w:rPr>
          <w:sz w:val="24"/>
          <w:szCs w:val="24"/>
        </w:rPr>
        <w:t>,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64754AE9" w14:textId="7C8CB867" w:rsidR="007056E2" w:rsidRDefault="000E22E5" w:rsidP="00E1613B">
      <w:pPr>
        <w:tabs>
          <w:tab w:val="left" w:pos="709"/>
        </w:tabs>
        <w:ind w:firstLine="567"/>
        <w:rPr>
          <w:sz w:val="24"/>
          <w:szCs w:val="24"/>
        </w:rPr>
      </w:pPr>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r w:rsidR="00AC6DE3">
        <w:rPr>
          <w:sz w:val="24"/>
          <w:szCs w:val="24"/>
        </w:rPr>
        <w:t xml:space="preserve">. </w:t>
      </w:r>
      <w:r w:rsidR="00876F13">
        <w:rPr>
          <w:sz w:val="24"/>
          <w:szCs w:val="24"/>
        </w:rPr>
        <w:t>I</w:t>
      </w:r>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r w:rsidR="00876F13">
        <w:rPr>
          <w:sz w:val="24"/>
          <w:szCs w:val="24"/>
        </w:rPr>
        <w:t>. Unfortunately, 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w:t>
      </w:r>
      <w:proofErr w:type="spellStart"/>
      <w:r w:rsidR="00876F13">
        <w:rPr>
          <w:sz w:val="24"/>
          <w:szCs w:val="24"/>
        </w:rPr>
        <w:t>MoCA</w:t>
      </w:r>
      <w:proofErr w:type="spellEnd"/>
      <w:r w:rsidR="00876F13">
        <w:rPr>
          <w:sz w:val="24"/>
          <w:szCs w:val="24"/>
        </w:rPr>
        <w:t>)</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 xml:space="preserve">As the population ages, and millions more become at risk of developing undiagnosed dementia, an easy-to-use screening tool will become crucial for the health and safety of the growing population of older adults. </w:t>
      </w:r>
    </w:p>
    <w:p w14:paraId="66838BDF" w14:textId="7646B6C2" w:rsidR="0020386A" w:rsidRDefault="002706E2" w:rsidP="0020386A">
      <w:pPr>
        <w:tabs>
          <w:tab w:val="left" w:pos="709"/>
        </w:tabs>
        <w:ind w:firstLine="567"/>
        <w:rPr>
          <w:sz w:val="24"/>
          <w:szCs w:val="24"/>
        </w:rPr>
      </w:pPr>
      <w:r>
        <w:rPr>
          <w:sz w:val="24"/>
          <w:szCs w:val="24"/>
        </w:rPr>
        <w:t xml:space="preserve">In this study, we assessed the feasibility of using a new online battery of cognitive tests with a small group of older adults. </w:t>
      </w:r>
      <w:r w:rsidR="00A8204C">
        <w:rPr>
          <w:sz w:val="24"/>
          <w:szCs w:val="24"/>
        </w:rPr>
        <w:t>We used the Cambridge Brain Sciences (CBS) test battery (cambridgebrainsciences.com)</w:t>
      </w:r>
      <w:r w:rsidR="00A8204C">
        <w:rPr>
          <w:sz w:val="24"/>
          <w:szCs w:val="24"/>
        </w:rPr>
        <w:fldChar w:fldCharType="begin" w:fldLock="1"/>
      </w:r>
      <w:r w:rsidR="00A8204C">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A8204C">
        <w:rPr>
          <w:sz w:val="24"/>
          <w:szCs w:val="24"/>
        </w:rPr>
        <w:fldChar w:fldCharType="separate"/>
      </w:r>
      <w:r w:rsidR="00A8204C" w:rsidRPr="00FF132D">
        <w:rPr>
          <w:noProof/>
          <w:sz w:val="24"/>
          <w:szCs w:val="24"/>
          <w:vertAlign w:val="superscript"/>
        </w:rPr>
        <w:t>16</w:t>
      </w:r>
      <w:r w:rsidR="00A8204C">
        <w:rPr>
          <w:sz w:val="24"/>
          <w:szCs w:val="24"/>
        </w:rPr>
        <w:fldChar w:fldCharType="end"/>
      </w:r>
      <w:r w:rsidR="00A8204C">
        <w:rPr>
          <w:sz w:val="24"/>
          <w:szCs w:val="24"/>
        </w:rPr>
        <w:t xml:space="preserve"> to examine whether a</w:t>
      </w:r>
      <w:r w:rsidR="004550EB">
        <w:rPr>
          <w:sz w:val="24"/>
          <w:szCs w:val="24"/>
        </w:rPr>
        <w:t xml:space="preserve"> </w:t>
      </w:r>
      <w:r w:rsidR="00A8204C">
        <w:rPr>
          <w:sz w:val="24"/>
          <w:szCs w:val="24"/>
        </w:rPr>
        <w:t xml:space="preserve">battery of 12 cognitive tests would improve identification of individuals with cognitive impairments relative to the </w:t>
      </w:r>
      <w:proofErr w:type="spellStart"/>
      <w:r w:rsidR="00A8204C">
        <w:rPr>
          <w:sz w:val="24"/>
          <w:szCs w:val="24"/>
        </w:rPr>
        <w:t>MoCA</w:t>
      </w:r>
      <w:proofErr w:type="spellEnd"/>
      <w:r w:rsidR="00A8204C">
        <w:rPr>
          <w:sz w:val="24"/>
          <w:szCs w:val="24"/>
        </w:rPr>
        <w:t xml:space="preserve"> and the MMSE.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proofErr w:type="spellStart"/>
      <w:r w:rsidR="0020386A">
        <w:rPr>
          <w:sz w:val="24"/>
          <w:szCs w:val="24"/>
        </w:rPr>
        <w:t>MoCA</w:t>
      </w:r>
      <w:proofErr w:type="spellEnd"/>
      <w:r w:rsidR="0020386A">
        <w:rPr>
          <w:sz w:val="24"/>
          <w:szCs w:val="24"/>
        </w:rPr>
        <w:t xml:space="preserve">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4D4543B1" w:rsidR="00A8204C" w:rsidRDefault="00A8204C" w:rsidP="0020386A">
      <w:pPr>
        <w:tabs>
          <w:tab w:val="left" w:pos="709"/>
        </w:tabs>
        <w:ind w:firstLine="567"/>
        <w:rPr>
          <w:sz w:val="24"/>
          <w:szCs w:val="24"/>
        </w:rPr>
      </w:pPr>
      <w:r>
        <w:rPr>
          <w:sz w:val="24"/>
          <w:szCs w:val="24"/>
        </w:rPr>
        <w:t xml:space="preserve">The CBS test battery’s novel approach to cognitive testing is based on standard neuropsychological tests. However, 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 is taken. </w:t>
      </w:r>
    </w:p>
    <w:p w14:paraId="62FF12C3" w14:textId="6B02FF8B" w:rsidR="002706E2" w:rsidRDefault="002706E2" w:rsidP="002706E2">
      <w:pPr>
        <w:tabs>
          <w:tab w:val="left" w:pos="709"/>
        </w:tabs>
        <w:ind w:firstLine="567"/>
        <w:rPr>
          <w:sz w:val="24"/>
          <w:szCs w:val="24"/>
        </w:rPr>
      </w:pPr>
      <w:r>
        <w:rPr>
          <w:sz w:val="24"/>
          <w:szCs w:val="24"/>
        </w:rPr>
        <w:t>This</w:t>
      </w:r>
      <w:r w:rsidR="004550EB">
        <w:rPr>
          <w:sz w:val="24"/>
          <w:szCs w:val="24"/>
        </w:rPr>
        <w:t xml:space="preserve"> </w:t>
      </w:r>
      <w:r>
        <w:rPr>
          <w:sz w:val="24"/>
          <w:szCs w:val="24"/>
        </w:rPr>
        <w:t xml:space="preserve">easy to use, independently </w:t>
      </w:r>
      <w:r w:rsidR="00E1613B">
        <w:rPr>
          <w:sz w:val="24"/>
          <w:szCs w:val="24"/>
        </w:rPr>
        <w:t>completed</w:t>
      </w:r>
      <w:r>
        <w:rPr>
          <w:sz w:val="24"/>
          <w:szCs w:val="24"/>
        </w:rPr>
        <w:t xml:space="preserve"> cognitive testing battery co</w:t>
      </w:r>
      <w:r w:rsidR="00E1613B">
        <w:rPr>
          <w:sz w:val="24"/>
          <w:szCs w:val="24"/>
        </w:rPr>
        <w:t>uld</w:t>
      </w:r>
      <w:r>
        <w:rPr>
          <w:sz w:val="24"/>
          <w:szCs w:val="24"/>
        </w:rPr>
        <w:t xml:space="preserve"> regularly </w:t>
      </w:r>
      <w:r w:rsidR="00E1613B">
        <w:rPr>
          <w:sz w:val="24"/>
          <w:szCs w:val="24"/>
        </w:rPr>
        <w:t xml:space="preserve">be administered </w:t>
      </w:r>
      <w:r>
        <w:rPr>
          <w:sz w:val="24"/>
          <w:szCs w:val="24"/>
        </w:rPr>
        <w:t xml:space="preserve">on a portable computer prior to seeing a physician. </w:t>
      </w:r>
      <w:r w:rsidR="00A8204C">
        <w:rPr>
          <w:sz w:val="24"/>
          <w:szCs w:val="24"/>
        </w:rPr>
        <w:t>This novel</w:t>
      </w:r>
      <w:r>
        <w:rPr>
          <w:sz w:val="24"/>
          <w:szCs w:val="24"/>
        </w:rPr>
        <w:t xml:space="preserve"> test</w:t>
      </w:r>
      <w:r w:rsidR="00A8204C">
        <w:rPr>
          <w:sz w:val="24"/>
          <w:szCs w:val="24"/>
        </w:rPr>
        <w:t>ing platform</w:t>
      </w:r>
      <w:r>
        <w:rPr>
          <w:sz w:val="24"/>
          <w:szCs w:val="24"/>
        </w:rPr>
        <w:t xml:space="preserve"> could flag potential cognitive decline and serve as a signal to the primary care physician that more in-depth cognitive testi</w:t>
      </w:r>
      <w:r w:rsidR="00A8204C">
        <w:rPr>
          <w:sz w:val="24"/>
          <w:szCs w:val="24"/>
        </w:rPr>
        <w:t>ng is warranted. G</w:t>
      </w:r>
      <w:r w:rsidR="00B21BF0">
        <w:rPr>
          <w:sz w:val="24"/>
          <w:szCs w:val="24"/>
        </w:rPr>
        <w:t>iven the rates of undiagnosed</w:t>
      </w:r>
      <w:r w:rsidR="00A8204C">
        <w:rPr>
          <w:sz w:val="24"/>
          <w:szCs w:val="24"/>
        </w:rPr>
        <w:t xml:space="preserve"> dementia, such screening measures could allow physicians to more accurately diagnose dementia in their patients. </w:t>
      </w:r>
    </w:p>
    <w:p w14:paraId="7E3964F5" w14:textId="6E7F9DF3" w:rsidR="002706E2" w:rsidRDefault="002706E2" w:rsidP="002706E2">
      <w:pPr>
        <w:tabs>
          <w:tab w:val="left" w:pos="709"/>
        </w:tabs>
        <w:ind w:firstLine="567"/>
        <w:rPr>
          <w:sz w:val="24"/>
          <w:szCs w:val="24"/>
        </w:rPr>
      </w:pPr>
      <w:r>
        <w:rPr>
          <w:sz w:val="24"/>
          <w:szCs w:val="24"/>
        </w:rPr>
        <w:t xml:space="preserve"> We compared the results of this online battery to the </w:t>
      </w:r>
      <w:proofErr w:type="spellStart"/>
      <w:r>
        <w:rPr>
          <w:sz w:val="24"/>
          <w:szCs w:val="24"/>
        </w:rPr>
        <w:t>MoCA</w:t>
      </w:r>
      <w:proofErr w:type="spellEnd"/>
      <w:r>
        <w:rPr>
          <w:sz w:val="24"/>
          <w:szCs w:val="24"/>
        </w:rPr>
        <w:t xml:space="preserve"> and MMSE scores of the same patients to: </w:t>
      </w:r>
    </w:p>
    <w:p w14:paraId="7AE3104D" w14:textId="77777777" w:rsidR="002706E2" w:rsidRDefault="002706E2" w:rsidP="002706E2">
      <w:pPr>
        <w:tabs>
          <w:tab w:val="left" w:pos="709"/>
        </w:tabs>
        <w:ind w:firstLine="567"/>
        <w:rPr>
          <w:sz w:val="24"/>
          <w:szCs w:val="24"/>
        </w:rPr>
      </w:pPr>
      <w:proofErr w:type="spellStart"/>
      <w:r>
        <w:rPr>
          <w:sz w:val="24"/>
          <w:szCs w:val="24"/>
        </w:rPr>
        <w:t>i</w:t>
      </w:r>
      <w:proofErr w:type="spellEnd"/>
      <w:r>
        <w:rPr>
          <w:sz w:val="24"/>
          <w:szCs w:val="24"/>
        </w:rPr>
        <w:t xml:space="preserve">) </w:t>
      </w:r>
      <w:proofErr w:type="gramStart"/>
      <w:r>
        <w:rPr>
          <w:sz w:val="24"/>
          <w:szCs w:val="24"/>
        </w:rPr>
        <w:t>replicate</w:t>
      </w:r>
      <w:proofErr w:type="gramEnd"/>
      <w:r>
        <w:rPr>
          <w:sz w:val="24"/>
          <w:szCs w:val="24"/>
        </w:rPr>
        <w:t xml:space="preserv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 xml:space="preserve">ii) </w:t>
      </w:r>
      <w:proofErr w:type="gramStart"/>
      <w:r>
        <w:rPr>
          <w:sz w:val="24"/>
          <w:szCs w:val="24"/>
        </w:rPr>
        <w:t>evaluate</w:t>
      </w:r>
      <w:proofErr w:type="gramEnd"/>
      <w:r>
        <w:rPr>
          <w:sz w:val="24"/>
          <w:szCs w:val="24"/>
        </w:rPr>
        <w:t xml:space="preserve"> the feasibility of using an online battery</w:t>
      </w:r>
    </w:p>
    <w:p w14:paraId="7DFEC780" w14:textId="77777777" w:rsidR="00A8204C" w:rsidRDefault="002706E2" w:rsidP="00A8204C">
      <w:pPr>
        <w:tabs>
          <w:tab w:val="left" w:pos="709"/>
        </w:tabs>
        <w:ind w:firstLine="567"/>
        <w:rPr>
          <w:sz w:val="24"/>
          <w:szCs w:val="24"/>
        </w:rPr>
      </w:pPr>
      <w:r>
        <w:rPr>
          <w:sz w:val="24"/>
          <w:szCs w:val="24"/>
        </w:rPr>
        <w:t xml:space="preserve">iii) </w:t>
      </w:r>
      <w:proofErr w:type="gramStart"/>
      <w:r>
        <w:rPr>
          <w:sz w:val="24"/>
          <w:szCs w:val="24"/>
        </w:rPr>
        <w:t>begin</w:t>
      </w:r>
      <w:proofErr w:type="gramEnd"/>
      <w:r>
        <w:rPr>
          <w:sz w:val="24"/>
          <w:szCs w:val="24"/>
        </w:rPr>
        <w:t xml:space="preserve"> examining non-inferiority of </w:t>
      </w:r>
      <w:r w:rsidR="00A8204C">
        <w:rPr>
          <w:sz w:val="24"/>
          <w:szCs w:val="24"/>
        </w:rPr>
        <w:t>the</w:t>
      </w:r>
      <w:r>
        <w:rPr>
          <w:sz w:val="24"/>
          <w:szCs w:val="24"/>
        </w:rPr>
        <w:t xml:space="preserve"> </w:t>
      </w:r>
      <w:r w:rsidR="00A8204C">
        <w:rPr>
          <w:sz w:val="24"/>
          <w:szCs w:val="24"/>
        </w:rPr>
        <w:t>new test</w:t>
      </w:r>
      <w:r>
        <w:rPr>
          <w:sz w:val="24"/>
          <w:szCs w:val="24"/>
        </w:rPr>
        <w:t xml:space="preserve"> 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217C97E1" w:rsidR="00FC0731" w:rsidRPr="002A535D" w:rsidRDefault="00062D31" w:rsidP="00A50A2F">
      <w:pPr>
        <w:rPr>
          <w:b/>
          <w:sz w:val="24"/>
          <w:szCs w:val="24"/>
        </w:rPr>
      </w:pPr>
      <w:r>
        <w:rPr>
          <w:b/>
          <w:sz w:val="24"/>
          <w:szCs w:val="24"/>
        </w:rPr>
        <w:t>S</w:t>
      </w:r>
      <w:r w:rsidR="00FC0731" w:rsidRPr="002A535D">
        <w:rPr>
          <w:b/>
          <w:sz w:val="24"/>
          <w:szCs w:val="24"/>
        </w:rPr>
        <w:t>ubjects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w:t>
      </w:r>
      <w:proofErr w:type="gramStart"/>
      <w:r w:rsidR="00FC0731" w:rsidRPr="002A535D">
        <w:rPr>
          <w:sz w:val="24"/>
          <w:szCs w:val="24"/>
        </w:rPr>
        <w:t>participant</w:t>
      </w:r>
      <w:proofErr w:type="gramEnd"/>
      <w:r w:rsidR="00FC0731" w:rsidRPr="002A535D">
        <w:rPr>
          <w:sz w:val="24"/>
          <w:szCs w:val="24"/>
        </w:rPr>
        <w:t xml:space="preserve">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w:t>
      </w:r>
      <w:proofErr w:type="gramStart"/>
      <w:r w:rsidR="00FC0731" w:rsidRPr="002A535D">
        <w:rPr>
          <w:sz w:val="24"/>
          <w:szCs w:val="24"/>
        </w:rPr>
        <w:t>study was approved by the University of Western Ontario Research Ethics Board</w:t>
      </w:r>
      <w:proofErr w:type="gramEnd"/>
      <w:r w:rsidR="00FC0731" w:rsidRPr="002A535D">
        <w:rPr>
          <w:sz w:val="24"/>
          <w:szCs w:val="24"/>
        </w:rPr>
        <w:t xml:space="preserve">.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7772B24C"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proofErr w:type="spellStart"/>
      <w:r w:rsidR="00BA0688" w:rsidRPr="002A535D">
        <w:rPr>
          <w:sz w:val="24"/>
          <w:szCs w:val="24"/>
        </w:rPr>
        <w:t>MoCA</w:t>
      </w:r>
      <w:proofErr w:type="spellEnd"/>
      <w:r w:rsidR="00BA0688" w:rsidRPr="002A535D">
        <w:rPr>
          <w:sz w:val="24"/>
          <w:szCs w:val="24"/>
        </w:rPr>
        <w:t xml:space="preserve">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766370E" w:rsidR="001666A6" w:rsidRPr="002A535D" w:rsidRDefault="00702431" w:rsidP="00A50A2F">
      <w:pPr>
        <w:jc w:val="center"/>
        <w:rPr>
          <w:b/>
          <w:sz w:val="24"/>
          <w:szCs w:val="24"/>
        </w:rPr>
      </w:pPr>
      <w:r>
        <w:rPr>
          <w:b/>
          <w:sz w:val="24"/>
          <w:szCs w:val="24"/>
        </w:rPr>
        <w:t>RESULTS</w:t>
      </w:r>
    </w:p>
    <w:p w14:paraId="66A84678" w14:textId="55FB12EB"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proofErr w:type="spellStart"/>
      <w:r w:rsidR="00AE42B1">
        <w:rPr>
          <w:sz w:val="24"/>
          <w:szCs w:val="24"/>
        </w:rPr>
        <w:t>MoCA</w:t>
      </w:r>
      <w:proofErr w:type="spellEnd"/>
      <w:r w:rsidR="00AE42B1">
        <w:rPr>
          <w:sz w:val="24"/>
          <w:szCs w:val="24"/>
        </w:rPr>
        <w:t xml:space="preserve">,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proofErr w:type="spellStart"/>
      <w:r w:rsidR="00AE42B1">
        <w:rPr>
          <w:sz w:val="24"/>
          <w:szCs w:val="24"/>
        </w:rPr>
        <w:t>MoCA</w:t>
      </w:r>
      <w:proofErr w:type="spellEnd"/>
      <w:r w:rsidR="00AE42B1">
        <w:rPr>
          <w:sz w:val="24"/>
          <w:szCs w:val="24"/>
        </w:rPr>
        <w:t xml:space="preserve">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xml:space="preserve">,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w:t>
      </w:r>
      <w:proofErr w:type="spellStart"/>
      <w:r w:rsidR="004F4202">
        <w:rPr>
          <w:sz w:val="24"/>
          <w:szCs w:val="24"/>
        </w:rPr>
        <w:t>MoCA</w:t>
      </w:r>
      <w:proofErr w:type="spellEnd"/>
      <w:r w:rsidR="004F4202">
        <w:rPr>
          <w:sz w:val="24"/>
          <w:szCs w:val="24"/>
        </w:rPr>
        <w:t xml:space="preserve">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16F5348F"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r w:rsidR="007D2AC1">
        <w:rPr>
          <w:sz w:val="24"/>
          <w:szCs w:val="24"/>
          <w:lang w:val="da-DK"/>
        </w:rPr>
        <w:t xml:space="preserve">The </w:t>
      </w:r>
      <w:proofErr w:type="spellStart"/>
      <w:r w:rsidR="007D2AC1">
        <w:rPr>
          <w:sz w:val="24"/>
          <w:szCs w:val="24"/>
          <w:lang w:val="da-DK"/>
        </w:rPr>
        <w:t>ceiling</w:t>
      </w:r>
      <w:proofErr w:type="spellEnd"/>
      <w:r w:rsidR="007D2AC1">
        <w:rPr>
          <w:sz w:val="24"/>
          <w:szCs w:val="24"/>
          <w:lang w:val="da-DK"/>
        </w:rPr>
        <w:t xml:space="preserve"> </w:t>
      </w:r>
      <w:proofErr w:type="spellStart"/>
      <w:r w:rsidR="007D2AC1">
        <w:rPr>
          <w:sz w:val="24"/>
          <w:szCs w:val="24"/>
          <w:lang w:val="da-DK"/>
        </w:rPr>
        <w:t>effect</w:t>
      </w:r>
      <w:proofErr w:type="spellEnd"/>
      <w:r w:rsidR="007D2AC1">
        <w:rPr>
          <w:sz w:val="24"/>
          <w:szCs w:val="24"/>
          <w:lang w:val="da-DK"/>
        </w:rPr>
        <w:t xml:space="preserve"> </w:t>
      </w:r>
      <w:proofErr w:type="spellStart"/>
      <w:r w:rsidR="007D2AC1">
        <w:rPr>
          <w:sz w:val="24"/>
          <w:szCs w:val="24"/>
          <w:lang w:val="da-DK"/>
        </w:rPr>
        <w:t>precluded</w:t>
      </w:r>
      <w:proofErr w:type="spellEnd"/>
      <w:r w:rsidR="007D2AC1">
        <w:rPr>
          <w:sz w:val="24"/>
          <w:szCs w:val="24"/>
          <w:lang w:val="da-DK"/>
        </w:rPr>
        <w:t xml:space="preserve"> </w:t>
      </w:r>
      <w:proofErr w:type="spellStart"/>
      <w:r w:rsidR="007D2AC1">
        <w:rPr>
          <w:sz w:val="24"/>
          <w:szCs w:val="24"/>
          <w:lang w:val="da-DK"/>
        </w:rPr>
        <w:t>performing</w:t>
      </w:r>
      <w:proofErr w:type="spellEnd"/>
      <w:r w:rsidR="007D2AC1">
        <w:rPr>
          <w:sz w:val="24"/>
          <w:szCs w:val="24"/>
          <w:lang w:val="da-DK"/>
        </w:rPr>
        <w:t xml:space="preserve">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15D7A1D2" w14:textId="548A6B41"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group was reallocated to either the impaired or unimpaired groups based on their CBS 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 When multiple tests were used, participants were only categorized if categorization was consistent across all tests in the combination. </w:t>
      </w:r>
    </w:p>
    <w:p w14:paraId="1153B1FA" w14:textId="73B9C09A" w:rsidR="00960595" w:rsidRDefault="0004680F" w:rsidP="00960595">
      <w:pPr>
        <w:jc w:val="center"/>
        <w:rPr>
          <w:sz w:val="24"/>
          <w:szCs w:val="24"/>
        </w:rPr>
      </w:pPr>
      <w:r>
        <w:rPr>
          <w:noProof/>
          <w:sz w:val="24"/>
          <w:szCs w:val="24"/>
          <w:lang w:val="en-US"/>
        </w:rPr>
        <w:drawing>
          <wp:inline distT="0" distB="0" distL="0" distR="0" wp14:anchorId="381ECAEF" wp14:editId="1E88448B">
            <wp:extent cx="4840941" cy="45929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s.png"/>
                    <pic:cNvPicPr/>
                  </pic:nvPicPr>
                  <pic:blipFill rotWithShape="1">
                    <a:blip r:embed="rId10">
                      <a:extLst>
                        <a:ext uri="{28A0092B-C50C-407E-A947-70E740481C1C}">
                          <a14:useLocalDpi xmlns:a14="http://schemas.microsoft.com/office/drawing/2010/main" val="0"/>
                        </a:ext>
                      </a:extLst>
                    </a:blip>
                    <a:srcRect r="18552"/>
                    <a:stretch/>
                  </pic:blipFill>
                  <pic:spPr bwMode="auto">
                    <a:xfrm>
                      <a:off x="0" y="0"/>
                      <a:ext cx="4840941" cy="4592955"/>
                    </a:xfrm>
                    <a:prstGeom prst="rect">
                      <a:avLst/>
                    </a:prstGeom>
                    <a:ln>
                      <a:noFill/>
                    </a:ln>
                    <a:extLst>
                      <a:ext uri="{53640926-AAD7-44d8-BBD7-CCE9431645EC}">
                        <a14:shadowObscured xmlns:a14="http://schemas.microsoft.com/office/drawing/2010/main"/>
                      </a:ext>
                    </a:extLst>
                  </pic:spPr>
                </pic:pic>
              </a:graphicData>
            </a:graphic>
          </wp:inline>
        </w:drawing>
      </w:r>
    </w:p>
    <w:p w14:paraId="2DEB3C8B" w14:textId="1E1FD2E6" w:rsidR="0004680F" w:rsidRPr="0004680F" w:rsidRDefault="0004680F" w:rsidP="0004680F">
      <w:pPr>
        <w:rPr>
          <w:sz w:val="20"/>
          <w:szCs w:val="20"/>
        </w:rPr>
      </w:pPr>
      <w:r w:rsidRPr="0004680F">
        <w:rPr>
          <w:rFonts w:cs="ArialMT"/>
          <w:sz w:val="20"/>
          <w:szCs w:val="20"/>
        </w:rPr>
        <w:t xml:space="preserve">Figure 1. </w:t>
      </w:r>
      <w:r w:rsidR="00760217">
        <w:rPr>
          <w:rFonts w:cs="ArialMT"/>
          <w:sz w:val="20"/>
          <w:szCs w:val="20"/>
        </w:rPr>
        <w:t xml:space="preserve">The proportion of participants categorized as unimpaired, impaired, or borderline is shown. The </w:t>
      </w:r>
      <w:proofErr w:type="spellStart"/>
      <w:r w:rsidR="00760217">
        <w:rPr>
          <w:rFonts w:cs="ArialMT"/>
          <w:sz w:val="20"/>
          <w:szCs w:val="20"/>
        </w:rPr>
        <w:t>MoCA</w:t>
      </w:r>
      <w:proofErr w:type="spellEnd"/>
      <w:r w:rsidR="00760217">
        <w:rPr>
          <w:rFonts w:cs="ArialMT"/>
          <w:sz w:val="20"/>
          <w:szCs w:val="20"/>
        </w:rPr>
        <w:t xml:space="preserve"> alone categorizes 72% of participants leaving 28% in the borderlin</w:t>
      </w:r>
      <w:r w:rsidR="00C52968">
        <w:rPr>
          <w:rFonts w:cs="ArialMT"/>
          <w:sz w:val="20"/>
          <w:szCs w:val="20"/>
        </w:rPr>
        <w:t>e</w:t>
      </w:r>
      <w:r w:rsidR="00B21BF0">
        <w:rPr>
          <w:rFonts w:cs="ArialMT"/>
          <w:sz w:val="20"/>
          <w:szCs w:val="20"/>
        </w:rPr>
        <w:t xml:space="preserve"> category. The addition of the Spatial P</w:t>
      </w:r>
      <w:bookmarkStart w:id="1" w:name="_GoBack"/>
      <w:bookmarkEnd w:id="1"/>
      <w:r w:rsidR="00C52968">
        <w:rPr>
          <w:rFonts w:cs="ArialMT"/>
          <w:sz w:val="20"/>
          <w:szCs w:val="20"/>
        </w:rPr>
        <w:t xml:space="preserve">lanning task categorizes 92% of participants leaving only 8% in the borderline category. The MMSE scores are at ceiling and are not informative in this population. </w:t>
      </w:r>
    </w:p>
    <w:p w14:paraId="5B04FCA9" w14:textId="4A464E89" w:rsidR="00E53396" w:rsidRDefault="00B92BDA" w:rsidP="00ED0E30">
      <w:pPr>
        <w:ind w:firstLine="567"/>
        <w:rPr>
          <w:sz w:val="24"/>
          <w:szCs w:val="24"/>
        </w:rPr>
      </w:pPr>
      <w:r>
        <w:rPr>
          <w:sz w:val="24"/>
          <w:szCs w:val="24"/>
        </w:rPr>
        <w:t xml:space="preserve">With the </w:t>
      </w:r>
      <w:proofErr w:type="spellStart"/>
      <w:r>
        <w:rPr>
          <w:sz w:val="24"/>
          <w:szCs w:val="24"/>
        </w:rPr>
        <w:t>MoCA</w:t>
      </w:r>
      <w:proofErr w:type="spellEnd"/>
      <w:r>
        <w:rPr>
          <w:sz w:val="24"/>
          <w:szCs w:val="24"/>
        </w:rPr>
        <w:t xml:space="preserve"> alone, </w:t>
      </w:r>
      <w:r w:rsidR="0004680F">
        <w:rPr>
          <w:sz w:val="24"/>
          <w:szCs w:val="24"/>
        </w:rPr>
        <w:t>72</w:t>
      </w:r>
      <w:r>
        <w:rPr>
          <w:sz w:val="24"/>
          <w:szCs w:val="24"/>
        </w:rPr>
        <w:t>% of participants were classified</w:t>
      </w:r>
      <w:r w:rsidR="00145389">
        <w:rPr>
          <w:sz w:val="24"/>
          <w:szCs w:val="24"/>
        </w:rPr>
        <w:t xml:space="preserve"> as impaired</w:t>
      </w:r>
      <w:r w:rsidR="00F87D96">
        <w:rPr>
          <w:sz w:val="24"/>
          <w:szCs w:val="24"/>
        </w:rPr>
        <w:t xml:space="preserve"> (scores&lt;22)</w:t>
      </w:r>
      <w:r w:rsidR="00145389">
        <w:rPr>
          <w:sz w:val="24"/>
          <w:szCs w:val="24"/>
        </w:rPr>
        <w:t xml:space="preserve"> or unimpaired</w:t>
      </w:r>
      <w:r w:rsidR="00F87D96">
        <w:rPr>
          <w:sz w:val="24"/>
          <w:szCs w:val="24"/>
        </w:rPr>
        <w:t xml:space="preserve"> </w:t>
      </w:r>
      <w:proofErr w:type="gramStart"/>
      <w:r w:rsidR="00F87D96">
        <w:rPr>
          <w:sz w:val="24"/>
          <w:szCs w:val="24"/>
        </w:rPr>
        <w:t>scores(</w:t>
      </w:r>
      <w:proofErr w:type="gramEnd"/>
      <w:r w:rsidR="00F87D96">
        <w:rPr>
          <w:sz w:val="24"/>
          <w:szCs w:val="24"/>
        </w:rPr>
        <w:t>26-30)</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5ED83CF6" w:rsidR="00755E68" w:rsidRDefault="00357752" w:rsidP="00FB4347">
      <w:pPr>
        <w:tabs>
          <w:tab w:val="left" w:pos="709"/>
        </w:tabs>
        <w:ind w:firstLine="567"/>
        <w:rPr>
          <w:sz w:val="24"/>
          <w:szCs w:val="24"/>
        </w:rPr>
      </w:pPr>
      <w:r>
        <w:rPr>
          <w:sz w:val="24"/>
          <w:szCs w:val="24"/>
        </w:rPr>
        <w:t xml:space="preserve">The goal of this study was to </w:t>
      </w:r>
      <w:r w:rsidR="00271EA0">
        <w:rPr>
          <w:sz w:val="24"/>
          <w:szCs w:val="24"/>
        </w:rPr>
        <w:t xml:space="preserve">evaluate the feasibility of </w:t>
      </w:r>
      <w:r w:rsidR="00FB4347">
        <w:rPr>
          <w:sz w:val="24"/>
          <w:szCs w:val="24"/>
        </w:rPr>
        <w:t xml:space="preserve">improving the state of cognitive testing and screening for dementia using a novel online test battery. Dementia is highly </w:t>
      </w:r>
      <w:proofErr w:type="spellStart"/>
      <w:r w:rsidR="00FB4347">
        <w:rPr>
          <w:sz w:val="24"/>
          <w:szCs w:val="24"/>
        </w:rPr>
        <w:t>underdiagnosed</w:t>
      </w:r>
      <w:proofErr w:type="spellEnd"/>
      <w:r w:rsidR="00FB4347">
        <w:rPr>
          <w:sz w:val="24"/>
          <w:szCs w:val="24"/>
        </w:rPr>
        <w:t xml:space="preserve"> and such a testing platform</w:t>
      </w:r>
      <w:r w:rsidR="00FB4347">
        <w:rPr>
          <w:sz w:val="24"/>
          <w:szCs w:val="24"/>
        </w:rPr>
        <w:t xml:space="preserve"> could</w:t>
      </w:r>
      <w:r w:rsidR="00FB4347">
        <w:rPr>
          <w:sz w:val="24"/>
          <w:szCs w:val="24"/>
        </w:rPr>
        <w:t xml:space="preserve"> help primary care physicians</w:t>
      </w:r>
      <w:r w:rsidR="00FB4347">
        <w:rPr>
          <w:sz w:val="24"/>
          <w:szCs w:val="24"/>
        </w:rPr>
        <w:t xml:space="preserve"> flag potential cognitive decline and serve as a </w:t>
      </w:r>
      <w:r w:rsidR="00FB4347">
        <w:rPr>
          <w:sz w:val="24"/>
          <w:szCs w:val="24"/>
        </w:rPr>
        <w:t>signal</w:t>
      </w:r>
      <w:r w:rsidR="00FB4347">
        <w:rPr>
          <w:sz w:val="24"/>
          <w:szCs w:val="24"/>
        </w:rPr>
        <w:t xml:space="preserve"> that more in-depth cognitive testi</w:t>
      </w:r>
      <w:r w:rsidR="00FB4347">
        <w:rPr>
          <w:sz w:val="24"/>
          <w:szCs w:val="24"/>
        </w:rPr>
        <w:t>ng is warranted.</w:t>
      </w:r>
      <w:r>
        <w:rPr>
          <w:sz w:val="24"/>
          <w:szCs w:val="24"/>
        </w:rPr>
        <w:t xml:space="preserve"> 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w:t>
      </w:r>
      <w:proofErr w:type="spellStart"/>
      <w:r w:rsidR="00755E68">
        <w:rPr>
          <w:sz w:val="24"/>
          <w:szCs w:val="24"/>
        </w:rPr>
        <w:t>MoCA</w:t>
      </w:r>
      <w:proofErr w:type="spellEnd"/>
      <w:r w:rsidR="00755E68">
        <w:rPr>
          <w:sz w:val="24"/>
          <w:szCs w:val="24"/>
        </w:rPr>
        <w:t xml:space="preserve">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proofErr w:type="spellStart"/>
      <w:r w:rsidR="00AB7B13">
        <w:rPr>
          <w:sz w:val="24"/>
          <w:szCs w:val="24"/>
        </w:rPr>
        <w:t>MoCA</w:t>
      </w:r>
      <w:proofErr w:type="spellEnd"/>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with </w:t>
      </w:r>
      <w:r w:rsidR="001F156D">
        <w:rPr>
          <w:sz w:val="24"/>
          <w:szCs w:val="24"/>
        </w:rPr>
        <w:t xml:space="preserve">the </w:t>
      </w:r>
      <w:proofErr w:type="spellStart"/>
      <w:r w:rsidR="001F156D">
        <w:rPr>
          <w:sz w:val="24"/>
          <w:szCs w:val="24"/>
        </w:rPr>
        <w:t>MoCA</w:t>
      </w:r>
      <w:proofErr w:type="spellEnd"/>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4267A752"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 xml:space="preserve">may be an effective way to </w:t>
      </w:r>
      <w:r w:rsidR="004F4341">
        <w:rPr>
          <w:sz w:val="24"/>
          <w:szCs w:val="24"/>
        </w:rPr>
        <w:t>track</w:t>
      </w:r>
      <w:r>
        <w:rPr>
          <w:sz w:val="24"/>
          <w:szCs w:val="24"/>
        </w:rPr>
        <w:t xml:space="preserve"> cognitive changes in aging adults</w:t>
      </w:r>
      <w:r w:rsidR="004F4341">
        <w:rPr>
          <w:sz w:val="24"/>
          <w:szCs w:val="24"/>
        </w:rPr>
        <w:t xml:space="preserve"> over time</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w:t>
      </w:r>
      <w:proofErr w:type="spellStart"/>
      <w:r w:rsidR="00D4595F">
        <w:rPr>
          <w:sz w:val="24"/>
          <w:szCs w:val="24"/>
        </w:rPr>
        <w:t>MoCA</w:t>
      </w:r>
      <w:proofErr w:type="spellEnd"/>
      <w:r w:rsidR="00D4595F">
        <w:rPr>
          <w:sz w:val="24"/>
          <w:szCs w:val="24"/>
        </w:rPr>
        <w:t xml:space="preserve">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proofErr w:type="spellStart"/>
      <w:r w:rsidR="003A62D6">
        <w:rPr>
          <w:sz w:val="24"/>
          <w:szCs w:val="24"/>
        </w:rPr>
        <w:t>MoCA</w:t>
      </w:r>
      <w:proofErr w:type="spellEnd"/>
      <w:r w:rsidR="003A62D6">
        <w:rPr>
          <w:sz w:val="24"/>
          <w:szCs w:val="24"/>
        </w:rPr>
        <w:t xml:space="preserve">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6A778958" w:rsidR="000F1256" w:rsidRDefault="00614F76" w:rsidP="009D529F">
      <w:pPr>
        <w:tabs>
          <w:tab w:val="left" w:pos="709"/>
        </w:tabs>
        <w:ind w:firstLine="567"/>
        <w:rPr>
          <w:sz w:val="24"/>
          <w:szCs w:val="24"/>
        </w:rPr>
      </w:pPr>
      <w:r>
        <w:rPr>
          <w:sz w:val="24"/>
          <w:szCs w:val="24"/>
        </w:rPr>
        <w:t xml:space="preserve">The current study successfully indicated that an online testing battery like the CBS battery could be used to efficiently </w:t>
      </w:r>
      <w:r w:rsidR="0020386A">
        <w:rPr>
          <w:sz w:val="24"/>
          <w:szCs w:val="24"/>
        </w:rPr>
        <w:t>screen for and monitor</w:t>
      </w:r>
      <w:r>
        <w:rPr>
          <w:sz w:val="24"/>
          <w:szCs w:val="24"/>
        </w:rPr>
        <w:t xml:space="preserve"> cognitive changes in older adults. To move towards the clinical implementation of such a testing battery, more work needs to be done to determine the sensitivity and specificity for the CBS tests. Therefore, f</w:t>
      </w:r>
      <w:r w:rsidR="00754655">
        <w:rPr>
          <w:sz w:val="24"/>
          <w:szCs w:val="24"/>
        </w:rPr>
        <w:t xml:space="preserve">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7777777"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5246A254" w14:textId="0FDECEAF" w:rsidR="00B25F24" w:rsidRPr="00B25F24" w:rsidRDefault="00B25F24" w:rsidP="00B77C7E">
      <w:pPr>
        <w:rPr>
          <w:rFonts w:cs="ArialMT"/>
          <w:b/>
          <w:sz w:val="24"/>
          <w:szCs w:val="24"/>
          <w:lang w:val="en-US"/>
        </w:rPr>
      </w:pPr>
      <w:r w:rsidRPr="00B25F24">
        <w:rPr>
          <w:rFonts w:cs="ArialMT"/>
          <w:b/>
          <w:sz w:val="24"/>
          <w:szCs w:val="24"/>
          <w:lang w:val="en-US"/>
        </w:rPr>
        <w:t>Funding</w:t>
      </w:r>
    </w:p>
    <w:p w14:paraId="45F98136" w14:textId="290CBD37" w:rsidR="00B25F24" w:rsidRDefault="00B25F24" w:rsidP="00B77C7E">
      <w:pPr>
        <w:rPr>
          <w:rFonts w:cs="ArialMT"/>
          <w:sz w:val="24"/>
          <w:szCs w:val="24"/>
          <w:lang w:val="en-US"/>
        </w:rPr>
      </w:pPr>
      <w:proofErr w:type="gramStart"/>
      <w:r>
        <w:rPr>
          <w:rFonts w:cs="ArialMT"/>
          <w:sz w:val="24"/>
          <w:szCs w:val="24"/>
        </w:rPr>
        <w:t>This project was supported by the National Science and Engineering Research Council [418550/2012] and the Canada Excellence Research Chairs Program</w:t>
      </w:r>
      <w:proofErr w:type="gramEnd"/>
      <w:r>
        <w:rPr>
          <w:rFonts w:cs="ArialMT"/>
          <w:sz w:val="24"/>
          <w:szCs w:val="24"/>
        </w:rPr>
        <w:t xml:space="preserve"> [#215063].</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proofErr w:type="gramStart"/>
            <w:r>
              <w:rPr>
                <w:b/>
                <w:sz w:val="24"/>
                <w:szCs w:val="24"/>
              </w:rPr>
              <w:t>s</w:t>
            </w:r>
            <w:r w:rsidR="00832527" w:rsidRPr="00DE5310">
              <w:rPr>
                <w:b/>
                <w:sz w:val="24"/>
                <w:szCs w:val="24"/>
              </w:rPr>
              <w:t>cores</w:t>
            </w:r>
            <w:proofErr w:type="gramEnd"/>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proofErr w:type="gramStart"/>
            <w:r w:rsidRPr="00DE5310">
              <w:rPr>
                <w:b/>
                <w:sz w:val="24"/>
                <w:szCs w:val="24"/>
              </w:rPr>
              <w:t>age</w:t>
            </w:r>
            <w:proofErr w:type="gramEnd"/>
            <w:r w:rsidRPr="00DE5310">
              <w:rPr>
                <w:b/>
                <w:sz w:val="24"/>
                <w:szCs w:val="24"/>
              </w:rPr>
              <w:t xml:space="preserv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proofErr w:type="spellStart"/>
            <w:r>
              <w:rPr>
                <w:sz w:val="24"/>
                <w:szCs w:val="24"/>
              </w:rPr>
              <w:t>MoCA</w:t>
            </w:r>
            <w:proofErr w:type="spellEnd"/>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3D7AB020" w:rsidR="00702431" w:rsidRPr="006F32CF"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sectPr w:rsidR="00702431" w:rsidRPr="006F32CF" w:rsidSect="00B77C7E">
      <w:headerReference w:type="default" r:id="rId1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vis apramian" w:date="2018-11-17T22:32:00Z" w:initials="ta">
    <w:p w14:paraId="64E43E35" w14:textId="19D29C34" w:rsidR="00271EA0" w:rsidRDefault="00271EA0">
      <w:pPr>
        <w:pStyle w:val="CommentText"/>
      </w:pPr>
      <w:r>
        <w:rPr>
          <w:rStyle w:val="CommentReference"/>
        </w:rPr>
        <w:annotationRef/>
      </w:r>
      <w:r>
        <w:rPr>
          <w:rFonts w:ascii="Arial" w:hAnsi="Arial" w:cs="Arial"/>
          <w:color w:val="222222"/>
          <w:shd w:val="clear" w:color="auto" w:fill="FFFFFF"/>
        </w:rPr>
        <w:t>EDITOR COMMENTS (if any): A simple online test that enhances our ability to identify MCI and dementia would be of value. However there are major problems with this study as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sample size is small, not diverse, and comes from one institution.</w:t>
      </w:r>
      <w:r>
        <w:rPr>
          <w:rFonts w:ascii="Arial" w:hAnsi="Arial" w:cs="Arial"/>
          <w:color w:val="222222"/>
        </w:rPr>
        <w:br/>
      </w:r>
      <w:r>
        <w:rPr>
          <w:rFonts w:ascii="Arial" w:hAnsi="Arial" w:cs="Arial"/>
          <w:color w:val="222222"/>
          <w:shd w:val="clear" w:color="auto" w:fill="FFFFFF"/>
        </w:rPr>
        <w:t>2. The test does not appear to be validated against diagnostic standards for MCI or dementia.</w:t>
      </w:r>
      <w:r>
        <w:rPr>
          <w:rFonts w:ascii="Arial" w:hAnsi="Arial" w:cs="Arial"/>
          <w:color w:val="222222"/>
        </w:rPr>
        <w:br/>
      </w:r>
      <w:r>
        <w:rPr>
          <w:rFonts w:ascii="Arial" w:hAnsi="Arial" w:cs="Arial"/>
          <w:color w:val="222222"/>
          <w:shd w:val="clear" w:color="auto" w:fill="FFFFFF"/>
        </w:rPr>
        <w:t>3. The data are presented in a confusing way.</w:t>
      </w:r>
      <w:r>
        <w:rPr>
          <w:rFonts w:ascii="Arial" w:hAnsi="Arial" w:cs="Arial"/>
          <w:color w:val="222222"/>
        </w:rPr>
        <w:br/>
      </w:r>
      <w:r>
        <w:rPr>
          <w:rFonts w:ascii="Arial" w:hAnsi="Arial" w:cs="Arial"/>
          <w:color w:val="222222"/>
          <w:shd w:val="clear" w:color="auto" w:fill="FFFFFF"/>
        </w:rPr>
        <w:t>4. The senior author, if paid as a Scientific Advisor, has a significant conflict or interest and there is no statement about how this potential conflict is managed. I am very familiar with this issue as I have had to develop financial conflict of interest plans for my own recent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43E35" w15:done="0"/>
  <w15:commentEx w15:paraId="638FAA24" w15:paraIdParent="64E43E35" w15:done="0"/>
  <w15:commentEx w15:paraId="54E86037" w15:done="0"/>
  <w15:commentEx w15:paraId="1460F366" w15:done="0"/>
  <w15:commentEx w15:paraId="198835BD" w15:done="0"/>
  <w15:commentEx w15:paraId="768B98C3" w15:done="0"/>
  <w15:commentEx w15:paraId="763B6A6C" w15:done="0"/>
  <w15:commentEx w15:paraId="34933E2E" w15:done="0"/>
  <w15:commentEx w15:paraId="786088BF" w15:done="0"/>
  <w15:commentEx w15:paraId="634C737F" w15:done="0"/>
  <w15:commentEx w15:paraId="7B7DF74E" w15:done="0"/>
  <w15:commentEx w15:paraId="011D0F77" w15:done="0"/>
  <w15:commentEx w15:paraId="55212646" w15:done="0"/>
  <w15:commentEx w15:paraId="10218002" w15:done="0"/>
  <w15:commentEx w15:paraId="5906566F" w15:done="0"/>
  <w15:commentEx w15:paraId="541AB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F9C4" w14:textId="77777777" w:rsidR="00271EA0" w:rsidRDefault="00271EA0" w:rsidP="00A50A2F">
      <w:pPr>
        <w:spacing w:after="0" w:line="240" w:lineRule="auto"/>
      </w:pPr>
      <w:r>
        <w:separator/>
      </w:r>
    </w:p>
  </w:endnote>
  <w:endnote w:type="continuationSeparator" w:id="0">
    <w:p w14:paraId="01361241" w14:textId="77777777" w:rsidR="00271EA0" w:rsidRDefault="00271EA0"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231B5" w14:textId="77777777" w:rsidR="00271EA0" w:rsidRDefault="00271EA0" w:rsidP="00A50A2F">
      <w:pPr>
        <w:spacing w:after="0" w:line="240" w:lineRule="auto"/>
      </w:pPr>
      <w:r>
        <w:separator/>
      </w:r>
    </w:p>
  </w:footnote>
  <w:footnote w:type="continuationSeparator" w:id="0">
    <w:p w14:paraId="59D27444" w14:textId="77777777" w:rsidR="00271EA0" w:rsidRDefault="00271EA0" w:rsidP="00A50A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324911"/>
      <w:docPartObj>
        <w:docPartGallery w:val="Page Numbers (Top of Page)"/>
        <w:docPartUnique/>
      </w:docPartObj>
    </w:sdtPr>
    <w:sdtEndPr>
      <w:rPr>
        <w:noProof/>
      </w:rPr>
    </w:sdtEndPr>
    <w:sdtContent>
      <w:p w14:paraId="7AF8649C" w14:textId="16356794" w:rsidR="00271EA0" w:rsidRDefault="00271EA0">
        <w:pPr>
          <w:pStyle w:val="Header"/>
          <w:jc w:val="right"/>
        </w:pPr>
        <w:r>
          <w:fldChar w:fldCharType="begin"/>
        </w:r>
        <w:r>
          <w:instrText xml:space="preserve"> PAGE   \* MERGEFORMAT </w:instrText>
        </w:r>
        <w:r>
          <w:fldChar w:fldCharType="separate"/>
        </w:r>
        <w:r w:rsidR="00B21BF0">
          <w:rPr>
            <w:noProof/>
          </w:rPr>
          <w:t>7</w:t>
        </w:r>
        <w:r>
          <w:rPr>
            <w:noProof/>
          </w:rPr>
          <w:fldChar w:fldCharType="end"/>
        </w:r>
      </w:p>
    </w:sdtContent>
  </w:sdt>
  <w:p w14:paraId="25AEE121" w14:textId="77777777" w:rsidR="00271EA0" w:rsidRDefault="00271E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vis apramian">
    <w15:presenceInfo w15:providerId="Windows Live" w15:userId="552522d94dba5404"/>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activeWritingStyle w:appName="MSWord" w:lang="en-CA"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41AFE"/>
    <w:rsid w:val="000423E7"/>
    <w:rsid w:val="0004680F"/>
    <w:rsid w:val="0005017A"/>
    <w:rsid w:val="0005657E"/>
    <w:rsid w:val="00062D31"/>
    <w:rsid w:val="00094E31"/>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A3286"/>
    <w:rsid w:val="003A62D6"/>
    <w:rsid w:val="003A7AD7"/>
    <w:rsid w:val="003B46EC"/>
    <w:rsid w:val="003E4809"/>
    <w:rsid w:val="003E5762"/>
    <w:rsid w:val="00402D3A"/>
    <w:rsid w:val="00410F18"/>
    <w:rsid w:val="00424DEA"/>
    <w:rsid w:val="00434A20"/>
    <w:rsid w:val="00443C18"/>
    <w:rsid w:val="00446051"/>
    <w:rsid w:val="00446A84"/>
    <w:rsid w:val="004550EB"/>
    <w:rsid w:val="004614B1"/>
    <w:rsid w:val="00467AEB"/>
    <w:rsid w:val="004773D0"/>
    <w:rsid w:val="0048400B"/>
    <w:rsid w:val="004949AD"/>
    <w:rsid w:val="00494CCD"/>
    <w:rsid w:val="004A786F"/>
    <w:rsid w:val="004C0581"/>
    <w:rsid w:val="004D2EA8"/>
    <w:rsid w:val="004D33D2"/>
    <w:rsid w:val="004E1F55"/>
    <w:rsid w:val="004F36E5"/>
    <w:rsid w:val="004F4202"/>
    <w:rsid w:val="004F4341"/>
    <w:rsid w:val="0051386C"/>
    <w:rsid w:val="00520A1A"/>
    <w:rsid w:val="00526573"/>
    <w:rsid w:val="00526588"/>
    <w:rsid w:val="00535CB3"/>
    <w:rsid w:val="00535E67"/>
    <w:rsid w:val="005453DA"/>
    <w:rsid w:val="00563617"/>
    <w:rsid w:val="005662E2"/>
    <w:rsid w:val="00574C32"/>
    <w:rsid w:val="005761F9"/>
    <w:rsid w:val="00585697"/>
    <w:rsid w:val="005B383C"/>
    <w:rsid w:val="005B3F20"/>
    <w:rsid w:val="005B460F"/>
    <w:rsid w:val="005B689D"/>
    <w:rsid w:val="005B6AA3"/>
    <w:rsid w:val="005C1966"/>
    <w:rsid w:val="005C76A2"/>
    <w:rsid w:val="005D403D"/>
    <w:rsid w:val="005D599E"/>
    <w:rsid w:val="005D7AF8"/>
    <w:rsid w:val="005F0CCD"/>
    <w:rsid w:val="005F5FCA"/>
    <w:rsid w:val="00614F76"/>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75DF"/>
    <w:rsid w:val="0072335C"/>
    <w:rsid w:val="00733BBC"/>
    <w:rsid w:val="0073789A"/>
    <w:rsid w:val="007416C1"/>
    <w:rsid w:val="00741BE1"/>
    <w:rsid w:val="00744170"/>
    <w:rsid w:val="00754655"/>
    <w:rsid w:val="00755E68"/>
    <w:rsid w:val="00760217"/>
    <w:rsid w:val="00783C34"/>
    <w:rsid w:val="007976AD"/>
    <w:rsid w:val="007A291F"/>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492A"/>
    <w:rsid w:val="008F7FFE"/>
    <w:rsid w:val="00902DEB"/>
    <w:rsid w:val="00903A15"/>
    <w:rsid w:val="0092033D"/>
    <w:rsid w:val="00920A6A"/>
    <w:rsid w:val="00921C2D"/>
    <w:rsid w:val="009432BB"/>
    <w:rsid w:val="0094404F"/>
    <w:rsid w:val="00944B0A"/>
    <w:rsid w:val="00953E40"/>
    <w:rsid w:val="00960595"/>
    <w:rsid w:val="009653CF"/>
    <w:rsid w:val="009712C4"/>
    <w:rsid w:val="00991AA6"/>
    <w:rsid w:val="009A640D"/>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70012"/>
    <w:rsid w:val="00B77C7E"/>
    <w:rsid w:val="00B92BDA"/>
    <w:rsid w:val="00B92DB0"/>
    <w:rsid w:val="00B95214"/>
    <w:rsid w:val="00BA0688"/>
    <w:rsid w:val="00BA322B"/>
    <w:rsid w:val="00BA6B09"/>
    <w:rsid w:val="00BB1E4D"/>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D7BE2"/>
    <w:rsid w:val="00DE5310"/>
    <w:rsid w:val="00DE5D38"/>
    <w:rsid w:val="00E03126"/>
    <w:rsid w:val="00E03B35"/>
    <w:rsid w:val="00E07160"/>
    <w:rsid w:val="00E1613B"/>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B1CA4-EBED-4E46-988C-25CCEE6B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9437</Words>
  <Characters>53797</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21</cp:revision>
  <cp:lastPrinted>2018-07-16T15:03:00Z</cp:lastPrinted>
  <dcterms:created xsi:type="dcterms:W3CDTF">2018-11-18T03:32:00Z</dcterms:created>
  <dcterms:modified xsi:type="dcterms:W3CDTF">2018-11-20T15:11:00Z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