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8C2D7" w14:textId="77777777" w:rsidR="00D85F80" w:rsidRPr="000E2197" w:rsidRDefault="00865AAF" w:rsidP="00D85F80">
      <w:pPr>
        <w:pStyle w:val="MDPI11articletype"/>
      </w:pPr>
      <w:r>
        <w:t>Review</w:t>
      </w:r>
    </w:p>
    <w:p w14:paraId="195767D5" w14:textId="3315166F" w:rsidR="00D85F80" w:rsidRPr="000E2197" w:rsidRDefault="004D3CFA" w:rsidP="00D85F80">
      <w:pPr>
        <w:pStyle w:val="MDPI12title"/>
        <w:tabs>
          <w:tab w:val="left" w:pos="2687"/>
        </w:tabs>
        <w:spacing w:line="240" w:lineRule="atLeast"/>
      </w:pPr>
      <w:r>
        <w:t>25 year</w:t>
      </w:r>
      <w:r w:rsidR="00632101">
        <w:t>s of computerized assessment – w</w:t>
      </w:r>
      <w:r>
        <w:t>here are we now?</w:t>
      </w:r>
    </w:p>
    <w:p w14:paraId="493712EC" w14:textId="189F34A2" w:rsidR="00D85F80" w:rsidRPr="000E2197" w:rsidRDefault="00865AAF" w:rsidP="00D85F80">
      <w:pPr>
        <w:pStyle w:val="MDPI13authornames"/>
      </w:pPr>
      <w:r>
        <w:t>Avital</w:t>
      </w:r>
      <w:r w:rsidR="00D85F80" w:rsidRPr="000E2197">
        <w:t xml:space="preserve"> </w:t>
      </w:r>
      <w:r>
        <w:t>Sternin*</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Pr>
          <w:vertAlign w:val="superscript"/>
        </w:rPr>
        <w:t>1</w:t>
      </w:r>
      <w:r w:rsidR="00D85F80" w:rsidRPr="000E2197">
        <w:t xml:space="preserve"> and </w:t>
      </w:r>
      <w:r>
        <w:t>Alistair</w:t>
      </w:r>
      <w:r w:rsidR="00D85F80" w:rsidRPr="000E2197">
        <w:t xml:space="preserve"> </w:t>
      </w:r>
      <w:r>
        <w:t>Burns</w:t>
      </w:r>
      <w:r w:rsidR="00D85F80" w:rsidRPr="000E2197">
        <w:t xml:space="preserve"> </w:t>
      </w:r>
      <w:r w:rsidR="00B53145">
        <w:rPr>
          <w:vertAlign w:val="superscript"/>
        </w:rPr>
        <w:t>2</w:t>
      </w:r>
    </w:p>
    <w:p w14:paraId="60DDB895" w14:textId="77777777" w:rsidR="00D85F80" w:rsidRPr="000E2197" w:rsidRDefault="00D85F80" w:rsidP="00D85F80">
      <w:pPr>
        <w:pStyle w:val="MDPI16affiliation"/>
      </w:pPr>
      <w:r w:rsidRPr="000E2197">
        <w:rPr>
          <w:vertAlign w:val="superscript"/>
        </w:rPr>
        <w:t>1</w:t>
      </w:r>
      <w:r w:rsidRPr="000E2197">
        <w:tab/>
      </w:r>
      <w:r w:rsidR="00865AAF">
        <w:t>Brain and Mind Institute: University of Western Ontario</w:t>
      </w:r>
      <w:r w:rsidRPr="000E2197">
        <w:t>; e-mail@e-mail.com</w:t>
      </w:r>
    </w:p>
    <w:p w14:paraId="34FF0598" w14:textId="77777777" w:rsidR="00D85F80" w:rsidRPr="000E2197" w:rsidRDefault="00D85F80" w:rsidP="00D85F80">
      <w:pPr>
        <w:pStyle w:val="MDPI16affiliation"/>
      </w:pPr>
      <w:r w:rsidRPr="000E2197">
        <w:rPr>
          <w:szCs w:val="20"/>
          <w:vertAlign w:val="superscript"/>
        </w:rPr>
        <w:t>2</w:t>
      </w:r>
      <w:r w:rsidRPr="00B80BC7">
        <w:rPr>
          <w:szCs w:val="20"/>
        </w:rPr>
        <w:tab/>
      </w:r>
      <w:r w:rsidRPr="000E2197">
        <w:rPr>
          <w:szCs w:val="20"/>
        </w:rPr>
        <w:t xml:space="preserve">Affiliation 2; </w:t>
      </w:r>
      <w:r w:rsidRPr="000E2197">
        <w:t>e-mail@e-mail.com</w:t>
      </w:r>
    </w:p>
    <w:p w14:paraId="36866D6A" w14:textId="77777777" w:rsidR="00D85F80" w:rsidRPr="000E2197" w:rsidRDefault="00D85F80" w:rsidP="00D85F80">
      <w:pPr>
        <w:pStyle w:val="MDPI14history"/>
        <w:spacing w:before="0"/>
        <w:ind w:left="311" w:hanging="198"/>
      </w:pPr>
      <w:r w:rsidRPr="000E2197">
        <w:rPr>
          <w:b/>
        </w:rPr>
        <w:t>*</w:t>
      </w:r>
      <w:r w:rsidRPr="000E2197">
        <w:tab/>
      </w:r>
      <w:commentRangeStart w:id="0"/>
      <w:r w:rsidRPr="000E2197">
        <w:t xml:space="preserve">Correspondence: </w:t>
      </w:r>
      <w:r w:rsidR="00865AAF">
        <w:t>avital.sternin@uwo.ca</w:t>
      </w:r>
      <w:commentRangeEnd w:id="0"/>
      <w:r w:rsidR="00632101">
        <w:rPr>
          <w:rStyle w:val="CommentReference"/>
          <w:rFonts w:ascii="Times New Roman" w:hAnsi="Times New Roman"/>
          <w:lang w:bidi="ar-SA"/>
        </w:rPr>
        <w:commentReference w:id="0"/>
      </w:r>
    </w:p>
    <w:p w14:paraId="5E204323" w14:textId="77777777" w:rsidR="00D85F80" w:rsidRPr="000E2197" w:rsidRDefault="00D85F80" w:rsidP="00D85F80">
      <w:pPr>
        <w:pStyle w:val="MDPI14history"/>
      </w:pPr>
      <w:r w:rsidRPr="000E2197">
        <w:t>Received: date; Accepted: date; Published: date</w:t>
      </w:r>
    </w:p>
    <w:p w14:paraId="16BC886F" w14:textId="0CEAA8B9" w:rsidR="00D85F80" w:rsidRPr="000E2197" w:rsidRDefault="00D85F80" w:rsidP="00D85F80">
      <w:pPr>
        <w:pStyle w:val="MDPI17abstract"/>
        <w:rPr>
          <w:color w:val="auto"/>
        </w:rPr>
      </w:pPr>
      <w:r w:rsidRPr="000E2197">
        <w:rPr>
          <w:b/>
        </w:rPr>
        <w:t xml:space="preserve">Abstract: </w:t>
      </w:r>
      <w:r w:rsidR="00FC4562" w:rsidRPr="00FC4562">
        <w:t>200 words</w:t>
      </w:r>
    </w:p>
    <w:p w14:paraId="6ADB6498" w14:textId="1DF6FDEE" w:rsidR="00632101" w:rsidRDefault="00D85F80" w:rsidP="00D85F80">
      <w:pPr>
        <w:pStyle w:val="MDPI18keywords"/>
      </w:pPr>
      <w:r w:rsidRPr="000E2197">
        <w:rPr>
          <w:b/>
        </w:rPr>
        <w:t xml:space="preserve">Keywords: </w:t>
      </w:r>
      <w:r w:rsidR="00632101">
        <w:t xml:space="preserve">Computerized cognitive assessment; aging; dementia; </w:t>
      </w:r>
    </w:p>
    <w:p w14:paraId="59CAC152" w14:textId="008E36DD" w:rsidR="00D85F80" w:rsidRPr="000E2197" w:rsidRDefault="00D85F80" w:rsidP="00D85F80">
      <w:pPr>
        <w:pStyle w:val="MDPI18keywords"/>
      </w:pPr>
      <w:r w:rsidRPr="000E2197">
        <w:t>(List three to ten pertinent keywords specific to the article; yet reasonably common within the subject discipline.)</w:t>
      </w:r>
    </w:p>
    <w:p w14:paraId="52674D11" w14:textId="77777777" w:rsidR="00D85F80" w:rsidRPr="000E2197" w:rsidRDefault="00D85F80" w:rsidP="00D85F80">
      <w:pPr>
        <w:pStyle w:val="MDPI19line"/>
      </w:pPr>
    </w:p>
    <w:p w14:paraId="60045CB1" w14:textId="7718C23C" w:rsidR="00D85F80" w:rsidRDefault="00D85F80" w:rsidP="00D85F80">
      <w:pPr>
        <w:pStyle w:val="MDPI21heading1"/>
      </w:pPr>
      <w:r w:rsidRPr="000E2197">
        <w:rPr>
          <w:lang w:eastAsia="zh-CN"/>
        </w:rPr>
        <w:t xml:space="preserve">1. </w:t>
      </w:r>
      <w:r w:rsidRPr="000E2197">
        <w:t>Introduction</w:t>
      </w:r>
    </w:p>
    <w:p w14:paraId="0BE063C6" w14:textId="44041DB7" w:rsidR="00BE1DB7" w:rsidRPr="00BE1DB7" w:rsidRDefault="00BE1DB7" w:rsidP="00D85F80">
      <w:pPr>
        <w:pStyle w:val="MDPI21heading1"/>
        <w:rPr>
          <w:b w:val="0"/>
        </w:rPr>
      </w:pPr>
      <w:r>
        <w:rPr>
          <w:b w:val="0"/>
        </w:rPr>
        <w:t xml:space="preserve">The goal of this paper is to provide an overview of how computerized cognitive assessments were developed historically and how they have changed since they were first designed in </w:t>
      </w:r>
      <w:r w:rsidR="0063658E">
        <w:rPr>
          <w:b w:val="0"/>
        </w:rPr>
        <w:t>the 80s</w:t>
      </w:r>
      <w:r>
        <w:rPr>
          <w:b w:val="0"/>
        </w:rPr>
        <w:t xml:space="preserve"> with the advent of the internet and technologies like small, portable touch screens (iPads). The differences between the existing and commonly used paper-pencil test will be discussed with an emphasis on why computerized tests are particularly advantageous for assessing aging and clinical populations. </w:t>
      </w:r>
    </w:p>
    <w:p w14:paraId="10DE4868" w14:textId="0CFFCEF9" w:rsidR="00D85F80" w:rsidRDefault="00D85F80" w:rsidP="00D85F80">
      <w:pPr>
        <w:pStyle w:val="MDPI21heading1"/>
      </w:pPr>
      <w:r w:rsidRPr="000E2197">
        <w:rPr>
          <w:lang w:eastAsia="zh-CN"/>
        </w:rPr>
        <w:t xml:space="preserve">2. </w:t>
      </w:r>
      <w:r w:rsidR="004D3CFA">
        <w:t xml:space="preserve">Cognitive Assessment </w:t>
      </w:r>
      <w:r w:rsidR="0063658E">
        <w:t>–</w:t>
      </w:r>
      <w:r w:rsidR="004D3CFA">
        <w:t xml:space="preserve"> Historically</w:t>
      </w:r>
    </w:p>
    <w:p w14:paraId="692E6196" w14:textId="4ACD5CF2" w:rsidR="0063658E" w:rsidRDefault="0063658E" w:rsidP="00D85F80">
      <w:pPr>
        <w:pStyle w:val="MDPI21heading1"/>
        <w:rPr>
          <w:b w:val="0"/>
        </w:rPr>
      </w:pPr>
      <w:r>
        <w:rPr>
          <w:b w:val="0"/>
        </w:rPr>
        <w:t>Before computerized assessments, cognitive tests were administered and interpreted by trained neuropsychologists/psychometrists.</w:t>
      </w:r>
    </w:p>
    <w:p w14:paraId="3E6784D6" w14:textId="12955A87" w:rsidR="005B4CD2" w:rsidRDefault="0063658E" w:rsidP="00D85F80">
      <w:pPr>
        <w:pStyle w:val="MDPI21heading1"/>
        <w:rPr>
          <w:b w:val="0"/>
        </w:rPr>
      </w:pPr>
      <w:r>
        <w:rPr>
          <w:b w:val="0"/>
        </w:rPr>
        <w:t>Computerized test batteries are highly consistent and reduce experimenter effects that effect validity of test results.</w:t>
      </w:r>
      <w:r w:rsidR="005B4CD2">
        <w:rPr>
          <w:b w:val="0"/>
        </w:rPr>
        <w:t xml:space="preserve"> For these reasons… discuss the importance of using computerized tests in assessing Dementia.</w:t>
      </w:r>
      <w:r w:rsidR="005B4CD2" w:rsidRPr="005B4CD2">
        <w:rPr>
          <w:b w:val="0"/>
          <w:i/>
        </w:rPr>
        <w:t xml:space="preserve"> (Citing Blackwell et al, Chapter 5 from Dementia textbook)</w:t>
      </w:r>
    </w:p>
    <w:p w14:paraId="57CBA885" w14:textId="1B74BD49" w:rsidR="0063658E" w:rsidRPr="0063658E" w:rsidRDefault="0063658E" w:rsidP="0063658E">
      <w:pPr>
        <w:pStyle w:val="MDPI21heading1"/>
        <w:numPr>
          <w:ilvl w:val="0"/>
          <w:numId w:val="6"/>
        </w:numPr>
        <w:rPr>
          <w:b w:val="0"/>
        </w:rPr>
      </w:pPr>
      <w:r>
        <w:rPr>
          <w:b w:val="0"/>
        </w:rPr>
        <w:t xml:space="preserve">Started with CANTAB </w:t>
      </w:r>
      <w:r w:rsidRPr="0063658E">
        <w:rPr>
          <w:b w:val="0"/>
          <w:i/>
        </w:rPr>
        <w:t>(is this really the first computerized test battery?)</w:t>
      </w:r>
    </w:p>
    <w:p w14:paraId="688E698A" w14:textId="21D060BE" w:rsidR="0063658E" w:rsidRDefault="0063658E" w:rsidP="0063658E">
      <w:pPr>
        <w:pStyle w:val="MDPI21heading1"/>
        <w:numPr>
          <w:ilvl w:val="0"/>
          <w:numId w:val="6"/>
        </w:numPr>
        <w:rPr>
          <w:b w:val="0"/>
        </w:rPr>
      </w:pPr>
      <w:r>
        <w:rPr>
          <w:b w:val="0"/>
        </w:rPr>
        <w:t>Describe work by Sahakian and Owen</w:t>
      </w:r>
      <w:r w:rsidR="005B4CD2">
        <w:rPr>
          <w:b w:val="0"/>
        </w:rPr>
        <w:t xml:space="preserve"> and others</w:t>
      </w:r>
      <w:r>
        <w:rPr>
          <w:b w:val="0"/>
        </w:rPr>
        <w:t xml:space="preserve"> on the positive aspects of using computerized batteries in older adult populations/following dementia related cognitive declines</w:t>
      </w:r>
    </w:p>
    <w:p w14:paraId="2FC54022" w14:textId="7E613998" w:rsidR="0063658E" w:rsidRDefault="0063658E" w:rsidP="0063658E">
      <w:pPr>
        <w:pStyle w:val="MDPI21heading1"/>
        <w:numPr>
          <w:ilvl w:val="1"/>
          <w:numId w:val="6"/>
        </w:numPr>
        <w:rPr>
          <w:b w:val="0"/>
        </w:rPr>
      </w:pPr>
      <w:r>
        <w:rPr>
          <w:b w:val="0"/>
        </w:rPr>
        <w:t xml:space="preserve">Sahakian et al, 1988 </w:t>
      </w:r>
      <w:r>
        <w:rPr>
          <w:b w:val="0"/>
          <w:i/>
        </w:rPr>
        <w:t xml:space="preserve">Brain; </w:t>
      </w:r>
      <w:r w:rsidRPr="0063658E">
        <w:rPr>
          <w:b w:val="0"/>
        </w:rPr>
        <w:t>1990</w:t>
      </w:r>
      <w:r>
        <w:rPr>
          <w:b w:val="0"/>
          <w:i/>
        </w:rPr>
        <w:t xml:space="preserve"> Neuropsychologia –</w:t>
      </w:r>
      <w:r>
        <w:rPr>
          <w:b w:val="0"/>
        </w:rPr>
        <w:t xml:space="preserve"> Computerized tests in Alzheimer’s &amp; Dementia</w:t>
      </w:r>
    </w:p>
    <w:p w14:paraId="72EB7ED1" w14:textId="0BD73907" w:rsidR="0063658E" w:rsidRDefault="0063658E" w:rsidP="0063658E">
      <w:pPr>
        <w:pStyle w:val="MDPI21heading1"/>
        <w:numPr>
          <w:ilvl w:val="1"/>
          <w:numId w:val="6"/>
        </w:numPr>
        <w:rPr>
          <w:b w:val="0"/>
        </w:rPr>
      </w:pPr>
      <w:r>
        <w:rPr>
          <w:b w:val="0"/>
        </w:rPr>
        <w:t xml:space="preserve">Sahakian &amp; Owen 1992 </w:t>
      </w:r>
      <w:r w:rsidR="005B4CD2">
        <w:rPr>
          <w:b w:val="0"/>
          <w:i/>
        </w:rPr>
        <w:t>Royal Society of Medicine</w:t>
      </w:r>
      <w:r w:rsidR="005B4CD2">
        <w:rPr>
          <w:b w:val="0"/>
        </w:rPr>
        <w:t xml:space="preserve"> – discussion of CANTAB</w:t>
      </w:r>
    </w:p>
    <w:p w14:paraId="79FC303B" w14:textId="20210105" w:rsidR="005B4CD2" w:rsidRDefault="005B4CD2" w:rsidP="005B4CD2">
      <w:pPr>
        <w:pStyle w:val="MDPI21heading1"/>
        <w:numPr>
          <w:ilvl w:val="1"/>
          <w:numId w:val="6"/>
        </w:numPr>
        <w:rPr>
          <w:b w:val="0"/>
        </w:rPr>
      </w:pPr>
      <w:r>
        <w:rPr>
          <w:b w:val="0"/>
        </w:rPr>
        <w:t xml:space="preserve">Robbins et al 1994 </w:t>
      </w:r>
      <w:r>
        <w:rPr>
          <w:b w:val="0"/>
          <w:i/>
        </w:rPr>
        <w:t>Dementia</w:t>
      </w:r>
      <w:r>
        <w:rPr>
          <w:b w:val="0"/>
        </w:rPr>
        <w:t xml:space="preserve"> – CANTAB in large group of older adults (n=787) factor analysis</w:t>
      </w:r>
    </w:p>
    <w:p w14:paraId="2D30E8A5" w14:textId="7BC2ED4F" w:rsidR="005B4CD2" w:rsidRDefault="005B4CD2" w:rsidP="005B4CD2">
      <w:pPr>
        <w:pStyle w:val="MDPI21heading1"/>
        <w:numPr>
          <w:ilvl w:val="1"/>
          <w:numId w:val="6"/>
        </w:numPr>
        <w:rPr>
          <w:b w:val="0"/>
        </w:rPr>
      </w:pPr>
      <w:r>
        <w:rPr>
          <w:b w:val="0"/>
        </w:rPr>
        <w:lastRenderedPageBreak/>
        <w:t xml:space="preserve">Blackwell et al 2003 </w:t>
      </w:r>
      <w:r>
        <w:rPr>
          <w:b w:val="0"/>
          <w:i/>
        </w:rPr>
        <w:t>Dementia and Geriatric Cognitive Disorders</w:t>
      </w:r>
      <w:r>
        <w:rPr>
          <w:b w:val="0"/>
        </w:rPr>
        <w:t xml:space="preserve"> – specificity and reliability of computerized tests for detecting dementia/Alzheimer’s</w:t>
      </w:r>
    </w:p>
    <w:p w14:paraId="0016D7EE" w14:textId="05A8B59A" w:rsidR="0017648C" w:rsidRDefault="0017648C" w:rsidP="0017648C">
      <w:pPr>
        <w:pStyle w:val="MDPI21heading1"/>
        <w:numPr>
          <w:ilvl w:val="0"/>
          <w:numId w:val="6"/>
        </w:numPr>
        <w:rPr>
          <w:b w:val="0"/>
        </w:rPr>
      </w:pPr>
      <w:r>
        <w:rPr>
          <w:b w:val="0"/>
        </w:rPr>
        <w:t>Discuss work ‘neural validation’ of CANTAB?</w:t>
      </w:r>
    </w:p>
    <w:p w14:paraId="344B783D" w14:textId="2F8CF634" w:rsidR="0017648C" w:rsidRPr="005B4CD2" w:rsidRDefault="0017648C" w:rsidP="0017648C">
      <w:pPr>
        <w:pStyle w:val="MDPI21heading1"/>
        <w:numPr>
          <w:ilvl w:val="1"/>
          <w:numId w:val="6"/>
        </w:numPr>
        <w:rPr>
          <w:b w:val="0"/>
        </w:rPr>
      </w:pPr>
      <w:r>
        <w:rPr>
          <w:b w:val="0"/>
        </w:rPr>
        <w:t xml:space="preserve">Owen et al 1995 </w:t>
      </w:r>
      <w:r>
        <w:rPr>
          <w:b w:val="0"/>
          <w:i/>
        </w:rPr>
        <w:t>Neuropsychologia</w:t>
      </w:r>
      <w:r>
        <w:rPr>
          <w:b w:val="0"/>
        </w:rPr>
        <w:t xml:space="preserve"> – CANTAB and temporal lobe excisions</w:t>
      </w:r>
    </w:p>
    <w:p w14:paraId="3A8C8065" w14:textId="428E07E4" w:rsidR="004D3CFA" w:rsidRDefault="00D85F80" w:rsidP="00D85F80">
      <w:pPr>
        <w:pStyle w:val="MDPI21heading1"/>
      </w:pPr>
      <w:r w:rsidRPr="000E2197">
        <w:t xml:space="preserve">3. </w:t>
      </w:r>
      <w:r w:rsidR="004D3CFA">
        <w:t>Cognitive Assessment – In the internet age</w:t>
      </w:r>
    </w:p>
    <w:p w14:paraId="5DD193C9" w14:textId="653E7704" w:rsidR="00FC4562" w:rsidRDefault="00467CB3" w:rsidP="00FC4562">
      <w:pPr>
        <w:pStyle w:val="MDPI21heading1"/>
        <w:rPr>
          <w:b w:val="0"/>
        </w:rPr>
      </w:pPr>
      <w:r>
        <w:rPr>
          <w:b w:val="0"/>
        </w:rPr>
        <w:t>The internet and proliferation of portable computers provides new opportunities for computerized cognitive assessments (more subjects, can be done at home, can be done without an administrator, etc.)</w:t>
      </w:r>
    </w:p>
    <w:p w14:paraId="2F4740F6" w14:textId="139F62D0" w:rsidR="00467CB3" w:rsidRDefault="00467CB3" w:rsidP="00467CB3">
      <w:pPr>
        <w:pStyle w:val="MDPI21heading1"/>
        <w:rPr>
          <w:b w:val="0"/>
        </w:rPr>
      </w:pPr>
      <w:r>
        <w:rPr>
          <w:b w:val="0"/>
        </w:rPr>
        <w:t>Example of an online tool: CBS - Describe CBS as a comprehensive battery that is updated for modern technology</w:t>
      </w:r>
    </w:p>
    <w:p w14:paraId="4B47397B" w14:textId="31F9839B" w:rsidR="00467CB3" w:rsidRDefault="00467CB3" w:rsidP="00467CB3">
      <w:pPr>
        <w:pStyle w:val="MDPI21heading1"/>
        <w:numPr>
          <w:ilvl w:val="0"/>
          <w:numId w:val="8"/>
        </w:numPr>
        <w:rPr>
          <w:b w:val="0"/>
        </w:rPr>
      </w:pPr>
      <w:r>
        <w:rPr>
          <w:b w:val="0"/>
        </w:rPr>
        <w:t xml:space="preserve">Hampshire 2012 </w:t>
      </w:r>
      <w:r>
        <w:rPr>
          <w:b w:val="0"/>
          <w:i/>
        </w:rPr>
        <w:t xml:space="preserve">Neuron – </w:t>
      </w:r>
      <w:r>
        <w:rPr>
          <w:b w:val="0"/>
        </w:rPr>
        <w:t>CBS description</w:t>
      </w:r>
    </w:p>
    <w:p w14:paraId="31269C5F" w14:textId="5D394C5C" w:rsidR="00467CB3" w:rsidRDefault="00467CB3" w:rsidP="00467CB3">
      <w:pPr>
        <w:pStyle w:val="MDPI21heading1"/>
        <w:numPr>
          <w:ilvl w:val="0"/>
          <w:numId w:val="8"/>
        </w:numPr>
        <w:rPr>
          <w:b w:val="0"/>
        </w:rPr>
      </w:pPr>
      <w:r>
        <w:rPr>
          <w:b w:val="0"/>
        </w:rPr>
        <w:t xml:space="preserve">Can cover a wide range of assessments in a short period of time </w:t>
      </w:r>
    </w:p>
    <w:p w14:paraId="4C3A9771" w14:textId="38D36DD5" w:rsidR="00467CB3" w:rsidRDefault="00467CB3" w:rsidP="00467CB3">
      <w:pPr>
        <w:pStyle w:val="MDPI21heading1"/>
        <w:numPr>
          <w:ilvl w:val="0"/>
          <w:numId w:val="8"/>
        </w:numPr>
        <w:rPr>
          <w:b w:val="0"/>
        </w:rPr>
      </w:pPr>
      <w:r>
        <w:rPr>
          <w:b w:val="0"/>
        </w:rPr>
        <w:t>Can be administered to thousands of people – 70 000 people have taken it (8 million test scores) – Figure from Conor showing hundreds of older adult scores on 12 different tests</w:t>
      </w:r>
    </w:p>
    <w:p w14:paraId="22295A8C" w14:textId="32A3F8FD" w:rsidR="00467CB3" w:rsidRDefault="00467CB3" w:rsidP="00467CB3">
      <w:pPr>
        <w:pStyle w:val="MDPI21heading1"/>
        <w:numPr>
          <w:ilvl w:val="0"/>
          <w:numId w:val="8"/>
        </w:numPr>
        <w:rPr>
          <w:b w:val="0"/>
        </w:rPr>
      </w:pPr>
      <w:r>
        <w:rPr>
          <w:b w:val="0"/>
        </w:rPr>
        <w:t xml:space="preserve">Quote CBS materials when describing the advantages to online testing: calculate scores on the fly, tests are adaptive to participant levels, feedback can be given immediately to participants or physicians (refer to example of CBS score report), </w:t>
      </w:r>
    </w:p>
    <w:p w14:paraId="5793D2D5" w14:textId="046D3F2E" w:rsidR="00467CB3" w:rsidRDefault="00467CB3" w:rsidP="00467CB3">
      <w:pPr>
        <w:pStyle w:val="MDPI21heading1"/>
        <w:numPr>
          <w:ilvl w:val="0"/>
          <w:numId w:val="8"/>
        </w:numPr>
        <w:rPr>
          <w:b w:val="0"/>
        </w:rPr>
      </w:pPr>
      <w:r>
        <w:rPr>
          <w:b w:val="0"/>
        </w:rPr>
        <w:t>Score reports can interpret scores for the reader of the report – meaningful change (a statistically significant increase in digit span translates to an increase in 0.7 digits – is that meanginful/useful?)</w:t>
      </w:r>
    </w:p>
    <w:p w14:paraId="6E1D82AD" w14:textId="0C231413" w:rsidR="00467CB3" w:rsidRPr="000958E8" w:rsidRDefault="00467CB3" w:rsidP="00467CB3">
      <w:pPr>
        <w:pStyle w:val="MDPI21heading1"/>
        <w:rPr>
          <w:b w:val="0"/>
          <w:i/>
        </w:rPr>
      </w:pPr>
      <w:r w:rsidRPr="000958E8">
        <w:rPr>
          <w:b w:val="0"/>
          <w:i/>
        </w:rPr>
        <w:t>Is it worth mentioning in this section the use of computerized tests that are used in</w:t>
      </w:r>
      <w:r w:rsidR="000958E8" w:rsidRPr="000958E8">
        <w:rPr>
          <w:b w:val="0"/>
          <w:i/>
        </w:rPr>
        <w:t xml:space="preserve"> commercially available</w:t>
      </w:r>
      <w:r w:rsidRPr="000958E8">
        <w:rPr>
          <w:b w:val="0"/>
          <w:i/>
        </w:rPr>
        <w:t xml:space="preserve"> brain training</w:t>
      </w:r>
      <w:r w:rsidR="000958E8" w:rsidRPr="000958E8">
        <w:rPr>
          <w:b w:val="0"/>
          <w:i/>
        </w:rPr>
        <w:t xml:space="preserve"> programs</w:t>
      </w:r>
      <w:r w:rsidRPr="000958E8">
        <w:rPr>
          <w:b w:val="0"/>
          <w:i/>
        </w:rPr>
        <w:t xml:space="preserve">? E.g. Lumosity – if only to identify how </w:t>
      </w:r>
      <w:r w:rsidR="000958E8" w:rsidRPr="000958E8">
        <w:rPr>
          <w:b w:val="0"/>
          <w:i/>
        </w:rPr>
        <w:t xml:space="preserve">these </w:t>
      </w:r>
      <w:r w:rsidRPr="000958E8">
        <w:rPr>
          <w:b w:val="0"/>
          <w:i/>
        </w:rPr>
        <w:t>cognitive assessments differ?</w:t>
      </w:r>
    </w:p>
    <w:p w14:paraId="3B266886" w14:textId="05AC6C4F" w:rsidR="00D85F80" w:rsidRDefault="00D85F80" w:rsidP="00D85F80">
      <w:pPr>
        <w:pStyle w:val="MDPI21heading1"/>
      </w:pPr>
      <w:r w:rsidRPr="000E2197">
        <w:t xml:space="preserve">4. </w:t>
      </w:r>
      <w:r w:rsidR="004D3CFA">
        <w:t xml:space="preserve">Online testing vs </w:t>
      </w:r>
      <w:r w:rsidR="00531E43">
        <w:t>existing alternatives</w:t>
      </w:r>
    </w:p>
    <w:p w14:paraId="42C3B8FD" w14:textId="2922C9D6" w:rsidR="00531E43" w:rsidRDefault="009367E0" w:rsidP="00D85F80">
      <w:pPr>
        <w:pStyle w:val="MDPI21heading1"/>
        <w:rPr>
          <w:b w:val="0"/>
        </w:rPr>
      </w:pPr>
      <w:r>
        <w:rPr>
          <w:b w:val="0"/>
        </w:rPr>
        <w:t>Online testing vs in lab testing</w:t>
      </w:r>
    </w:p>
    <w:p w14:paraId="154B1DA6" w14:textId="707FC141" w:rsidR="009367E0" w:rsidRDefault="009367E0" w:rsidP="009367E0">
      <w:pPr>
        <w:pStyle w:val="MDPI21heading1"/>
        <w:numPr>
          <w:ilvl w:val="0"/>
          <w:numId w:val="9"/>
        </w:numPr>
        <w:rPr>
          <w:b w:val="0"/>
        </w:rPr>
      </w:pPr>
      <w:r>
        <w:rPr>
          <w:b w:val="0"/>
        </w:rPr>
        <w:t>Show the unpublished results from young people and PD patients tested at home and in lab – at home testing is just as valid as in lab</w:t>
      </w:r>
    </w:p>
    <w:p w14:paraId="7025D186" w14:textId="255F2598" w:rsidR="009367E0" w:rsidRDefault="009367E0" w:rsidP="009367E0">
      <w:pPr>
        <w:pStyle w:val="MDPI21heading1"/>
        <w:rPr>
          <w:b w:val="0"/>
        </w:rPr>
      </w:pPr>
      <w:r>
        <w:rPr>
          <w:b w:val="0"/>
        </w:rPr>
        <w:t>Online testing vs MoCA and MMSE</w:t>
      </w:r>
    </w:p>
    <w:p w14:paraId="568EA0F5" w14:textId="0F36717A" w:rsidR="009367E0" w:rsidRPr="009367E0" w:rsidRDefault="009367E0" w:rsidP="009367E0">
      <w:pPr>
        <w:pStyle w:val="MDPI21heading1"/>
        <w:numPr>
          <w:ilvl w:val="0"/>
          <w:numId w:val="9"/>
        </w:numPr>
        <w:rPr>
          <w:b w:val="0"/>
        </w:rPr>
      </w:pPr>
      <w:r>
        <w:rPr>
          <w:b w:val="0"/>
        </w:rPr>
        <w:t xml:space="preserve">Summarize Brenkel data and </w:t>
      </w:r>
      <w:r w:rsidRPr="009367E0">
        <w:rPr>
          <w:b w:val="0"/>
        </w:rPr>
        <w:t>our older adult CBS/Christie Gardens paper</w:t>
      </w:r>
      <w:r>
        <w:rPr>
          <w:b w:val="0"/>
        </w:rPr>
        <w:t xml:space="preserve"> – computerized testing does better than existing ‘quick’ assessments</w:t>
      </w:r>
    </w:p>
    <w:p w14:paraId="3F044AD9" w14:textId="77777777" w:rsidR="00D85F80" w:rsidRPr="000E2197" w:rsidRDefault="00D85F80" w:rsidP="00D85F80">
      <w:pPr>
        <w:pStyle w:val="MDPI21heading1"/>
      </w:pPr>
      <w:r>
        <w:t>5. Conclusions</w:t>
      </w:r>
      <w:bookmarkStart w:id="1" w:name="_GoBack"/>
      <w:bookmarkEnd w:id="1"/>
    </w:p>
    <w:p w14:paraId="121A1236" w14:textId="77777777" w:rsidR="005E5501" w:rsidRPr="000E2197" w:rsidRDefault="005E5501" w:rsidP="005E5501">
      <w:pPr>
        <w:pStyle w:val="MDPI61Supplementary"/>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14:paraId="0D3956E5" w14:textId="77777777" w:rsidR="0047542C" w:rsidRPr="0047542C" w:rsidRDefault="0047542C" w:rsidP="005E5501">
      <w:pPr>
        <w:pStyle w:val="MDPI62Acknowledgments"/>
      </w:pPr>
      <w:r>
        <w:rPr>
          <w:b/>
        </w:rPr>
        <w:t xml:space="preserve">Author Contributions: </w:t>
      </w:r>
      <w:r w:rsidRPr="0047542C">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10" w:history="1">
        <w:r w:rsidRPr="00F70F25">
          <w:rPr>
            <w:rStyle w:val="Hyperlink"/>
          </w:rPr>
          <w:t>CRediT taxonomy</w:t>
        </w:r>
      </w:hyperlink>
      <w:r w:rsidRPr="0047542C">
        <w:t xml:space="preserve"> for the term explanation. Authorship must be limited to those who have contributed substantially to the work reported.</w:t>
      </w:r>
    </w:p>
    <w:p w14:paraId="6BC74849" w14:textId="77777777" w:rsidR="00061C10" w:rsidRPr="00061C10" w:rsidRDefault="00061C10" w:rsidP="005E5501">
      <w:pPr>
        <w:pStyle w:val="MDPI62Acknowledgments"/>
      </w:pPr>
      <w:r>
        <w:rPr>
          <w:b/>
        </w:rPr>
        <w:t xml:space="preserve">Funding: </w:t>
      </w:r>
      <w:r w:rsidRPr="00061C10">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572D0218" w14:textId="77777777" w:rsidR="005E5501" w:rsidRPr="00564ED2" w:rsidRDefault="00564ED2" w:rsidP="005E5501">
      <w:pPr>
        <w:pStyle w:val="MDPI62Acknowledgments"/>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14:paraId="74B62A02" w14:textId="77777777" w:rsidR="005E5501" w:rsidRPr="000E2197" w:rsidRDefault="005E5501" w:rsidP="005E5501">
      <w:pPr>
        <w:pStyle w:val="MDPI64CoI"/>
      </w:pPr>
      <w:r w:rsidRPr="000E2197">
        <w:rPr>
          <w:b/>
        </w:rPr>
        <w:t>Conflicts of Interest:</w:t>
      </w:r>
      <w:r w:rsidRPr="000E2197">
        <w:t xml:space="preserve"> Declare conflicts of interest or state “The authors declare no conflict of interest.</w:t>
      </w:r>
      <w:r w:rsidR="00694F17">
        <w:t>”</w:t>
      </w:r>
      <w:r w:rsidRPr="000E2197">
        <w:t xml:space="preserve"> Authors must identify and declare any personal circumstances or interest that may be perceived as inappropriately influencing the representation or interpretation of reported research results. Any role of the </w:t>
      </w:r>
      <w:r w:rsidR="00741861">
        <w:t>funders</w:t>
      </w:r>
      <w:r w:rsidRPr="000E2197">
        <w:t xml:space="preserve"> in the design of the study; in the collection, analyses or interpretation of data; in the writing of the manuscript, or in the decision to publish the results must be declared in this section. If there is no role, please state “The </w:t>
      </w:r>
      <w:r w:rsidR="00AA115C">
        <w:t>funders</w:t>
      </w:r>
      <w:r w:rsidRPr="000E2197">
        <w:t xml:space="preserve"> had no role in the design of the study; in the collection, analyses, or interpretation of data; in the writing of the </w:t>
      </w:r>
      <w:r w:rsidR="00F41042">
        <w:t xml:space="preserve">manuscript, or in the </w:t>
      </w:r>
      <w:r w:rsidRPr="000E2197">
        <w:t>decision to publish the results”.</w:t>
      </w:r>
    </w:p>
    <w:p w14:paraId="0B768006" w14:textId="77777777" w:rsidR="00D85F80" w:rsidRPr="000E2197" w:rsidRDefault="00D85F80" w:rsidP="00D85F80">
      <w:pPr>
        <w:pStyle w:val="MDPI21heading1"/>
      </w:pPr>
      <w:r w:rsidRPr="000E2197">
        <w:t>Appendix A</w:t>
      </w:r>
    </w:p>
    <w:p w14:paraId="5C1A0BDE" w14:textId="77777777" w:rsidR="00D85F80" w:rsidRPr="000E2197" w:rsidRDefault="00D85F80" w:rsidP="00D85F80">
      <w:pPr>
        <w:pStyle w:val="MDPI31text"/>
      </w:pPr>
      <w:r w:rsidRPr="000E2197">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E462B7F" w14:textId="77777777" w:rsidR="00D85F80" w:rsidRPr="000E2197" w:rsidRDefault="00176AFB" w:rsidP="006515A7">
      <w:pPr>
        <w:pStyle w:val="MDPI21heading1"/>
        <w:spacing w:before="0"/>
      </w:pPr>
      <w:r>
        <w:br w:type="page"/>
      </w:r>
      <w:r w:rsidR="00D85F80" w:rsidRPr="000E2197">
        <w:lastRenderedPageBreak/>
        <w:t>Appendix B</w:t>
      </w:r>
    </w:p>
    <w:p w14:paraId="14FF9DE7" w14:textId="77777777" w:rsidR="00D85F80" w:rsidRPr="000E2197" w:rsidRDefault="00D85F80" w:rsidP="00D85F80">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14:paraId="2D5956A6" w14:textId="77777777" w:rsidR="00D85F80" w:rsidRPr="000E2197" w:rsidRDefault="00D85F80" w:rsidP="00D85F80">
      <w:pPr>
        <w:pStyle w:val="MDPI21heading1"/>
      </w:pPr>
      <w:r w:rsidRPr="000E2197">
        <w:t>References</w:t>
      </w:r>
    </w:p>
    <w:p w14:paraId="575DECD4" w14:textId="77777777" w:rsidR="00D85F80" w:rsidRPr="000E2197" w:rsidRDefault="00D85F80" w:rsidP="00D85F80">
      <w:pPr>
        <w:pStyle w:val="MDPI71References"/>
        <w:numPr>
          <w:ilvl w:val="0"/>
          <w:numId w:val="0"/>
        </w:numPr>
        <w:ind w:left="425"/>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495368A4" w14:textId="77777777" w:rsidR="00D85F80" w:rsidRPr="000E2197" w:rsidRDefault="00D85F80" w:rsidP="00D85F80">
      <w:pPr>
        <w:pStyle w:val="MDPI71References"/>
        <w:numPr>
          <w:ilvl w:val="0"/>
          <w:numId w:val="0"/>
        </w:numPr>
        <w:ind w:left="425"/>
      </w:pPr>
    </w:p>
    <w:p w14:paraId="1FE23D70" w14:textId="77777777" w:rsidR="00D85F80" w:rsidRPr="000E2197" w:rsidRDefault="00D85F80" w:rsidP="00D85F80">
      <w:pPr>
        <w:pStyle w:val="MDPI71References"/>
        <w:numPr>
          <w:ilvl w:val="0"/>
          <w:numId w:val="0"/>
        </w:numPr>
        <w:ind w:left="425"/>
      </w:pPr>
      <w:r w:rsidRPr="000E2197">
        <w:t xml:space="preserve">Citations and References in Supplementary files are permitted provided that they also appear in the reference list here. </w:t>
      </w:r>
    </w:p>
    <w:p w14:paraId="455BADB4" w14:textId="77777777" w:rsidR="00D85F80" w:rsidRPr="000E2197" w:rsidRDefault="00D85F80" w:rsidP="00D85F80">
      <w:pPr>
        <w:pStyle w:val="MDPI71References"/>
        <w:numPr>
          <w:ilvl w:val="0"/>
          <w:numId w:val="0"/>
        </w:numPr>
        <w:ind w:left="425"/>
      </w:pPr>
    </w:p>
    <w:p w14:paraId="6923BF2F" w14:textId="77777777" w:rsidR="00D85F80" w:rsidRPr="000E2197" w:rsidRDefault="00D85F80" w:rsidP="00D85F80">
      <w:pPr>
        <w:pStyle w:val="MDPI71References"/>
        <w:numPr>
          <w:ilvl w:val="0"/>
          <w:numId w:val="0"/>
        </w:numPr>
        <w:ind w:left="425"/>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B6A6463" w14:textId="77777777" w:rsidR="00D85F80" w:rsidRPr="000E2197" w:rsidRDefault="00D85F80" w:rsidP="00D85F80">
      <w:pPr>
        <w:pStyle w:val="MDPI71References"/>
        <w:numPr>
          <w:ilvl w:val="0"/>
          <w:numId w:val="0"/>
        </w:numPr>
        <w:ind w:left="425"/>
      </w:pPr>
    </w:p>
    <w:p w14:paraId="5B99FC89" w14:textId="77777777" w:rsidR="00A01E0D" w:rsidRDefault="00D85F80" w:rsidP="00D85F8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14:paraId="3D79F40E" w14:textId="77777777" w:rsidR="00A01E0D" w:rsidRDefault="00D85F80" w:rsidP="00D85F8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A01E0D">
        <w:t>.</w:t>
      </w:r>
    </w:p>
    <w:p w14:paraId="0A94803A" w14:textId="77777777" w:rsidR="00A01E0D" w:rsidRDefault="00D85F80" w:rsidP="00D85F80">
      <w:pPr>
        <w:pStyle w:val="MDPI71References"/>
        <w:numPr>
          <w:ilvl w:val="0"/>
          <w:numId w:val="4"/>
        </w:numPr>
        <w:ind w:left="425" w:hanging="425"/>
      </w:pPr>
      <w:r>
        <w:t xml:space="preserve">Author 1, A.; Author 2, B. </w:t>
      </w:r>
      <w:r>
        <w:rPr>
          <w:i/>
        </w:rPr>
        <w:t>Book Title</w:t>
      </w:r>
      <w:r>
        <w:t>, 3rd ed.; Publisher: Publisher Location, Country, 2008; pp. 154–196</w:t>
      </w:r>
      <w:r w:rsidR="00A01E0D">
        <w:t>.</w:t>
      </w:r>
    </w:p>
    <w:p w14:paraId="7E07DAF4" w14:textId="77777777" w:rsidR="00D85F80" w:rsidRPr="000E2197" w:rsidRDefault="00D85F80" w:rsidP="00D85F80">
      <w:pPr>
        <w:pStyle w:val="MDPI71References"/>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14:paraId="0E67B117" w14:textId="77777777" w:rsidR="00D85F80" w:rsidRPr="000E2197" w:rsidRDefault="00D85F80" w:rsidP="00D85F80">
      <w:pPr>
        <w:pStyle w:val="MDPI71References"/>
      </w:pPr>
      <w:r w:rsidRPr="000E2197">
        <w:t>Author 1, A.B. (University, City, State, Country); Author 2, C. (Institute, City, State, Country). Personal communication, 2012.</w:t>
      </w:r>
    </w:p>
    <w:p w14:paraId="3B0168F1" w14:textId="77777777" w:rsidR="00D85F80" w:rsidRPr="000E2197" w:rsidRDefault="00D85F80" w:rsidP="00D85F80">
      <w:pPr>
        <w:pStyle w:val="MDPI71References"/>
        <w:spacing w:line="240" w:lineRule="auto"/>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023B81F" w14:textId="77777777" w:rsidR="00D85F80" w:rsidRPr="000E2197" w:rsidRDefault="00D85F80" w:rsidP="00D85F80">
      <w:pPr>
        <w:pStyle w:val="MDPI71References"/>
      </w:pPr>
      <w:r w:rsidRPr="000E2197">
        <w:t>Author 1, A.B. Title of Thesis. Level of Thesis, Degree-Granting University, Location of University, Date of Completion.</w:t>
      </w:r>
    </w:p>
    <w:p w14:paraId="355B5D8C" w14:textId="77777777" w:rsidR="004C7C2C" w:rsidRDefault="00D85F80" w:rsidP="002A0454">
      <w:pPr>
        <w:pStyle w:val="MDPI71References"/>
        <w:spacing w:after="240"/>
      </w:pPr>
      <w:r w:rsidRPr="000E2197">
        <w:t>Title of Site. Available online: URL (accessed on Day Month Year).</w:t>
      </w:r>
    </w:p>
    <w:tbl>
      <w:tblPr>
        <w:tblW w:w="0" w:type="auto"/>
        <w:jc w:val="center"/>
        <w:tblLook w:val="04A0" w:firstRow="1" w:lastRow="0" w:firstColumn="1" w:lastColumn="0" w:noHBand="0" w:noVBand="1"/>
      </w:tblPr>
      <w:tblGrid>
        <w:gridCol w:w="1699"/>
        <w:gridCol w:w="7149"/>
      </w:tblGrid>
      <w:tr w:rsidR="004C7C2C" w:rsidRPr="00C94760" w14:paraId="5B13308B" w14:textId="77777777" w:rsidTr="00A5467C">
        <w:trPr>
          <w:jc w:val="center"/>
        </w:trPr>
        <w:tc>
          <w:tcPr>
            <w:tcW w:w="0" w:type="auto"/>
            <w:shd w:val="clear" w:color="auto" w:fill="auto"/>
            <w:vAlign w:val="center"/>
          </w:tcPr>
          <w:p w14:paraId="0D208700" w14:textId="77777777" w:rsidR="004C7C2C" w:rsidRPr="00C94760" w:rsidRDefault="00865AAF" w:rsidP="00A01E0D">
            <w:pPr>
              <w:pStyle w:val="MDPI71References"/>
              <w:numPr>
                <w:ilvl w:val="0"/>
                <w:numId w:val="0"/>
              </w:numPr>
              <w:ind w:left="-85"/>
              <w:rPr>
                <w:rFonts w:eastAsia="SimSun"/>
                <w:bCs/>
              </w:rPr>
            </w:pPr>
            <w:r>
              <w:rPr>
                <w:rFonts w:eastAsia="SimSun"/>
                <w:bCs/>
                <w:noProof/>
                <w:snapToGrid/>
                <w:lang w:val="en-CA" w:eastAsia="en-CA" w:bidi="ar-SA"/>
              </w:rPr>
              <w:drawing>
                <wp:inline distT="0" distB="0" distL="0" distR="0" wp14:anchorId="76E92A07" wp14:editId="69FE3711">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14:paraId="33E7B4E3" w14:textId="77777777" w:rsidR="004C7C2C" w:rsidRPr="00C94760" w:rsidRDefault="00AC3F86" w:rsidP="00A01E0D">
            <w:pPr>
              <w:pStyle w:val="MDPI71References"/>
              <w:numPr>
                <w:ilvl w:val="0"/>
                <w:numId w:val="0"/>
              </w:numPr>
              <w:ind w:left="-85"/>
              <w:rPr>
                <w:rFonts w:eastAsia="SimSun"/>
                <w:bCs/>
              </w:rPr>
            </w:pPr>
            <w:r>
              <w:rPr>
                <w:rFonts w:eastAsia="SimSun"/>
                <w:bCs/>
              </w:rPr>
              <w:t>© 2019</w:t>
            </w:r>
            <w:r w:rsidR="004C7C2C" w:rsidRPr="00C94760">
              <w:rPr>
                <w:rFonts w:eastAsia="SimSun"/>
                <w:bCs/>
              </w:rPr>
              <w:t xml:space="preserve"> by the authors. Submitted for possible open access publication under the terms and conditions of the Creative Commons Attribution (CC BY) license (http://creativecommons.org/licenses/by/4.0/).</w:t>
            </w:r>
          </w:p>
        </w:tc>
      </w:tr>
    </w:tbl>
    <w:p w14:paraId="0A3A3AA9" w14:textId="77777777" w:rsidR="00D85F80" w:rsidRPr="00B80BC7" w:rsidRDefault="00D85F80" w:rsidP="004C7C2C">
      <w:pPr>
        <w:pStyle w:val="MDPI71References"/>
        <w:numPr>
          <w:ilvl w:val="0"/>
          <w:numId w:val="0"/>
        </w:numPr>
        <w:spacing w:after="240"/>
        <w:rPr>
          <w:rFonts w:eastAsia="SimSun"/>
        </w:rPr>
      </w:pPr>
    </w:p>
    <w:sectPr w:rsidR="00D85F80" w:rsidRPr="00B80BC7" w:rsidSect="00D85F80">
      <w:headerReference w:type="even" r:id="rId12"/>
      <w:headerReference w:type="default" r:id="rId13"/>
      <w:footerReference w:type="even" r:id="rId14"/>
      <w:footerReference w:type="default" r:id="rId15"/>
      <w:headerReference w:type="first" r:id="rId16"/>
      <w:footerReference w:type="first" r:id="rId17"/>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ital Sternin" w:date="2019-04-23T15:03:00Z" w:initials="AS">
    <w:p w14:paraId="52260178" w14:textId="59633D27" w:rsidR="00632101" w:rsidRDefault="00632101">
      <w:pPr>
        <w:pStyle w:val="CommentText"/>
      </w:pPr>
      <w:r>
        <w:rPr>
          <w:rStyle w:val="CommentReference"/>
        </w:rPr>
        <w:annotationRef/>
      </w:r>
      <w:r>
        <w:t xml:space="preserve">Maybe not a good idea if I’m on mat leave starting mid-August…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6017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43A84" w14:textId="77777777" w:rsidR="006731BE" w:rsidRDefault="006731BE">
      <w:pPr>
        <w:spacing w:line="240" w:lineRule="auto"/>
      </w:pPr>
      <w:r>
        <w:separator/>
      </w:r>
    </w:p>
  </w:endnote>
  <w:endnote w:type="continuationSeparator" w:id="0">
    <w:p w14:paraId="004B71F2" w14:textId="77777777" w:rsidR="006731BE" w:rsidRDefault="0067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B2F60" w14:textId="77777777" w:rsidR="00F97C0B" w:rsidRDefault="00F97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5277" w14:textId="77777777" w:rsidR="00F1277D" w:rsidRPr="00A3473A" w:rsidRDefault="00F1277D" w:rsidP="00F1277D">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929AB" w14:textId="77777777" w:rsidR="00F1277D" w:rsidRPr="00372FCD" w:rsidRDefault="00F1277D"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004C7C2C" w:rsidRPr="004C7C2C">
      <w:rPr>
        <w:rFonts w:ascii="Palatino Linotype" w:hAnsi="Palatino Linotype"/>
        <w:b/>
        <w:bCs/>
        <w:iCs/>
        <w:sz w:val="16"/>
        <w:szCs w:val="16"/>
      </w:rPr>
      <w:t>2019</w:t>
    </w:r>
    <w:r w:rsidR="004C7C2C" w:rsidRPr="004C7C2C">
      <w:rPr>
        <w:rFonts w:ascii="Palatino Linotype" w:hAnsi="Palatino Linotype"/>
        <w:bCs/>
        <w:iCs/>
        <w:sz w:val="16"/>
        <w:szCs w:val="16"/>
      </w:rPr>
      <w:t xml:space="preserve">, </w:t>
    </w:r>
    <w:r w:rsidR="004C7C2C" w:rsidRPr="004C7C2C">
      <w:rPr>
        <w:rFonts w:ascii="Palatino Linotype" w:hAnsi="Palatino Linotype"/>
        <w:bCs/>
        <w:i/>
        <w:iCs/>
        <w:sz w:val="16"/>
        <w:szCs w:val="16"/>
      </w:rPr>
      <w:t>9</w:t>
    </w:r>
    <w:r w:rsidR="004C7C2C" w:rsidRPr="004C7C2C">
      <w:rPr>
        <w:rFonts w:ascii="Palatino Linotype" w:hAnsi="Palatino Linotype"/>
        <w:bCs/>
        <w:iCs/>
        <w:sz w:val="16"/>
        <w:szCs w:val="16"/>
      </w:rPr>
      <w:t xml:space="preserve">, </w:t>
    </w:r>
    <w:r w:rsidR="00F97C0B">
      <w:rPr>
        <w:rFonts w:ascii="Palatino Linotype" w:hAnsi="Palatino Linotype"/>
        <w:bCs/>
        <w:iCs/>
        <w:sz w:val="16"/>
        <w:szCs w:val="16"/>
      </w:rPr>
      <w:t>x; doi: FOR PEER REVIEW</w:t>
    </w:r>
    <w:r w:rsidR="00C06B40"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7AF06" w14:textId="77777777" w:rsidR="006731BE" w:rsidRDefault="006731BE">
      <w:pPr>
        <w:spacing w:line="240" w:lineRule="auto"/>
      </w:pPr>
      <w:r>
        <w:separator/>
      </w:r>
    </w:p>
  </w:footnote>
  <w:footnote w:type="continuationSeparator" w:id="0">
    <w:p w14:paraId="65D86687" w14:textId="77777777" w:rsidR="006731BE" w:rsidRDefault="00673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699A" w14:textId="77777777" w:rsidR="00F1277D" w:rsidRDefault="00F1277D" w:rsidP="00F1277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184FA" w14:textId="7B32A41D" w:rsidR="00F1277D" w:rsidRPr="007C4D88" w:rsidRDefault="00F1277D"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004C7C2C" w:rsidRPr="004C7C2C">
      <w:rPr>
        <w:rFonts w:ascii="Palatino Linotype" w:hAnsi="Palatino Linotype"/>
        <w:b/>
        <w:sz w:val="16"/>
      </w:rPr>
      <w:t>2019</w:t>
    </w:r>
    <w:r w:rsidR="004C7C2C" w:rsidRPr="004C7C2C">
      <w:rPr>
        <w:rFonts w:ascii="Palatino Linotype" w:hAnsi="Palatino Linotype"/>
        <w:sz w:val="16"/>
      </w:rPr>
      <w:t xml:space="preserve">, </w:t>
    </w:r>
    <w:r w:rsidR="004C7C2C" w:rsidRPr="004C7C2C">
      <w:rPr>
        <w:rFonts w:ascii="Palatino Linotype" w:hAnsi="Palatino Linotype"/>
        <w:i/>
        <w:sz w:val="16"/>
      </w:rPr>
      <w:t>9</w:t>
    </w:r>
    <w:r w:rsidR="00F97C0B">
      <w:rPr>
        <w:rFonts w:ascii="Palatino Linotype" w:hAnsi="Palatino Linotype"/>
        <w:sz w:val="16"/>
      </w:rPr>
      <w:t>, x FOR PEER REVIEW</w:t>
    </w:r>
    <w:r w:rsidR="00C06B40">
      <w:rPr>
        <w:rFonts w:ascii="Palatino Linotype" w:hAnsi="Palatino Linotype"/>
        <w:sz w:val="16"/>
      </w:rPr>
      <w:tab/>
    </w:r>
    <w:r w:rsidR="00F97C0B">
      <w:rPr>
        <w:rFonts w:ascii="Palatino Linotype" w:hAnsi="Palatino Linotype"/>
        <w:sz w:val="16"/>
      </w:rPr>
      <w:fldChar w:fldCharType="begin"/>
    </w:r>
    <w:r w:rsidR="00F97C0B">
      <w:rPr>
        <w:rFonts w:ascii="Palatino Linotype" w:hAnsi="Palatino Linotype"/>
        <w:sz w:val="16"/>
      </w:rPr>
      <w:instrText xml:space="preserve"> PAGE   \* MERGEFORMAT </w:instrText>
    </w:r>
    <w:r w:rsidR="00F97C0B">
      <w:rPr>
        <w:rFonts w:ascii="Palatino Linotype" w:hAnsi="Palatino Linotype"/>
        <w:sz w:val="16"/>
      </w:rPr>
      <w:fldChar w:fldCharType="separate"/>
    </w:r>
    <w:r w:rsidR="009367E0">
      <w:rPr>
        <w:rFonts w:ascii="Palatino Linotype" w:hAnsi="Palatino Linotype"/>
        <w:noProof/>
        <w:sz w:val="16"/>
      </w:rPr>
      <w:t>3</w:t>
    </w:r>
    <w:r w:rsidR="00F97C0B">
      <w:rPr>
        <w:rFonts w:ascii="Palatino Linotype" w:hAnsi="Palatino Linotype"/>
        <w:sz w:val="16"/>
      </w:rPr>
      <w:fldChar w:fldCharType="end"/>
    </w:r>
    <w:r w:rsidR="00F97C0B">
      <w:rPr>
        <w:rFonts w:ascii="Palatino Linotype" w:hAnsi="Palatino Linotype"/>
        <w:sz w:val="16"/>
      </w:rPr>
      <w:t xml:space="preserve"> of </w:t>
    </w:r>
    <w:r w:rsidR="00F97C0B">
      <w:rPr>
        <w:rFonts w:ascii="Palatino Linotype" w:hAnsi="Palatino Linotype"/>
        <w:sz w:val="16"/>
      </w:rPr>
      <w:fldChar w:fldCharType="begin"/>
    </w:r>
    <w:r w:rsidR="00F97C0B">
      <w:rPr>
        <w:rFonts w:ascii="Palatino Linotype" w:hAnsi="Palatino Linotype"/>
        <w:sz w:val="16"/>
      </w:rPr>
      <w:instrText xml:space="preserve"> NUMPAGES   \* MERGEFORMAT </w:instrText>
    </w:r>
    <w:r w:rsidR="00F97C0B">
      <w:rPr>
        <w:rFonts w:ascii="Palatino Linotype" w:hAnsi="Palatino Linotype"/>
        <w:sz w:val="16"/>
      </w:rPr>
      <w:fldChar w:fldCharType="separate"/>
    </w:r>
    <w:r w:rsidR="009367E0">
      <w:rPr>
        <w:rFonts w:ascii="Palatino Linotype" w:hAnsi="Palatino Linotype"/>
        <w:noProof/>
        <w:sz w:val="16"/>
      </w:rPr>
      <w:t>4</w:t>
    </w:r>
    <w:r w:rsidR="00F97C0B">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8BC7" w14:textId="77777777" w:rsidR="00F1277D" w:rsidRDefault="00865AAF" w:rsidP="00F1277D">
    <w:pPr>
      <w:pStyle w:val="MDPIheaderjournallogo"/>
    </w:pPr>
    <w:r>
      <w:rPr>
        <w:i w:val="0"/>
        <w:noProof/>
        <w:szCs w:val="16"/>
        <w:lang w:val="en-CA" w:eastAsia="en-CA"/>
      </w:rPr>
      <mc:AlternateContent>
        <mc:Choice Requires="wps">
          <w:drawing>
            <wp:anchor distT="45720" distB="45720" distL="114300" distR="114300" simplePos="0" relativeHeight="251657728" behindDoc="1" locked="0" layoutInCell="1" allowOverlap="1" wp14:anchorId="6EA1FE9C" wp14:editId="57B18CF3">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5AC681B5" w14:textId="77777777" w:rsidR="00F1277D" w:rsidRDefault="00865AAF" w:rsidP="00F1277D">
                          <w:pPr>
                            <w:pStyle w:val="MDPIheaderjournallogo"/>
                            <w:jc w:val="center"/>
                            <w:rPr>
                              <w:i w:val="0"/>
                              <w:szCs w:val="16"/>
                            </w:rPr>
                          </w:pPr>
                          <w:r>
                            <w:rPr>
                              <w:i w:val="0"/>
                              <w:noProof/>
                              <w:szCs w:val="16"/>
                              <w:lang w:val="en-CA" w:eastAsia="en-CA"/>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1FE9C" id="_x0000_t202" coordsize="21600,21600" o:spt="202" path="m,l,21600r21600,l216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" stroked="f">
              <v:textbox inset="0,0,0,0">
                <w:txbxContent>
                  <w:p w14:paraId="5AC681B5" w14:textId="77777777" w:rsidR="00F1277D" w:rsidRDefault="00865AAF" w:rsidP="00F1277D">
                    <w:pPr>
                      <w:pStyle w:val="MDPIheaderjournallogo"/>
                      <w:jc w:val="center"/>
                      <w:rPr>
                        <w:i w:val="0"/>
                        <w:szCs w:val="16"/>
                      </w:rPr>
                    </w:pPr>
                    <w:r>
                      <w:rPr>
                        <w:i w:val="0"/>
                        <w:noProof/>
                        <w:szCs w:val="16"/>
                        <w:lang w:val="en-CA" w:eastAsia="en-CA"/>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val="en-CA" w:eastAsia="en-CA"/>
      </w:rPr>
      <w:drawing>
        <wp:inline distT="0" distB="0" distL="0" distR="0" wp14:anchorId="51791DDE" wp14:editId="2E7BB474">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1E6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E026E"/>
    <w:multiLevelType w:val="hybridMultilevel"/>
    <w:tmpl w:val="CFA46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180C2D"/>
    <w:multiLevelType w:val="hybridMultilevel"/>
    <w:tmpl w:val="BAB4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CD639F7"/>
    <w:multiLevelType w:val="hybridMultilevel"/>
    <w:tmpl w:val="FA345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FA1014A"/>
    <w:multiLevelType w:val="hybridMultilevel"/>
    <w:tmpl w:val="65562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5"/>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13D75"/>
    <w:rsid w:val="00061C10"/>
    <w:rsid w:val="000958E8"/>
    <w:rsid w:val="000F5580"/>
    <w:rsid w:val="00132F5E"/>
    <w:rsid w:val="00141982"/>
    <w:rsid w:val="001505DB"/>
    <w:rsid w:val="0017648C"/>
    <w:rsid w:val="00176AFB"/>
    <w:rsid w:val="00184462"/>
    <w:rsid w:val="001961E4"/>
    <w:rsid w:val="001E2AEB"/>
    <w:rsid w:val="0023048B"/>
    <w:rsid w:val="00260AEA"/>
    <w:rsid w:val="002704EA"/>
    <w:rsid w:val="002A0454"/>
    <w:rsid w:val="002F10C7"/>
    <w:rsid w:val="00326141"/>
    <w:rsid w:val="00331773"/>
    <w:rsid w:val="00335ED0"/>
    <w:rsid w:val="00347E92"/>
    <w:rsid w:val="00381F51"/>
    <w:rsid w:val="003F2905"/>
    <w:rsid w:val="00401D30"/>
    <w:rsid w:val="00435E83"/>
    <w:rsid w:val="00467CB3"/>
    <w:rsid w:val="0047542C"/>
    <w:rsid w:val="00481F84"/>
    <w:rsid w:val="004B6062"/>
    <w:rsid w:val="004C7C2C"/>
    <w:rsid w:val="004D3CFA"/>
    <w:rsid w:val="005314C2"/>
    <w:rsid w:val="00531E43"/>
    <w:rsid w:val="0055258A"/>
    <w:rsid w:val="00564ED2"/>
    <w:rsid w:val="005B4CD2"/>
    <w:rsid w:val="005D5420"/>
    <w:rsid w:val="005E5501"/>
    <w:rsid w:val="005F60CF"/>
    <w:rsid w:val="00632101"/>
    <w:rsid w:val="0063658E"/>
    <w:rsid w:val="006515A7"/>
    <w:rsid w:val="00662394"/>
    <w:rsid w:val="006731BE"/>
    <w:rsid w:val="00692393"/>
    <w:rsid w:val="00694F17"/>
    <w:rsid w:val="0070063D"/>
    <w:rsid w:val="0072027F"/>
    <w:rsid w:val="00741861"/>
    <w:rsid w:val="00760E13"/>
    <w:rsid w:val="007F627F"/>
    <w:rsid w:val="00865AAF"/>
    <w:rsid w:val="008838FC"/>
    <w:rsid w:val="00926358"/>
    <w:rsid w:val="009367E0"/>
    <w:rsid w:val="00957FCA"/>
    <w:rsid w:val="009B6587"/>
    <w:rsid w:val="009E4B64"/>
    <w:rsid w:val="009F70E6"/>
    <w:rsid w:val="00A01E0D"/>
    <w:rsid w:val="00A44D35"/>
    <w:rsid w:val="00A5467C"/>
    <w:rsid w:val="00A744C4"/>
    <w:rsid w:val="00AA115C"/>
    <w:rsid w:val="00AC3F86"/>
    <w:rsid w:val="00B13530"/>
    <w:rsid w:val="00B21EF0"/>
    <w:rsid w:val="00B53145"/>
    <w:rsid w:val="00B64378"/>
    <w:rsid w:val="00B95C2F"/>
    <w:rsid w:val="00BE1DB7"/>
    <w:rsid w:val="00BF39E3"/>
    <w:rsid w:val="00C06B40"/>
    <w:rsid w:val="00C12F6B"/>
    <w:rsid w:val="00C94760"/>
    <w:rsid w:val="00CA3FB9"/>
    <w:rsid w:val="00D2020E"/>
    <w:rsid w:val="00D727CC"/>
    <w:rsid w:val="00D85F80"/>
    <w:rsid w:val="00DC0B90"/>
    <w:rsid w:val="00E47504"/>
    <w:rsid w:val="00E76A66"/>
    <w:rsid w:val="00E87069"/>
    <w:rsid w:val="00EC4E34"/>
    <w:rsid w:val="00F1277D"/>
    <w:rsid w:val="00F41042"/>
    <w:rsid w:val="00F70F25"/>
    <w:rsid w:val="00F97C0B"/>
    <w:rsid w:val="00FC45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C595B"/>
  <w15:docId w15:val="{B8B6FFA8-ABFA-4AF4-8877-1BA1C287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semiHidden/>
    <w:unhideWhenUsed/>
    <w:rsid w:val="00632101"/>
    <w:pPr>
      <w:spacing w:line="240" w:lineRule="auto"/>
    </w:pPr>
    <w:rPr>
      <w:sz w:val="20"/>
    </w:rPr>
  </w:style>
  <w:style w:type="character" w:customStyle="1" w:styleId="CommentTextChar">
    <w:name w:val="Comment Text Char"/>
    <w:basedOn w:val="DefaultParagraphFont"/>
    <w:link w:val="CommentText"/>
    <w:uiPriority w:val="99"/>
    <w:semiHidden/>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mg.mdpi.org/data/contributor-role-instruction.pdf"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nin\Documents\PhDProjec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D297-798A-40B4-B30F-3ED328A5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diagnostics-template.dot</Template>
  <TotalTime>76</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12</cp:revision>
  <dcterms:created xsi:type="dcterms:W3CDTF">2019-04-08T14:31:00Z</dcterms:created>
  <dcterms:modified xsi:type="dcterms:W3CDTF">2019-04-23T19:18:00Z</dcterms:modified>
</cp:coreProperties>
</file>