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A84CD7" w14:textId="77777777" w:rsidR="00386C6A" w:rsidRDefault="00386C6A" w:rsidP="00F75649">
      <w:pPr>
        <w:spacing w:line="360" w:lineRule="auto"/>
        <w:jc w:val="center"/>
        <w:rPr>
          <w:b/>
          <w:sz w:val="24"/>
          <w:szCs w:val="24"/>
        </w:rPr>
      </w:pPr>
      <w:r>
        <w:rPr>
          <w:b/>
          <w:sz w:val="24"/>
          <w:szCs w:val="24"/>
        </w:rPr>
        <w:t>Introduction</w:t>
      </w:r>
    </w:p>
    <w:p w14:paraId="6498B8E2" w14:textId="1CE0E121" w:rsidR="00390BA9" w:rsidRDefault="0044387F" w:rsidP="00390BA9">
      <w:pPr>
        <w:spacing w:line="360" w:lineRule="auto"/>
        <w:ind w:firstLine="567"/>
        <w:rPr>
          <w:sz w:val="24"/>
          <w:szCs w:val="24"/>
        </w:rPr>
      </w:pPr>
      <w:r>
        <w:rPr>
          <w:sz w:val="24"/>
          <w:szCs w:val="24"/>
        </w:rPr>
        <w:t xml:space="preserve">Understanding how </w:t>
      </w:r>
      <w:r w:rsidR="00942867">
        <w:rPr>
          <w:sz w:val="24"/>
          <w:szCs w:val="24"/>
        </w:rPr>
        <w:t>an</w:t>
      </w:r>
      <w:r>
        <w:rPr>
          <w:sz w:val="24"/>
          <w:szCs w:val="24"/>
        </w:rPr>
        <w:t xml:space="preserve"> individual experience</w:t>
      </w:r>
      <w:r w:rsidR="00942867">
        <w:rPr>
          <w:sz w:val="24"/>
          <w:szCs w:val="24"/>
        </w:rPr>
        <w:t>s</w:t>
      </w:r>
      <w:r>
        <w:rPr>
          <w:sz w:val="24"/>
          <w:szCs w:val="24"/>
        </w:rPr>
        <w:t xml:space="preserve"> the world is a f</w:t>
      </w:r>
      <w:r w:rsidR="00942867">
        <w:rPr>
          <w:sz w:val="24"/>
          <w:szCs w:val="24"/>
        </w:rPr>
        <w:t xml:space="preserve">undamentally difficult process. One approach to begin characterizing an individual’s experience is to quantify </w:t>
      </w:r>
      <w:r w:rsidR="009E5911">
        <w:rPr>
          <w:sz w:val="24"/>
          <w:szCs w:val="24"/>
        </w:rPr>
        <w:t>how similar or different it is to the experience of others in the same context</w:t>
      </w:r>
      <w:r w:rsidR="00942867">
        <w:rPr>
          <w:sz w:val="24"/>
          <w:szCs w:val="24"/>
        </w:rPr>
        <w:t>. To probe</w:t>
      </w:r>
      <w:r>
        <w:rPr>
          <w:sz w:val="24"/>
          <w:szCs w:val="24"/>
        </w:rPr>
        <w:t xml:space="preserve"> the similariti</w:t>
      </w:r>
      <w:r w:rsidR="00942867">
        <w:rPr>
          <w:sz w:val="24"/>
          <w:szCs w:val="24"/>
        </w:rPr>
        <w:t>es between how different brains process the same stimuli we can use</w:t>
      </w:r>
      <w:r>
        <w:rPr>
          <w:sz w:val="24"/>
          <w:szCs w:val="24"/>
        </w:rPr>
        <w:t xml:space="preserve"> neuroimaging and an</w:t>
      </w:r>
      <w:r w:rsidR="00390BA9">
        <w:rPr>
          <w:sz w:val="24"/>
          <w:szCs w:val="24"/>
        </w:rPr>
        <w:t xml:space="preserve"> analysis called</w:t>
      </w:r>
      <w:r>
        <w:rPr>
          <w:sz w:val="24"/>
          <w:szCs w:val="24"/>
        </w:rPr>
        <w:t xml:space="preserve"> inter-subject synchronization</w:t>
      </w:r>
      <w:r w:rsidR="00390BA9">
        <w:rPr>
          <w:sz w:val="24"/>
          <w:szCs w:val="24"/>
        </w:rPr>
        <w:t xml:space="preserve"> (ISS)</w:t>
      </w:r>
      <w:r>
        <w:rPr>
          <w:sz w:val="24"/>
          <w:szCs w:val="24"/>
        </w:rPr>
        <w:t>.</w:t>
      </w:r>
      <w:r w:rsidR="00390BA9">
        <w:rPr>
          <w:sz w:val="24"/>
          <w:szCs w:val="24"/>
        </w:rPr>
        <w:t xml:space="preserve"> ISS is</w:t>
      </w:r>
      <w:r w:rsidR="001C181C">
        <w:rPr>
          <w:sz w:val="24"/>
          <w:szCs w:val="24"/>
        </w:rPr>
        <w:t xml:space="preserve"> calculated as a voxel-wise correlation in fMRI acti</w:t>
      </w:r>
      <w:r w:rsidR="00390BA9">
        <w:rPr>
          <w:sz w:val="24"/>
          <w:szCs w:val="24"/>
        </w:rPr>
        <w:t>vity over time between subjects</w:t>
      </w:r>
      <w:r w:rsidR="00B911F4">
        <w:rPr>
          <w:sz w:val="24"/>
          <w:szCs w:val="24"/>
        </w:rPr>
        <w:t xml:space="preserve"> and quantifies</w:t>
      </w:r>
      <w:r w:rsidR="00942867">
        <w:rPr>
          <w:sz w:val="24"/>
          <w:szCs w:val="24"/>
        </w:rPr>
        <w:t xml:space="preserve"> the similarity in brain activation between individ</w:t>
      </w:r>
      <w:r w:rsidR="00B911F4">
        <w:rPr>
          <w:sz w:val="24"/>
          <w:szCs w:val="24"/>
        </w:rPr>
        <w:t>uals exposed to the same stimulus</w:t>
      </w:r>
      <w:r w:rsidR="00942867">
        <w:rPr>
          <w:sz w:val="24"/>
          <w:szCs w:val="24"/>
        </w:rPr>
        <w:t>.</w:t>
      </w:r>
      <w:r w:rsidR="00B911F4">
        <w:rPr>
          <w:sz w:val="24"/>
          <w:szCs w:val="24"/>
        </w:rPr>
        <w:t xml:space="preserve"> This</w:t>
      </w:r>
      <w:r w:rsidR="009E5911">
        <w:rPr>
          <w:sz w:val="24"/>
          <w:szCs w:val="24"/>
        </w:rPr>
        <w:t xml:space="preserve"> similarity in brain activation can be interpreted as a proxy for shared experience ().</w:t>
      </w:r>
      <w:r w:rsidR="001C181C">
        <w:rPr>
          <w:sz w:val="24"/>
          <w:szCs w:val="24"/>
        </w:rPr>
        <w:t xml:space="preserve"> </w:t>
      </w:r>
      <w:r>
        <w:rPr>
          <w:sz w:val="24"/>
          <w:szCs w:val="24"/>
        </w:rPr>
        <w:t xml:space="preserve">One of the strengths of an ISS analysis is </w:t>
      </w:r>
      <w:r w:rsidR="00942867">
        <w:rPr>
          <w:sz w:val="24"/>
          <w:szCs w:val="24"/>
        </w:rPr>
        <w:t xml:space="preserve">its reliance on stimuli that unfold over </w:t>
      </w:r>
      <w:r w:rsidR="009E5911">
        <w:rPr>
          <w:sz w:val="24"/>
          <w:szCs w:val="24"/>
        </w:rPr>
        <w:t>time</w:t>
      </w:r>
      <w:r w:rsidR="00942867">
        <w:rPr>
          <w:sz w:val="24"/>
          <w:szCs w:val="24"/>
        </w:rPr>
        <w:t>. Therefore, n</w:t>
      </w:r>
      <w:r>
        <w:rPr>
          <w:sz w:val="24"/>
          <w:szCs w:val="24"/>
        </w:rPr>
        <w:t>aturalistic stimuli</w:t>
      </w:r>
      <w:r w:rsidR="00390BA9">
        <w:rPr>
          <w:sz w:val="24"/>
          <w:szCs w:val="24"/>
        </w:rPr>
        <w:t>,</w:t>
      </w:r>
      <w:r>
        <w:rPr>
          <w:sz w:val="24"/>
          <w:szCs w:val="24"/>
        </w:rPr>
        <w:t xml:space="preserve"> such as movies</w:t>
      </w:r>
      <w:r w:rsidR="00942867">
        <w:rPr>
          <w:sz w:val="24"/>
          <w:szCs w:val="24"/>
        </w:rPr>
        <w:t xml:space="preserve"> or music</w:t>
      </w:r>
      <w:r w:rsidR="00390BA9">
        <w:rPr>
          <w:sz w:val="24"/>
          <w:szCs w:val="24"/>
        </w:rPr>
        <w:t>,</w:t>
      </w:r>
      <w:r>
        <w:rPr>
          <w:sz w:val="24"/>
          <w:szCs w:val="24"/>
        </w:rPr>
        <w:t xml:space="preserve"> </w:t>
      </w:r>
      <w:r w:rsidR="00942867">
        <w:rPr>
          <w:sz w:val="24"/>
          <w:szCs w:val="24"/>
        </w:rPr>
        <w:t>are ideally suited to an ISS analysis</w:t>
      </w:r>
      <w:r w:rsidR="00B911F4">
        <w:rPr>
          <w:sz w:val="24"/>
          <w:szCs w:val="24"/>
        </w:rPr>
        <w:t xml:space="preserve"> and they increase</w:t>
      </w:r>
      <w:r w:rsidR="009E5911">
        <w:rPr>
          <w:sz w:val="24"/>
          <w:szCs w:val="24"/>
        </w:rPr>
        <w:t xml:space="preserve"> the ecolog</w:t>
      </w:r>
      <w:r w:rsidR="00B911F4">
        <w:rPr>
          <w:sz w:val="24"/>
          <w:szCs w:val="24"/>
        </w:rPr>
        <w:t xml:space="preserve">ical validity of the results by creating </w:t>
      </w:r>
      <w:r w:rsidR="00390BA9">
        <w:rPr>
          <w:sz w:val="24"/>
          <w:szCs w:val="24"/>
        </w:rPr>
        <w:t>an experience inside the lab that more closely resembles the outside world than o</w:t>
      </w:r>
      <w:r w:rsidR="009E5911">
        <w:rPr>
          <w:sz w:val="24"/>
          <w:szCs w:val="24"/>
        </w:rPr>
        <w:t>ther traditional experimental paradigms.</w:t>
      </w:r>
    </w:p>
    <w:p w14:paraId="4C7C6B24" w14:textId="7A296828" w:rsidR="005453B1" w:rsidRDefault="00C42846" w:rsidP="005453B1">
      <w:pPr>
        <w:spacing w:line="360" w:lineRule="auto"/>
        <w:ind w:firstLine="567"/>
        <w:rPr>
          <w:sz w:val="24"/>
          <w:szCs w:val="24"/>
        </w:rPr>
      </w:pPr>
      <w:r>
        <w:rPr>
          <w:sz w:val="24"/>
          <w:szCs w:val="24"/>
        </w:rPr>
        <w:t>Previous</w:t>
      </w:r>
      <w:r w:rsidR="00E56811">
        <w:rPr>
          <w:sz w:val="24"/>
          <w:szCs w:val="24"/>
        </w:rPr>
        <w:t xml:space="preserve"> experiments</w:t>
      </w:r>
      <w:r>
        <w:rPr>
          <w:sz w:val="24"/>
          <w:szCs w:val="24"/>
        </w:rPr>
        <w:t xml:space="preserve"> have used a variety of stimuli to induce ISS such as movies, audio stories, and music. Using movies and stories, the</w:t>
      </w:r>
      <w:r w:rsidR="00E56811">
        <w:rPr>
          <w:sz w:val="24"/>
          <w:szCs w:val="24"/>
        </w:rPr>
        <w:t xml:space="preserve"> researchers</w:t>
      </w:r>
      <w:r w:rsidR="001C181C">
        <w:rPr>
          <w:sz w:val="24"/>
          <w:szCs w:val="24"/>
        </w:rPr>
        <w:t xml:space="preserve"> </w:t>
      </w:r>
      <w:r>
        <w:rPr>
          <w:sz w:val="24"/>
          <w:szCs w:val="24"/>
        </w:rPr>
        <w:t>hypothesized</w:t>
      </w:r>
      <w:r w:rsidR="00496AC8">
        <w:rPr>
          <w:sz w:val="24"/>
          <w:szCs w:val="24"/>
        </w:rPr>
        <w:t xml:space="preserve"> </w:t>
      </w:r>
      <w:r w:rsidR="00E56811">
        <w:rPr>
          <w:sz w:val="24"/>
          <w:szCs w:val="24"/>
        </w:rPr>
        <w:t>that</w:t>
      </w:r>
      <w:r>
        <w:rPr>
          <w:sz w:val="24"/>
          <w:szCs w:val="24"/>
        </w:rPr>
        <w:t xml:space="preserve"> the</w:t>
      </w:r>
      <w:r w:rsidR="00E56811">
        <w:rPr>
          <w:sz w:val="24"/>
          <w:szCs w:val="24"/>
        </w:rPr>
        <w:t xml:space="preserve"> strong ISS</w:t>
      </w:r>
      <w:r>
        <w:rPr>
          <w:sz w:val="24"/>
          <w:szCs w:val="24"/>
        </w:rPr>
        <w:t xml:space="preserve"> was</w:t>
      </w:r>
      <w:r w:rsidR="00496AC8">
        <w:rPr>
          <w:sz w:val="24"/>
          <w:szCs w:val="24"/>
        </w:rPr>
        <w:t xml:space="preserve"> driven by participant</w:t>
      </w:r>
      <w:r>
        <w:rPr>
          <w:sz w:val="24"/>
          <w:szCs w:val="24"/>
        </w:rPr>
        <w:t xml:space="preserve">s’ engagement </w:t>
      </w:r>
      <w:r w:rsidR="00E56811">
        <w:rPr>
          <w:sz w:val="24"/>
          <w:szCs w:val="24"/>
        </w:rPr>
        <w:t>with the stimulus and that</w:t>
      </w:r>
      <w:r w:rsidR="006062A5">
        <w:rPr>
          <w:sz w:val="24"/>
          <w:szCs w:val="24"/>
        </w:rPr>
        <w:t xml:space="preserve"> this engagement </w:t>
      </w:r>
      <w:r>
        <w:rPr>
          <w:sz w:val="24"/>
          <w:szCs w:val="24"/>
        </w:rPr>
        <w:t>was</w:t>
      </w:r>
      <w:r w:rsidR="00E56811">
        <w:rPr>
          <w:sz w:val="24"/>
          <w:szCs w:val="24"/>
        </w:rPr>
        <w:t xml:space="preserve"> largely driven by</w:t>
      </w:r>
      <w:r w:rsidR="006062A5">
        <w:rPr>
          <w:sz w:val="24"/>
          <w:szCs w:val="24"/>
        </w:rPr>
        <w:t xml:space="preserve"> how interesting participants </w:t>
      </w:r>
      <w:r>
        <w:rPr>
          <w:sz w:val="24"/>
          <w:szCs w:val="24"/>
        </w:rPr>
        <w:t>found</w:t>
      </w:r>
      <w:r w:rsidR="00496AC8">
        <w:rPr>
          <w:sz w:val="24"/>
          <w:szCs w:val="24"/>
        </w:rPr>
        <w:t xml:space="preserve"> </w:t>
      </w:r>
      <w:r w:rsidR="00E615D1">
        <w:rPr>
          <w:sz w:val="24"/>
          <w:szCs w:val="24"/>
        </w:rPr>
        <w:t xml:space="preserve">the </w:t>
      </w:r>
      <w:r w:rsidR="00E56811">
        <w:rPr>
          <w:sz w:val="24"/>
          <w:szCs w:val="24"/>
        </w:rPr>
        <w:t xml:space="preserve">plot </w:t>
      </w:r>
      <w:r w:rsidR="006062A5">
        <w:rPr>
          <w:sz w:val="24"/>
          <w:szCs w:val="24"/>
        </w:rPr>
        <w:t>of the movie</w:t>
      </w:r>
      <w:r w:rsidR="00B911F4">
        <w:rPr>
          <w:sz w:val="24"/>
          <w:szCs w:val="24"/>
        </w:rPr>
        <w:t xml:space="preserve"> or story</w:t>
      </w:r>
      <w:r w:rsidR="006062A5">
        <w:rPr>
          <w:sz w:val="24"/>
          <w:szCs w:val="24"/>
        </w:rPr>
        <w:t xml:space="preserve"> </w:t>
      </w:r>
      <w:r w:rsidR="006062A5">
        <w:rPr>
          <w:sz w:val="24"/>
          <w:szCs w:val="24"/>
        </w:rPr>
        <w:fldChar w:fldCharType="begin" w:fldLock="1"/>
      </w:r>
      <w:r w:rsidR="005453B1">
        <w:rPr>
          <w:sz w:val="24"/>
          <w:szCs w:val="24"/>
        </w:rPr>
        <w:instrText>ADDIN CSL_CITATION {"citationItems":[{"id":"ITEM-1","itemData":{"DOI":"10.1016/j.neuroimage.2015.11.059","ISBN":"1053-8119","ISSN":"10959572","PMID":"26679327","abstract":"Decoding the contents of consciousness from brain activity is one of the most challenging frontiers of cognitive neuroscience. The ability to interpret mental content without recourse to behavior is most relevant for understanding patients who may be demonstrably conscious, but entirely unable to speak or move willfully in any way, precluding any systematic investigation of their conscious experience. The lack of consistent behavioral responsivity engenders unique challenges to decoding any conscious experiences these patients may have solely based on their brain activity. For this reason, paradigms that have been successful in healthy individuals cannot serve to interpret conscious mental states in this patient group. Until recently, patient studies have used structured instructions to elicit willful modulation of brain activity according to command, in order to decode the presence of willful brain-based responses in this patient group. In recent work, we have used naturalistic paradigms, such as watching a movie or listening to an audio-story, to demonstrate that a common neural code supports conscious experiences in different individuals. Moreover, we have demonstrated that this code can be used to interpret the conscious experiences of a patient who had remained non-responsive for several years. This approach is easy to administer, brief, and does not require compliance with task instructions. Rather, it engages attention naturally through meaningful stimuli that are similar to the real-world sensory information in a patient's environment. Therefore, it may be particularly suited to probing consciousness and revealing residual brain function in highly impaired, acute, patients in a comatose state, thus helping to improve diagnostication and prognostication for this vulnerable patient group from the critical early stages of severe brain-injury.","author":[{"dropping-particle":"","family":"Naci","given":"Lorina","non-dropping-particle":"","parse-names":false,"suffix":""},{"dropping-particle":"","family":"Sinai","given":"Leah","non-dropping-particle":"","parse-names":false,"suffix":""},{"dropping-particle":"","family":"Owen","given":"Adrian M","non-dropping-particle":"","parse-names":false,"suffix":""}],"container-title":"NeuroImage","id":"ITEM-1","issued":{"date-parts":[["2017"]]},"page":"304-313","publisher":"Elsevier Inc.","title":"Detecting and interpreting conscious experiences in behaviorally non-responsive patients","type":"article-journal","volume":"145"},"uris":["http://www.mendeley.com/documents/?uuid=44a4c62e-086a-4776-a680-95daf60f7bd2"]},{"id":"ITEM-2","itemData":{"DOI":"10.1016/j.neurobiolaging.2015.07.028","ISSN":"15581497","PMID":"26359527","abstract":"Much is known about how age affects the brain during tightly controlled, though largely contrived, experiments, but do these effects extrapolate to everyday life? Naturalistic stimuli, such as movies, closely mimic the real world and provide a window onto the brain's ability to respond in a timely and measured fashion to complex, everyday events. Young adults respond to these stimuli in a highly synchronized fashion, but it remains to be seen how age affects neural responsiveness during naturalistic viewing. To this end, we scanned a large (N = 218), population-based sample from the Cambridge Centre for Ageing and Neuroscience (Cam-CAN) during movie-watching. Intersubject synchronization declined with age, such that older adults' response to the movie was more idiosyncratic. This decreased synchrony related to cognitive measures sensitive to attentional control. Our findings suggest that neural responsivity changes with age, which likely has important implications for real-world event comprehension and memory.","author":[{"dropping-particle":"","family":"Campbell","given":"Karen L.","non-dropping-particle":"","parse-names":false,"suffix":""},{"dropping-particle":"","family":"Shafto","given":"Meredith A.","non-dropping-particle":"","parse-names":false,"suffix":""},{"dropping-particle":"","family":"Wright","given":"Paul","non-dropping-particle":"","parse-names":false,"suffix":""},{"dropping-particle":"","family":"Tsvetanov","given":"Kamen A.","non-dropping-particle":"","parse-names":false,"suffix":""},{"dropping-particle":"","family":"Geerligs","given":"Linda","non-dropping-particle":"","parse-names":false,"suffix":""},{"dropping-particle":"","family":"Cusack","given":"Rhodri","non-dropping-particle":"","parse-names":false,"suffix":""},{"dropping-particle":"","family":"Tyler","given":"Lorraine K.","non-dropping-particle":"","parse-names":false,"suffix":""},{"dropping-particle":"","family":"Brayne","given":"Carol","non-dropping-particle":"","parse-names":false,"suffix":""},{"dropping-particle":"","family":"Bullmore","given":"Ed","non-dropping-particle":"","parse-names":false,"suffix":""},{"dropping-particle":"","family":"Calder","given":"Andrew","non-dropping-particle":"","parse-names":false,"suffix":""},{"dropping-particle":"","family":"Dalgleish","given":"Tim","non-dropping-particle":"","parse-names":false,"suffix":""},{"dropping-particle":"","family":"Duncan","given":"John","non-dropping-particle":"","parse-names":false,"suffix":""},{"dropping-particle":"","family":"Henson","given":"Rik","non-dropping-particle":"","parse-names":false,"suffix":""},{"dropping-particle":"","family":"Matthews","given":"Fiona","non-dropping-particle":"","parse-names":false,"suffix":""},{"dropping-particle":"","family":"Marslen-Wilson","given":"William","non-dropping-particle":"","parse-names":false,"suffix":""},{"dropping-particle":"","family":"Rowe","given":"James","non-dropping-particle":"","parse-names":false,"suffix":""},{"dropping-particle":"","family":"Cheung","given":"Teresa","non-dropping-particle":"","parse-names":false,"suffix":""},{"dropping-particle":"","family":"Davis","given":"Simon","non-dropping-particle":"","parse-names":false,"suffix":""},{"dropping-particle":"","family":"Kievit","given":"Rogier","non-dropping-particle":"","parse-names":false,"suffix":""},{"dropping-particle":"","family":"McCarrey","given":"Anna","non-dropping-particle":"","parse-names":false,"suffix":""},{"dropping-particle":"","family":"Price","given":"Darren","non-dropping-particle":"","parse-names":false,"suffix":""},{"dropping-particle":"","family":"Taylor","given":"Jason","non-dropping-particle":"","parse-names":false,"suffix":""},{"dropping-particle":"","family":"Williams","given":"Nitin","non-dropping-particle":"","parse-names":false,"suffix":""},{"dropping-particle":"","family":"Bates","given":"Lauren","non-dropping-particle":"","parse-names":false,"suffix":""},{"dropping-particle":"","family":"Emery","given":"Tina","non-dropping-particle":"","parse-names":false,"suffix":""},{"dropping-particle":"","family":"Erzinçlioglu","given":"Sharon","non-dropping-particle":"","parse-names":false,"suffix":""},{"dropping-particle":"","family":"Gadie","given":"Andrew","non-dropping-particle":"","parse-names":false,"suffix":""},{"dropping-particle":"","family":"Gerbase","given":"Sofia","non-dropping-particle":"","parse-names":false,"suffix":""},{"dropping-particle":"","family":"Georgieva","given":"Stanimira","non-dropping-particle":"","parse-names":false,"suffix":""},{"dropping-particle":"","family":"Hanley","given":"Claire","non-dropping-particle":"","parse-names":false,"suffix":""},{"dropping-particle":"","family":"Parkin","given":"Beth","non-dropping-particle":"","parse-names":false,"suffix":""},{"dropping-particle":"","family":"Troy","given":"David","non-dropping-particle":"","parse-names":false,"suffix":""},{"dropping-particle":"","family":"Allen","given":"Jodie","non-dropping-particle":"","parse-names":false,"suffix":""},{"dropping-particle":"","family":"Amery","given":"Gillian","non-dropping-particle":"","parse-names":false,"suffix":""},{"dropping-particle":"","family":"Amunts","given":"Liana","non-dropping-particle":"","parse-names":false,"suffix":""},{"dropping-particle":"","family":"Barcroft","given":"Anne","non-dropping-particle":"","parse-names":false,"suffix":""},{"dropping-particle":"","family":"Castle","given":"Amanda","non-dropping-particle":"","parse-names":false,"suffix":""},{"dropping-particle":"","family":"Dias","given":"Cheryl","non-dropping-particle":"","parse-names":false,"suffix":""},{"dropping-particle":"","family":"Dowrick","given":"Jonathan","non-dropping-particle":"","parse-names":false,"suffix":""},{"dropping-particle":"","family":"Fair","given":"Melissa","non-dropping-particle":"","parse-names":false,"suffix":""},{"dropping-particle":"","family":"Fisher","given":"Hayley","non-dropping-particle":"","parse-names":false,"suffix":""},{"dropping-particle":"","family":"Goulding","given":"Anna","non-dropping-particle":"","parse-names":false,"suffix":""},{"dropping-particle":"","family":"Grewal","given":"Adarsh","non-dropping-particle":"","parse-names":false,"suffix":""},{"dropping-particle":"","family":"Hale","given":"Geoff","non-dropping-particle":"","parse-names":false,"suffix":""},{"dropping-particle":"","family":"Hilton","given":"Andrew","non-dropping-particle":"","parse-names":false,"suffix":""},{"dropping-particle":"","family":"Johnson","given":"Frances","non-dropping-particle":"","parse-names":false,"suffix":""},{"dropping-particle":"","family":"Johnston","given":"Patricia","non-dropping-particle":"","parse-names":false,"suffix":""},{"dropping-particle":"","family":"Kavanagh-Williamson","given":"Thea","non-dropping-particle":"","parse-names":false,"suffix":""},{"dropping-particle":"","family":"Kwasniewska","given":"Magdalena","non-dropping-particle":"","parse-names":false,"suffix":""},{"dropping-particle":"","family":"McMinn","given":"Alison","non-dropping-particle":"","parse-names":false,"suffix":""},{"dropping-particle":"","family":"Norman","given":"Kim","non-dropping-particle":"","parse-names":false,"suffix":""},{"dropping-particle":"","family":"Penrose","given":"Jessica","non-dropping-particle":"","parse-names":false,"suffix":""},{"dropping-particle":"","family":"Roby","given":"Fiona","non-dropping-particle":"","parse-names":false,"suffix":""},{"dropping-particle":"","family":"Rowland","given":"Diane","non-dropping-particle":"","parse-names":false,"suffix":""},{"dropping-particle":"","family":"Sargeant","given":"John","non-dropping-particle":"","parse-names":false,"suffix":""},{"dropping-particle":"","family":"Squire","given":"Maggie","non-dropping-particle":"","parse-names":false,"suffix":""},{"dropping-particle":"","family":"Stevens","given":"Beth","non-dropping-particle":"","parse-names":false,"suffix":""},{"dropping-particle":"","family":"Stoddart","given":"Aldabra","non-dropping-particle":"","parse-names":false,"suffix":""},{"dropping-particle":"","family":"Stone","given":"Cheryl","non-dropping-particle":"","parse-names":false,"suffix":""},{"dropping-particle":"","family":"Thompson","given":"Tracy","non-dropping-particle":"","parse-names":false,"suffix":""},{"dropping-particle":"","family":"Yazlik","given":"Ozlem","non-dropping-particle":"","parse-names":false,"suffix":""},{"dropping-particle":"","family":"Dixon","given":"Marie","non-dropping-particle":"","parse-names":false,"suffix":""},{"dropping-particle":"","family":"Barnes","given":"Dan","non-dropping-particle":"","parse-names":false,"suffix":""},{"dropping-particle":"","family":"Hillman","given":"Jaya","non-dropping-particle":"","parse-names":false,"suffix":""},{"dropping-particle":"","family":"Mitchell","given":"Joanne","non-dropping-particle":"","parse-names":false,"suffix":""},{"dropping-particle":"","family":"Villis","given":"Laura","non-dropping-particle":"","parse-names":false,"suffix":""}],"container-title":"Neurobiology of Aging","id":"ITEM-2","issue":"11","issued":{"date-parts":[["2015"]]},"page":"3045-3055","title":"Idiosyncratic responding during movie-watching predicted by age differences in attentional control","type":"article-journal","volume":"36"},"uris":["http://www.mendeley.com/documents/?uuid=d38dcabb-da3a-41d7-8ab0-ae1ca2aa3c51"]},{"id":"ITEM-3","itemData":{"DOI":"10.1101/291526","abstract":"How does attention route information from sensory to high-order areas as a function of task, within the relatively fixed topology of the brain? In this study, participants were simultaneously presented with two unrelated stories - one spoken and one written - and asked to attend one while ignoring the other. We used fMRI and a novel inter-subject correlation analysis to track the spread of information along the processing hierarchy as a function of task. Processing the unattended spoken (written) information was confined to auditory (visual) cortices. In contrast, attending to the spoken (written) story enhanced the stimulus-selective responses in early sensory regions and allowed it to spread into higher-order areas. Surprisingly, we found that the story-specific spoken (written) responses for the attended story also reached the opposite secondary visual (auditory) regions. These results demonstrate how attention enhances the processing of attended input and allows it to propagate across brain areas.","author":[{"dropping-particle":"","family":"Regev","given":"Mor","non-dropping-particle":"","parse-names":false,"suffix":""},{"dropping-particle":"","family":"Simony","given":"Erez","non-dropping-particle":"","parse-names":false,"suffix":""},{"dropping-particle":"","family":"Lee","given":"Katherine","non-dropping-particle":"","parse-names":false,"suffix":""},{"dropping-particle":"","family":"Tan","given":"Kean Ming","non-dropping-particle":"","parse-names":false,"suffix":""},{"dropping-particle":"","family":"Chen","given":"Janice","non-dropping-particle":"","parse-names":false,"suffix":""},{"dropping-particle":"","family":"Hasson","given":"Uri","non-dropping-particle":"","parse-names":false,"suffix":""}],"container-title":"bioRxiv","id":"ITEM-3","issued":{"date-parts":[["2018"]]},"page":"291526","title":"Propagation of information along the cortical hierarchy as a function of attention while reading and listening to stories","type":"article-journal"},"uris":["http://www.mendeley.com/documents/?uuid=e6ad5f91-d6dd-4a88-a126-b068d04b0dc3"]}],"mendeley":{"formattedCitation":"(Campbell et al., 2015; Naci, Sinai, &amp; Owen, 2017; Regev et al., 2018)","plainTextFormattedCitation":"(Campbell et al., 2015; Naci, Sinai, &amp; Owen, 2017; Regev et al., 2018)","previouslyFormattedCitation":"(Campbell et al., 2015; Naci, Sinai, &amp; Owen, 2017)"},"properties":{"noteIndex":0},"schema":"https://github.com/citation-style-language/schema/raw/master/csl-citation.json"}</w:instrText>
      </w:r>
      <w:r w:rsidR="006062A5">
        <w:rPr>
          <w:sz w:val="24"/>
          <w:szCs w:val="24"/>
        </w:rPr>
        <w:fldChar w:fldCharType="separate"/>
      </w:r>
      <w:r w:rsidR="005453B1" w:rsidRPr="005453B1">
        <w:rPr>
          <w:noProof/>
          <w:sz w:val="24"/>
          <w:szCs w:val="24"/>
        </w:rPr>
        <w:t>(Campbell et al., 2015; Naci, Sinai, &amp; Owen, 2017; Regev et al., 2018)</w:t>
      </w:r>
      <w:r w:rsidR="006062A5">
        <w:rPr>
          <w:sz w:val="24"/>
          <w:szCs w:val="24"/>
        </w:rPr>
        <w:fldChar w:fldCharType="end"/>
      </w:r>
      <w:r w:rsidR="006062A5">
        <w:rPr>
          <w:sz w:val="24"/>
          <w:szCs w:val="24"/>
        </w:rPr>
        <w:t xml:space="preserve">. </w:t>
      </w:r>
      <w:r w:rsidR="0045744B">
        <w:rPr>
          <w:sz w:val="24"/>
          <w:szCs w:val="24"/>
        </w:rPr>
        <w:t>However, i</w:t>
      </w:r>
      <w:r w:rsidR="00496AC8">
        <w:rPr>
          <w:sz w:val="24"/>
          <w:szCs w:val="24"/>
        </w:rPr>
        <w:t xml:space="preserve">nter-subject synchrony </w:t>
      </w:r>
      <w:r w:rsidR="008F2EB7">
        <w:rPr>
          <w:sz w:val="24"/>
          <w:szCs w:val="24"/>
        </w:rPr>
        <w:t>was</w:t>
      </w:r>
      <w:r w:rsidR="00496AC8">
        <w:rPr>
          <w:sz w:val="24"/>
          <w:szCs w:val="24"/>
        </w:rPr>
        <w:t xml:space="preserve"> also found </w:t>
      </w:r>
      <w:r w:rsidR="0045744B">
        <w:rPr>
          <w:sz w:val="24"/>
          <w:szCs w:val="24"/>
        </w:rPr>
        <w:t>between</w:t>
      </w:r>
      <w:r w:rsidR="00496AC8">
        <w:rPr>
          <w:sz w:val="24"/>
          <w:szCs w:val="24"/>
        </w:rPr>
        <w:t xml:space="preserve"> participants li</w:t>
      </w:r>
      <w:r w:rsidR="00EA2256">
        <w:rPr>
          <w:sz w:val="24"/>
          <w:szCs w:val="24"/>
        </w:rPr>
        <w:t>stening to classical orchestral music</w:t>
      </w:r>
      <w:r w:rsidR="006062A5">
        <w:rPr>
          <w:sz w:val="24"/>
          <w:szCs w:val="24"/>
        </w:rPr>
        <w:t xml:space="preserve"> </w:t>
      </w:r>
      <w:r w:rsidR="006062A5">
        <w:rPr>
          <w:sz w:val="24"/>
          <w:szCs w:val="24"/>
        </w:rPr>
        <w:fldChar w:fldCharType="begin" w:fldLock="1"/>
      </w:r>
      <w:r w:rsidR="005453B1">
        <w:rPr>
          <w:sz w:val="24"/>
          <w:szCs w:val="24"/>
        </w:rPr>
        <w:instrText>ADDIN CSL_CITATION {"citationItems":[{"id":"ITEM-1","itemData":{"DOI":"10.1111/ejn.12173","ISSN":"0953816X","author":[{"dropping-particle":"","family":"Abrams","given":"Daniel A","non-dropping-particle":"","parse-names":false,"suffix":""},{"dropping-particle":"","family":"Ryali","given":"Srikanth","non-dropping-particle":"","parse-names":false,"suffix":""},{"dropping-particle":"","family":"Chen","given":"Tianwen","non-dropping-particle":"","parse-names":false,"suffix":""},{"dropping-particle":"","family":"Chordia","given":"Parag","non-dropping-particle":"","parse-names":false,"suffix":""},{"dropping-particle":"","family":"Khouzam","given":"Amirah","non-dropping-particle":"","parse-names":false,"suffix":""},{"dropping-particle":"","family":"Levitin","given":"Daniel J","non-dropping-particle":"","parse-names":false,"suffix":""},{"dropping-particle":"","family":"Menon","given":"Vinod","non-dropping-particle":"","parse-names":false,"suffix":""}],"container-title":"European Journal of Neuroscience","id":"ITEM-1","issue":"9","issued":{"date-parts":[["2013","5"]]},"page":"1458-1469","title":"Inter-subject synchronization of brain responses during natural music listening","type":"article-journal","volume":"37"},"uris":["http://www.mendeley.com/documents/?uuid=534906a5-30f1-4a40-bc69-f5dbfc80ec1c"]}],"mendeley":{"formattedCitation":"(Abrams et al., 2013)","plainTextFormattedCitation":"(Abrams et al., 2013)","previouslyFormattedCitation":"(Abrams et al., 2013)"},"properties":{"noteIndex":0},"schema":"https://github.com/citation-style-language/schema/raw/master/csl-citation.json"}</w:instrText>
      </w:r>
      <w:r w:rsidR="006062A5">
        <w:rPr>
          <w:sz w:val="24"/>
          <w:szCs w:val="24"/>
        </w:rPr>
        <w:fldChar w:fldCharType="separate"/>
      </w:r>
      <w:r w:rsidR="006062A5" w:rsidRPr="006062A5">
        <w:rPr>
          <w:noProof/>
          <w:sz w:val="24"/>
          <w:szCs w:val="24"/>
        </w:rPr>
        <w:t>(Abrams et al., 2013)</w:t>
      </w:r>
      <w:r w:rsidR="006062A5">
        <w:rPr>
          <w:sz w:val="24"/>
          <w:szCs w:val="24"/>
        </w:rPr>
        <w:fldChar w:fldCharType="end"/>
      </w:r>
      <w:r w:rsidR="00D6595D">
        <w:rPr>
          <w:sz w:val="24"/>
          <w:szCs w:val="24"/>
        </w:rPr>
        <w:t xml:space="preserve">. </w:t>
      </w:r>
      <w:r w:rsidR="008F2EB7">
        <w:rPr>
          <w:sz w:val="24"/>
          <w:szCs w:val="24"/>
        </w:rPr>
        <w:t>The music</w:t>
      </w:r>
      <w:r w:rsidR="006062A5">
        <w:rPr>
          <w:sz w:val="24"/>
          <w:szCs w:val="24"/>
        </w:rPr>
        <w:t>, despite not having a cohesive narrative,</w:t>
      </w:r>
      <w:r w:rsidR="008F2EB7">
        <w:rPr>
          <w:sz w:val="24"/>
          <w:szCs w:val="24"/>
        </w:rPr>
        <w:t xml:space="preserve"> produced </w:t>
      </w:r>
      <w:r w:rsidR="0045744B">
        <w:rPr>
          <w:sz w:val="24"/>
          <w:szCs w:val="24"/>
        </w:rPr>
        <w:t>consistent and reliable patterns of activity in both cortical and subcortical brain areas previously shown to be involved in music processing</w:t>
      </w:r>
      <w:r w:rsidR="006062A5">
        <w:rPr>
          <w:sz w:val="24"/>
          <w:szCs w:val="24"/>
        </w:rPr>
        <w:t xml:space="preserve">. </w:t>
      </w:r>
      <w:r w:rsidR="00ED4BAA">
        <w:rPr>
          <w:sz w:val="24"/>
          <w:szCs w:val="24"/>
        </w:rPr>
        <w:t>Together, these results indicate that although the presence of language and a narrative induce strong ISS,</w:t>
      </w:r>
      <w:r w:rsidR="00A60911">
        <w:rPr>
          <w:sz w:val="24"/>
          <w:szCs w:val="24"/>
        </w:rPr>
        <w:t xml:space="preserve"> synchrony </w:t>
      </w:r>
      <w:r w:rsidR="00ED4BAA">
        <w:rPr>
          <w:sz w:val="24"/>
          <w:szCs w:val="24"/>
        </w:rPr>
        <w:t>may rely on other factors as well.</w:t>
      </w:r>
      <w:r w:rsidR="005453B1">
        <w:rPr>
          <w:sz w:val="24"/>
          <w:szCs w:val="24"/>
        </w:rPr>
        <w:t xml:space="preserve"> However, the factors that are necessary to produce consistent and reliable synchrony are yet unknown</w:t>
      </w:r>
      <w:r w:rsidR="005727F0">
        <w:rPr>
          <w:sz w:val="24"/>
          <w:szCs w:val="24"/>
        </w:rPr>
        <w:t xml:space="preserve"> and the characterization of how ISS changes as a result of the presence of language has not been done.</w:t>
      </w:r>
      <w:r w:rsidR="005453B1">
        <w:rPr>
          <w:sz w:val="24"/>
          <w:szCs w:val="24"/>
        </w:rPr>
        <w:t xml:space="preserve"> In this experiment we chose to tightly control our stimuli to better understand how various stimulus characteristics have an effect on synchrony. </w:t>
      </w:r>
    </w:p>
    <w:p w14:paraId="232B4454" w14:textId="44ABAF13" w:rsidR="005A0659" w:rsidRDefault="005453B1" w:rsidP="000C2887">
      <w:pPr>
        <w:spacing w:line="360" w:lineRule="auto"/>
        <w:ind w:firstLine="567"/>
        <w:rPr>
          <w:sz w:val="24"/>
          <w:szCs w:val="24"/>
        </w:rPr>
      </w:pPr>
      <w:r>
        <w:rPr>
          <w:sz w:val="24"/>
          <w:szCs w:val="24"/>
        </w:rPr>
        <w:lastRenderedPageBreak/>
        <w:t>M</w:t>
      </w:r>
      <w:r w:rsidR="00D829AE">
        <w:rPr>
          <w:sz w:val="24"/>
          <w:szCs w:val="24"/>
        </w:rPr>
        <w:t>usic is</w:t>
      </w:r>
      <w:r w:rsidR="00C51182">
        <w:rPr>
          <w:sz w:val="24"/>
          <w:szCs w:val="24"/>
        </w:rPr>
        <w:t xml:space="preserve"> a</w:t>
      </w:r>
      <w:r w:rsidR="00D829AE">
        <w:rPr>
          <w:sz w:val="24"/>
          <w:szCs w:val="24"/>
        </w:rPr>
        <w:t xml:space="preserve"> </w:t>
      </w:r>
      <w:r w:rsidR="00C51182">
        <w:rPr>
          <w:sz w:val="24"/>
          <w:szCs w:val="24"/>
        </w:rPr>
        <w:t>unique stimulus category</w:t>
      </w:r>
      <w:r w:rsidR="00D829AE">
        <w:rPr>
          <w:sz w:val="24"/>
          <w:szCs w:val="24"/>
        </w:rPr>
        <w:t xml:space="preserve"> because it</w:t>
      </w:r>
      <w:r w:rsidR="00705359">
        <w:rPr>
          <w:sz w:val="24"/>
          <w:szCs w:val="24"/>
        </w:rPr>
        <w:t xml:space="preserve"> </w:t>
      </w:r>
      <w:r w:rsidR="00551780">
        <w:rPr>
          <w:sz w:val="24"/>
          <w:szCs w:val="24"/>
        </w:rPr>
        <w:t xml:space="preserve">reliably </w:t>
      </w:r>
      <w:r w:rsidR="00705359">
        <w:rPr>
          <w:sz w:val="24"/>
          <w:szCs w:val="24"/>
        </w:rPr>
        <w:t xml:space="preserve">creates </w:t>
      </w:r>
      <w:r w:rsidR="00705359" w:rsidRPr="00551780">
        <w:rPr>
          <w:i/>
          <w:sz w:val="24"/>
          <w:szCs w:val="24"/>
        </w:rPr>
        <w:t>behavioural</w:t>
      </w:r>
      <w:r w:rsidR="00C51182">
        <w:rPr>
          <w:sz w:val="24"/>
          <w:szCs w:val="24"/>
        </w:rPr>
        <w:t xml:space="preserve"> synchronicity; </w:t>
      </w:r>
      <w:r w:rsidR="00705359">
        <w:rPr>
          <w:sz w:val="24"/>
          <w:szCs w:val="24"/>
        </w:rPr>
        <w:t xml:space="preserve">people synchronize their movements as they clap or dance to music (). It is possible that the mechanisms involved in allowing people </w:t>
      </w:r>
      <w:r w:rsidR="00E615D1">
        <w:rPr>
          <w:sz w:val="24"/>
          <w:szCs w:val="24"/>
        </w:rPr>
        <w:t xml:space="preserve">to </w:t>
      </w:r>
      <w:r w:rsidR="00C51182">
        <w:rPr>
          <w:sz w:val="24"/>
          <w:szCs w:val="24"/>
        </w:rPr>
        <w:t>synchronize</w:t>
      </w:r>
      <w:r w:rsidR="00E615D1">
        <w:rPr>
          <w:sz w:val="24"/>
          <w:szCs w:val="24"/>
        </w:rPr>
        <w:t xml:space="preserve"> to</w:t>
      </w:r>
      <w:r w:rsidR="00705359">
        <w:rPr>
          <w:sz w:val="24"/>
          <w:szCs w:val="24"/>
        </w:rPr>
        <w:t xml:space="preserve"> music </w:t>
      </w:r>
      <w:r w:rsidR="00E615D1">
        <w:rPr>
          <w:sz w:val="24"/>
          <w:szCs w:val="24"/>
        </w:rPr>
        <w:t>are also involved in the</w:t>
      </w:r>
      <w:r w:rsidR="00705359">
        <w:rPr>
          <w:sz w:val="24"/>
          <w:szCs w:val="24"/>
        </w:rPr>
        <w:t xml:space="preserve"> </w:t>
      </w:r>
      <w:r w:rsidR="00C51182">
        <w:rPr>
          <w:sz w:val="24"/>
          <w:szCs w:val="24"/>
        </w:rPr>
        <w:t>ISS recorded</w:t>
      </w:r>
      <w:r w:rsidR="00705359">
        <w:rPr>
          <w:sz w:val="24"/>
          <w:szCs w:val="24"/>
        </w:rPr>
        <w:t xml:space="preserve"> usin</w:t>
      </w:r>
      <w:r w:rsidR="00551780">
        <w:rPr>
          <w:sz w:val="24"/>
          <w:szCs w:val="24"/>
        </w:rPr>
        <w:t xml:space="preserve">g fMRI. </w:t>
      </w:r>
      <w:r w:rsidR="00705359">
        <w:rPr>
          <w:sz w:val="24"/>
          <w:szCs w:val="24"/>
        </w:rPr>
        <w:t xml:space="preserve">Music is also </w:t>
      </w:r>
      <w:r w:rsidR="00D829AE">
        <w:rPr>
          <w:sz w:val="24"/>
          <w:szCs w:val="24"/>
        </w:rPr>
        <w:t>different than other stimuli</w:t>
      </w:r>
      <w:r w:rsidR="00705359">
        <w:rPr>
          <w:sz w:val="24"/>
          <w:szCs w:val="24"/>
        </w:rPr>
        <w:t xml:space="preserve"> in the way that it is remembered over long periods of time. There is evidence to show that older adults with neurodegenerative disorders remember music from their youth even after other semantic memories have been forgotten (). Traditionally, the method for </w:t>
      </w:r>
      <w:r w:rsidR="00C45BFD">
        <w:rPr>
          <w:sz w:val="24"/>
          <w:szCs w:val="24"/>
        </w:rPr>
        <w:t>investigating</w:t>
      </w:r>
      <w:r w:rsidR="00705359">
        <w:rPr>
          <w:sz w:val="24"/>
          <w:szCs w:val="24"/>
        </w:rPr>
        <w:t xml:space="preserve"> memory for music </w:t>
      </w:r>
      <w:r w:rsidR="0053529F">
        <w:rPr>
          <w:sz w:val="24"/>
          <w:szCs w:val="24"/>
        </w:rPr>
        <w:t xml:space="preserve">using neuroimaging </w:t>
      </w:r>
      <w:r w:rsidR="00705359">
        <w:rPr>
          <w:sz w:val="24"/>
          <w:szCs w:val="24"/>
        </w:rPr>
        <w:t xml:space="preserve">has involved a comparison between </w:t>
      </w:r>
      <w:r w:rsidR="00C45BFD">
        <w:rPr>
          <w:sz w:val="24"/>
          <w:szCs w:val="24"/>
        </w:rPr>
        <w:t xml:space="preserve">the blood-oxygen level dependent (BOLD) </w:t>
      </w:r>
      <w:r w:rsidR="00705359">
        <w:rPr>
          <w:sz w:val="24"/>
          <w:szCs w:val="24"/>
        </w:rPr>
        <w:t xml:space="preserve">activation </w:t>
      </w:r>
      <w:r w:rsidR="00B600D0">
        <w:rPr>
          <w:sz w:val="24"/>
          <w:szCs w:val="24"/>
        </w:rPr>
        <w:t>during</w:t>
      </w:r>
      <w:r w:rsidR="00705359">
        <w:rPr>
          <w:sz w:val="24"/>
          <w:szCs w:val="24"/>
        </w:rPr>
        <w:t xml:space="preserve"> unknown and </w:t>
      </w:r>
      <w:r w:rsidR="00B600D0">
        <w:rPr>
          <w:sz w:val="24"/>
          <w:szCs w:val="24"/>
        </w:rPr>
        <w:t>well</w:t>
      </w:r>
      <w:r w:rsidR="00C45BFD">
        <w:rPr>
          <w:sz w:val="24"/>
          <w:szCs w:val="24"/>
        </w:rPr>
        <w:t>-</w:t>
      </w:r>
      <w:r w:rsidR="00705359">
        <w:rPr>
          <w:sz w:val="24"/>
          <w:szCs w:val="24"/>
        </w:rPr>
        <w:t>known music</w:t>
      </w:r>
      <w:r w:rsidR="00D829AE">
        <w:rPr>
          <w:sz w:val="24"/>
          <w:szCs w:val="24"/>
        </w:rPr>
        <w:t xml:space="preserve"> ()</w:t>
      </w:r>
      <w:r w:rsidR="00C45BFD">
        <w:rPr>
          <w:sz w:val="24"/>
          <w:szCs w:val="24"/>
        </w:rPr>
        <w:t>. One downside to this approach</w:t>
      </w:r>
      <w:r w:rsidR="00705359">
        <w:rPr>
          <w:sz w:val="24"/>
          <w:szCs w:val="24"/>
        </w:rPr>
        <w:t xml:space="preserve"> is </w:t>
      </w:r>
      <w:r w:rsidR="00C45BFD">
        <w:rPr>
          <w:sz w:val="24"/>
          <w:szCs w:val="24"/>
        </w:rPr>
        <w:t xml:space="preserve">that it </w:t>
      </w:r>
      <w:r w:rsidR="00705359">
        <w:rPr>
          <w:sz w:val="24"/>
          <w:szCs w:val="24"/>
        </w:rPr>
        <w:t xml:space="preserve">collapses over the time dimension </w:t>
      </w:r>
      <w:r w:rsidR="000C2887">
        <w:rPr>
          <w:sz w:val="24"/>
          <w:szCs w:val="24"/>
        </w:rPr>
        <w:t>over which music unfolds</w:t>
      </w:r>
      <w:r w:rsidR="00705359">
        <w:rPr>
          <w:sz w:val="24"/>
          <w:szCs w:val="24"/>
        </w:rPr>
        <w:t xml:space="preserve">. </w:t>
      </w:r>
      <w:r w:rsidR="000C2887">
        <w:rPr>
          <w:sz w:val="24"/>
          <w:szCs w:val="24"/>
        </w:rPr>
        <w:t xml:space="preserve">Using ISS takes into account the fluctuations in brain activity over time. </w:t>
      </w:r>
      <w:r w:rsidR="0053529F">
        <w:rPr>
          <w:sz w:val="24"/>
          <w:szCs w:val="24"/>
        </w:rPr>
        <w:t xml:space="preserve">It is possible that using an approach such as </w:t>
      </w:r>
      <w:r w:rsidR="000C2887">
        <w:rPr>
          <w:sz w:val="24"/>
          <w:szCs w:val="24"/>
        </w:rPr>
        <w:t>ISS</w:t>
      </w:r>
      <w:r w:rsidR="0053529F">
        <w:rPr>
          <w:sz w:val="24"/>
          <w:szCs w:val="24"/>
        </w:rPr>
        <w:t xml:space="preserve"> </w:t>
      </w:r>
      <w:r w:rsidR="00D829AE">
        <w:rPr>
          <w:sz w:val="24"/>
          <w:szCs w:val="24"/>
        </w:rPr>
        <w:t xml:space="preserve">may be a more sensitive method </w:t>
      </w:r>
      <w:r w:rsidR="0053529F">
        <w:rPr>
          <w:sz w:val="24"/>
          <w:szCs w:val="24"/>
        </w:rPr>
        <w:t xml:space="preserve">for </w:t>
      </w:r>
      <w:r w:rsidR="00D829AE">
        <w:rPr>
          <w:sz w:val="24"/>
          <w:szCs w:val="24"/>
        </w:rPr>
        <w:t>understand</w:t>
      </w:r>
      <w:r w:rsidR="0053529F">
        <w:rPr>
          <w:sz w:val="24"/>
          <w:szCs w:val="24"/>
        </w:rPr>
        <w:t>ing</w:t>
      </w:r>
      <w:r w:rsidR="000C2887">
        <w:rPr>
          <w:sz w:val="24"/>
          <w:szCs w:val="24"/>
        </w:rPr>
        <w:t xml:space="preserve"> the unique processing of music</w:t>
      </w:r>
      <w:r w:rsidR="00B911F4">
        <w:rPr>
          <w:sz w:val="24"/>
          <w:szCs w:val="24"/>
        </w:rPr>
        <w:t xml:space="preserve"> and that will also allow us to understand the mechanisms behind ISS</w:t>
      </w:r>
      <w:r w:rsidR="000C2887">
        <w:rPr>
          <w:sz w:val="24"/>
          <w:szCs w:val="24"/>
        </w:rPr>
        <w:t>.</w:t>
      </w:r>
      <w:r w:rsidR="005A0659">
        <w:rPr>
          <w:sz w:val="24"/>
          <w:szCs w:val="24"/>
        </w:rPr>
        <w:t xml:space="preserve"> </w:t>
      </w:r>
    </w:p>
    <w:p w14:paraId="1E29640C" w14:textId="5A24D724" w:rsidR="00C5594D" w:rsidRDefault="005727F0" w:rsidP="00E2099D">
      <w:pPr>
        <w:spacing w:line="360" w:lineRule="auto"/>
        <w:ind w:firstLine="567"/>
        <w:rPr>
          <w:sz w:val="24"/>
          <w:szCs w:val="24"/>
        </w:rPr>
      </w:pPr>
      <w:r>
        <w:rPr>
          <w:sz w:val="24"/>
          <w:szCs w:val="24"/>
        </w:rPr>
        <w:t>Although p</w:t>
      </w:r>
      <w:r w:rsidR="005A0659">
        <w:rPr>
          <w:sz w:val="24"/>
          <w:szCs w:val="24"/>
        </w:rPr>
        <w:t>revious</w:t>
      </w:r>
      <w:r>
        <w:rPr>
          <w:sz w:val="24"/>
          <w:szCs w:val="24"/>
        </w:rPr>
        <w:t xml:space="preserve"> ISS investigations have not </w:t>
      </w:r>
      <w:r w:rsidR="006802D1">
        <w:rPr>
          <w:sz w:val="24"/>
          <w:szCs w:val="24"/>
        </w:rPr>
        <w:t>investigated</w:t>
      </w:r>
      <w:r>
        <w:rPr>
          <w:sz w:val="24"/>
          <w:szCs w:val="24"/>
        </w:rPr>
        <w:t xml:space="preserve"> memory or familiarity with stimuli specifically, some</w:t>
      </w:r>
      <w:r w:rsidR="005A0659">
        <w:rPr>
          <w:sz w:val="24"/>
          <w:szCs w:val="24"/>
        </w:rPr>
        <w:t xml:space="preserve"> EEG and fMRI work has shown global ISS decreases with stimulus repetition (). This result may be explained by the brain’s adaptation response to the same stimulus over ti</w:t>
      </w:r>
      <w:r w:rsidR="00E2099D">
        <w:rPr>
          <w:sz w:val="24"/>
          <w:szCs w:val="24"/>
        </w:rPr>
        <w:t>me. However, all of the stimuli</w:t>
      </w:r>
      <w:r w:rsidR="005A0659">
        <w:rPr>
          <w:sz w:val="24"/>
          <w:szCs w:val="24"/>
        </w:rPr>
        <w:t xml:space="preserve"> have contained language (either words </w:t>
      </w:r>
      <w:proofErr w:type="gramStart"/>
      <w:r w:rsidR="005A0659">
        <w:rPr>
          <w:sz w:val="24"/>
          <w:szCs w:val="24"/>
        </w:rPr>
        <w:t>themselves(</w:t>
      </w:r>
      <w:proofErr w:type="gramEnd"/>
      <w:r w:rsidR="005A0659">
        <w:rPr>
          <w:sz w:val="24"/>
          <w:szCs w:val="24"/>
        </w:rPr>
        <w:t>), or movies()).</w:t>
      </w:r>
      <w:r>
        <w:rPr>
          <w:sz w:val="24"/>
          <w:szCs w:val="24"/>
        </w:rPr>
        <w:t xml:space="preserve"> </w:t>
      </w:r>
      <w:r w:rsidR="00A60911">
        <w:rPr>
          <w:sz w:val="24"/>
          <w:szCs w:val="24"/>
        </w:rPr>
        <w:t>N</w:t>
      </w:r>
      <w:r w:rsidR="00D829AE">
        <w:rPr>
          <w:sz w:val="24"/>
          <w:szCs w:val="24"/>
        </w:rPr>
        <w:t>o studies to dat</w:t>
      </w:r>
      <w:r w:rsidR="00A60911">
        <w:rPr>
          <w:sz w:val="24"/>
          <w:szCs w:val="24"/>
        </w:rPr>
        <w:t>e have explored how inter-subject synchrony varies as a funct</w:t>
      </w:r>
      <w:r w:rsidR="00E2099D">
        <w:rPr>
          <w:sz w:val="24"/>
          <w:szCs w:val="24"/>
        </w:rPr>
        <w:t xml:space="preserve">ion of the </w:t>
      </w:r>
      <w:r>
        <w:rPr>
          <w:sz w:val="24"/>
          <w:szCs w:val="24"/>
        </w:rPr>
        <w:t>memory</w:t>
      </w:r>
      <w:r w:rsidR="00B911F4">
        <w:rPr>
          <w:sz w:val="24"/>
          <w:szCs w:val="24"/>
        </w:rPr>
        <w:t xml:space="preserve"> for the stimuli and the</w:t>
      </w:r>
      <w:r>
        <w:rPr>
          <w:sz w:val="24"/>
          <w:szCs w:val="24"/>
        </w:rPr>
        <w:t xml:space="preserve"> </w:t>
      </w:r>
      <w:r w:rsidR="00E2099D">
        <w:rPr>
          <w:sz w:val="24"/>
          <w:szCs w:val="24"/>
        </w:rPr>
        <w:t>presence of language</w:t>
      </w:r>
      <w:r w:rsidR="00B911F4">
        <w:rPr>
          <w:sz w:val="24"/>
          <w:szCs w:val="24"/>
        </w:rPr>
        <w:t xml:space="preserve"> or</w:t>
      </w:r>
      <w:r w:rsidR="00E2099D">
        <w:rPr>
          <w:sz w:val="24"/>
          <w:szCs w:val="24"/>
        </w:rPr>
        <w:t xml:space="preserve"> </w:t>
      </w:r>
      <w:r w:rsidR="00A60911">
        <w:rPr>
          <w:sz w:val="24"/>
          <w:szCs w:val="24"/>
        </w:rPr>
        <w:t>music.</w:t>
      </w:r>
      <w:r w:rsidR="00705359">
        <w:rPr>
          <w:sz w:val="24"/>
          <w:szCs w:val="24"/>
        </w:rPr>
        <w:t xml:space="preserve"> </w:t>
      </w:r>
      <w:r w:rsidR="00B911F4">
        <w:rPr>
          <w:sz w:val="24"/>
          <w:szCs w:val="24"/>
        </w:rPr>
        <w:t>Spoken words and music have both been shown to induce strong ISS, but in this experiment w</w:t>
      </w:r>
      <w:r w:rsidR="00C5594D">
        <w:rPr>
          <w:sz w:val="24"/>
          <w:szCs w:val="24"/>
        </w:rPr>
        <w:t xml:space="preserve">e are interested in understanding </w:t>
      </w:r>
      <w:r w:rsidR="00B911F4">
        <w:rPr>
          <w:sz w:val="24"/>
          <w:szCs w:val="24"/>
        </w:rPr>
        <w:t>how the combination of words and music change the</w:t>
      </w:r>
      <w:r w:rsidR="00C5594D">
        <w:rPr>
          <w:sz w:val="24"/>
          <w:szCs w:val="24"/>
        </w:rPr>
        <w:t xml:space="preserve"> quality of the ISS and whether the pattern of these changes is modified as a function of familiarity with the stimuli. To control for differences in auditory characteristics between the familiar and the unfamiliar stimuli, we employed a strict training paradigm to induce familiarity in participants who listened to initially novel stimuli that </w:t>
      </w:r>
      <w:r w:rsidR="00B911F4">
        <w:rPr>
          <w:sz w:val="24"/>
          <w:szCs w:val="24"/>
        </w:rPr>
        <w:t>included</w:t>
      </w:r>
      <w:r w:rsidR="00C5594D">
        <w:rPr>
          <w:sz w:val="24"/>
          <w:szCs w:val="24"/>
        </w:rPr>
        <w:t xml:space="preserve"> all possible combinations of language and music.</w:t>
      </w:r>
    </w:p>
    <w:p w14:paraId="3E3316D7" w14:textId="7FC24EBF" w:rsidR="00F75649" w:rsidRPr="00C5594D" w:rsidRDefault="00F75649" w:rsidP="00C5594D">
      <w:pPr>
        <w:spacing w:line="360" w:lineRule="auto"/>
        <w:jc w:val="center"/>
        <w:rPr>
          <w:sz w:val="24"/>
          <w:szCs w:val="24"/>
        </w:rPr>
      </w:pPr>
      <w:r w:rsidRPr="00F75649">
        <w:rPr>
          <w:b/>
          <w:sz w:val="24"/>
          <w:szCs w:val="24"/>
        </w:rPr>
        <w:t>Methods</w:t>
      </w:r>
    </w:p>
    <w:p w14:paraId="49001710" w14:textId="77777777" w:rsidR="00F75649" w:rsidRDefault="00F75649" w:rsidP="000D6417">
      <w:pPr>
        <w:spacing w:line="360" w:lineRule="auto"/>
        <w:rPr>
          <w:b/>
          <w:sz w:val="24"/>
          <w:szCs w:val="24"/>
        </w:rPr>
      </w:pPr>
      <w:r>
        <w:rPr>
          <w:b/>
          <w:sz w:val="24"/>
          <w:szCs w:val="24"/>
        </w:rPr>
        <w:t>Participants</w:t>
      </w:r>
    </w:p>
    <w:p w14:paraId="23819C4D" w14:textId="77777777" w:rsidR="00F75649" w:rsidRPr="004032A0" w:rsidRDefault="00F75649" w:rsidP="000D6417">
      <w:pPr>
        <w:spacing w:line="360" w:lineRule="auto"/>
        <w:rPr>
          <w:i/>
          <w:sz w:val="24"/>
          <w:szCs w:val="24"/>
        </w:rPr>
      </w:pPr>
      <w:r>
        <w:rPr>
          <w:sz w:val="24"/>
          <w:szCs w:val="24"/>
        </w:rPr>
        <w:lastRenderedPageBreak/>
        <w:t xml:space="preserve">Twenty-six neurologically healthy participants (14 female) aged 18-39 (mean=24) were recruited via posters and word of mouth at The University of Western Ontario. </w:t>
      </w:r>
      <w:r w:rsidR="004032A0">
        <w:rPr>
          <w:i/>
          <w:sz w:val="24"/>
          <w:szCs w:val="24"/>
        </w:rPr>
        <w:t xml:space="preserve">Include relevant musical demographic information based on what goes into the analysis. </w:t>
      </w:r>
    </w:p>
    <w:p w14:paraId="3E56077F" w14:textId="77777777" w:rsidR="00F75649" w:rsidRDefault="00F75649" w:rsidP="000D6417">
      <w:pPr>
        <w:spacing w:line="360" w:lineRule="auto"/>
        <w:rPr>
          <w:b/>
          <w:sz w:val="24"/>
          <w:szCs w:val="24"/>
        </w:rPr>
      </w:pPr>
      <w:r w:rsidRPr="00F75649">
        <w:rPr>
          <w:b/>
          <w:sz w:val="24"/>
          <w:szCs w:val="24"/>
        </w:rPr>
        <w:t>Testing procedure</w:t>
      </w:r>
    </w:p>
    <w:p w14:paraId="056A5E98" w14:textId="76F21BB1" w:rsidR="006D1362" w:rsidRDefault="006D1362" w:rsidP="000D6417">
      <w:pPr>
        <w:spacing w:line="360" w:lineRule="auto"/>
        <w:rPr>
          <w:sz w:val="24"/>
          <w:szCs w:val="24"/>
        </w:rPr>
      </w:pPr>
      <w:r>
        <w:rPr>
          <w:sz w:val="24"/>
          <w:szCs w:val="24"/>
        </w:rPr>
        <w:t xml:space="preserve">Participants completed two functional MRI scans that were separated by a stimulus training period (14-29 days; mean = 19 days). During both scans, participants passively listened to the stimuli (described below). During the training period, participants listened to the stimuli via an online player (designed in-lab) that tracked the number of times each stimulus was played. To ensure participants were listening, the player presented a simple question about the stimulus (e.g. </w:t>
      </w:r>
      <w:r w:rsidR="004032A0">
        <w:rPr>
          <w:sz w:val="24"/>
          <w:szCs w:val="24"/>
        </w:rPr>
        <w:t>“</w:t>
      </w:r>
      <w:r w:rsidRPr="006D1362">
        <w:rPr>
          <w:i/>
          <w:sz w:val="24"/>
          <w:szCs w:val="24"/>
        </w:rPr>
        <w:t>were there lyrics present in the previous song?</w:t>
      </w:r>
      <w:r w:rsidR="004032A0">
        <w:rPr>
          <w:i/>
          <w:sz w:val="24"/>
          <w:szCs w:val="24"/>
        </w:rPr>
        <w:t>”</w:t>
      </w:r>
      <w:r w:rsidR="004032A0">
        <w:rPr>
          <w:sz w:val="24"/>
          <w:szCs w:val="24"/>
        </w:rPr>
        <w:t>) at rand</w:t>
      </w:r>
      <w:r w:rsidR="00F56379">
        <w:rPr>
          <w:sz w:val="24"/>
          <w:szCs w:val="24"/>
        </w:rPr>
        <w:t xml:space="preserve">om </w:t>
      </w:r>
      <w:r>
        <w:rPr>
          <w:sz w:val="24"/>
          <w:szCs w:val="24"/>
        </w:rPr>
        <w:t xml:space="preserve">between stimuli. Participants also came to the lab between </w:t>
      </w:r>
      <w:r w:rsidR="00F56379">
        <w:rPr>
          <w:sz w:val="24"/>
          <w:szCs w:val="24"/>
        </w:rPr>
        <w:t>for four sessions between scans</w:t>
      </w:r>
      <w:r>
        <w:rPr>
          <w:sz w:val="24"/>
          <w:szCs w:val="24"/>
        </w:rPr>
        <w:t xml:space="preserve">. In each of these sessions, participants listened to the stimuli in lab and completed a </w:t>
      </w:r>
      <w:r w:rsidR="00F56379">
        <w:rPr>
          <w:sz w:val="24"/>
          <w:szCs w:val="24"/>
        </w:rPr>
        <w:t>series</w:t>
      </w:r>
      <w:r>
        <w:rPr>
          <w:sz w:val="24"/>
          <w:szCs w:val="24"/>
        </w:rPr>
        <w:t xml:space="preserve"> of behavioural tasks (described below).</w:t>
      </w:r>
    </w:p>
    <w:p w14:paraId="5CBB9D52" w14:textId="77777777" w:rsidR="00CE5612" w:rsidRPr="00617EF2" w:rsidRDefault="006D1362" w:rsidP="00617EF2">
      <w:pPr>
        <w:spacing w:line="360" w:lineRule="auto"/>
        <w:ind w:firstLine="567"/>
        <w:rPr>
          <w:b/>
          <w:sz w:val="24"/>
          <w:szCs w:val="24"/>
        </w:rPr>
      </w:pPr>
      <w:r>
        <w:rPr>
          <w:b/>
          <w:sz w:val="24"/>
          <w:szCs w:val="24"/>
        </w:rPr>
        <w:t>Stimuli</w:t>
      </w:r>
      <w:r w:rsidR="00617EF2">
        <w:rPr>
          <w:b/>
          <w:sz w:val="24"/>
          <w:szCs w:val="24"/>
        </w:rPr>
        <w:t xml:space="preserve">. </w:t>
      </w:r>
      <w:r w:rsidR="00CE5612">
        <w:rPr>
          <w:sz w:val="24"/>
          <w:szCs w:val="24"/>
        </w:rPr>
        <w:t>Eight</w:t>
      </w:r>
      <w:r w:rsidR="008008DE">
        <w:rPr>
          <w:sz w:val="24"/>
          <w:szCs w:val="24"/>
        </w:rPr>
        <w:t xml:space="preserve"> different</w:t>
      </w:r>
      <w:r w:rsidR="00CE5612">
        <w:rPr>
          <w:sz w:val="24"/>
          <w:szCs w:val="24"/>
        </w:rPr>
        <w:t xml:space="preserve"> auditory stimuli were created from songs written </w:t>
      </w:r>
      <w:r w:rsidR="00820827">
        <w:rPr>
          <w:sz w:val="24"/>
          <w:szCs w:val="24"/>
        </w:rPr>
        <w:t xml:space="preserve">and recorded </w:t>
      </w:r>
      <w:r w:rsidR="00CE5612">
        <w:rPr>
          <w:sz w:val="24"/>
          <w:szCs w:val="24"/>
        </w:rPr>
        <w:t xml:space="preserve">by a lab member between </w:t>
      </w:r>
      <w:r w:rsidR="00CE5612" w:rsidRPr="00820827">
        <w:rPr>
          <w:i/>
          <w:sz w:val="24"/>
          <w:szCs w:val="24"/>
        </w:rPr>
        <w:t>year1-year2</w:t>
      </w:r>
      <w:r w:rsidR="00CE5612">
        <w:rPr>
          <w:sz w:val="24"/>
          <w:szCs w:val="24"/>
        </w:rPr>
        <w:t xml:space="preserve"> in Cambridge, UK. These songs were </w:t>
      </w:r>
      <w:r w:rsidR="00820827">
        <w:rPr>
          <w:sz w:val="24"/>
          <w:szCs w:val="24"/>
        </w:rPr>
        <w:t>chosen</w:t>
      </w:r>
      <w:r w:rsidR="00CE5612">
        <w:rPr>
          <w:sz w:val="24"/>
          <w:szCs w:val="24"/>
        </w:rPr>
        <w:t xml:space="preserve"> to </w:t>
      </w:r>
      <w:r w:rsidR="00820827">
        <w:rPr>
          <w:sz w:val="24"/>
          <w:szCs w:val="24"/>
        </w:rPr>
        <w:t>lower the likelihood of</w:t>
      </w:r>
      <w:r w:rsidR="00CE5612">
        <w:rPr>
          <w:sz w:val="24"/>
          <w:szCs w:val="24"/>
        </w:rPr>
        <w:t xml:space="preserve"> participants </w:t>
      </w:r>
      <w:r w:rsidR="00820827">
        <w:rPr>
          <w:sz w:val="24"/>
          <w:szCs w:val="24"/>
        </w:rPr>
        <w:t xml:space="preserve">being familiar with the stimuli. Two songs were kept whole (vocals &amp; instruments), two songs had the vocals removed leaving just the instruments, two songs had the instruments removed leaving a single a </w:t>
      </w:r>
      <w:proofErr w:type="spellStart"/>
      <w:r w:rsidR="00820827">
        <w:rPr>
          <w:sz w:val="24"/>
          <w:szCs w:val="24"/>
        </w:rPr>
        <w:t>capella</w:t>
      </w:r>
      <w:proofErr w:type="spellEnd"/>
      <w:r w:rsidR="00820827">
        <w:rPr>
          <w:sz w:val="24"/>
          <w:szCs w:val="24"/>
        </w:rPr>
        <w:t xml:space="preserve"> voice, and the lyrics of two songs were recorded in-lab as spoken word (no music). </w:t>
      </w:r>
      <w:r w:rsidR="004032A0">
        <w:rPr>
          <w:sz w:val="24"/>
          <w:szCs w:val="24"/>
        </w:rPr>
        <w:t xml:space="preserve">The voice in all stimuli was the same. </w:t>
      </w:r>
      <w:r w:rsidR="008008DE">
        <w:rPr>
          <w:sz w:val="24"/>
          <w:szCs w:val="24"/>
        </w:rPr>
        <w:t xml:space="preserve">All </w:t>
      </w:r>
      <w:r w:rsidR="004032A0">
        <w:rPr>
          <w:sz w:val="24"/>
          <w:szCs w:val="24"/>
        </w:rPr>
        <w:t>stimuli</w:t>
      </w:r>
      <w:r w:rsidR="008008DE">
        <w:rPr>
          <w:sz w:val="24"/>
          <w:szCs w:val="24"/>
        </w:rPr>
        <w:t xml:space="preserve"> were extended to 5 minutes long (using </w:t>
      </w:r>
      <w:r w:rsidR="008008DE" w:rsidRPr="008008DE">
        <w:rPr>
          <w:i/>
          <w:sz w:val="24"/>
          <w:szCs w:val="24"/>
        </w:rPr>
        <w:t>Audacity</w:t>
      </w:r>
      <w:r w:rsidR="008008DE">
        <w:rPr>
          <w:sz w:val="24"/>
          <w:szCs w:val="24"/>
        </w:rPr>
        <w:t xml:space="preserve">) by repeating a chorus or verse where needed. During the training period, participants listened to half of the </w:t>
      </w:r>
      <w:r w:rsidR="004032A0">
        <w:rPr>
          <w:sz w:val="24"/>
          <w:szCs w:val="24"/>
        </w:rPr>
        <w:t>stimuli</w:t>
      </w:r>
      <w:r w:rsidR="008008DE">
        <w:rPr>
          <w:sz w:val="24"/>
          <w:szCs w:val="24"/>
        </w:rPr>
        <w:t xml:space="preserve"> via the online player (4 songs, one of each type). The</w:t>
      </w:r>
      <w:r w:rsidR="004032A0">
        <w:rPr>
          <w:sz w:val="24"/>
          <w:szCs w:val="24"/>
        </w:rPr>
        <w:t xml:space="preserve"> training</w:t>
      </w:r>
      <w:r w:rsidR="008008DE">
        <w:rPr>
          <w:sz w:val="24"/>
          <w:szCs w:val="24"/>
        </w:rPr>
        <w:t xml:space="preserve"> sets of </w:t>
      </w:r>
      <w:r w:rsidR="004032A0">
        <w:rPr>
          <w:sz w:val="24"/>
          <w:szCs w:val="24"/>
        </w:rPr>
        <w:t xml:space="preserve">stimuli </w:t>
      </w:r>
      <w:r w:rsidR="008008DE">
        <w:rPr>
          <w:sz w:val="24"/>
          <w:szCs w:val="24"/>
        </w:rPr>
        <w:t>were counterbalanced across participants.</w:t>
      </w:r>
    </w:p>
    <w:p w14:paraId="248F4428" w14:textId="77777777" w:rsidR="008008DE" w:rsidRPr="00617EF2" w:rsidRDefault="00617EF2" w:rsidP="00617EF2">
      <w:pPr>
        <w:spacing w:line="360" w:lineRule="auto"/>
        <w:ind w:firstLine="567"/>
        <w:rPr>
          <w:b/>
          <w:sz w:val="24"/>
          <w:szCs w:val="24"/>
        </w:rPr>
      </w:pPr>
      <w:r>
        <w:rPr>
          <w:b/>
          <w:sz w:val="24"/>
          <w:szCs w:val="24"/>
        </w:rPr>
        <w:t>Behavioural t</w:t>
      </w:r>
      <w:r w:rsidR="006D1362" w:rsidRPr="006D1362">
        <w:rPr>
          <w:b/>
          <w:sz w:val="24"/>
          <w:szCs w:val="24"/>
        </w:rPr>
        <w:t>asks</w:t>
      </w:r>
      <w:r>
        <w:rPr>
          <w:b/>
          <w:sz w:val="24"/>
          <w:szCs w:val="24"/>
        </w:rPr>
        <w:t xml:space="preserve">. </w:t>
      </w:r>
      <w:r w:rsidR="008008DE">
        <w:rPr>
          <w:sz w:val="24"/>
          <w:szCs w:val="24"/>
        </w:rPr>
        <w:t xml:space="preserve">During the training period, participants came into the lab four times. Each session lasted less than one hour. Participants listened to the stimuli in-lab and completed 2-3 of the following behavioural tasks in each session. </w:t>
      </w:r>
    </w:p>
    <w:p w14:paraId="30FC911D" w14:textId="77777777" w:rsidR="00F56379" w:rsidRDefault="008008DE" w:rsidP="008008DE">
      <w:pPr>
        <w:spacing w:line="360" w:lineRule="auto"/>
        <w:ind w:firstLine="1134"/>
        <w:rPr>
          <w:sz w:val="24"/>
          <w:szCs w:val="24"/>
        </w:rPr>
      </w:pPr>
      <w:r w:rsidRPr="008008DE">
        <w:rPr>
          <w:sz w:val="24"/>
          <w:szCs w:val="24"/>
        </w:rPr>
        <w:t>T</w:t>
      </w:r>
      <w:r w:rsidR="001027BB">
        <w:rPr>
          <w:sz w:val="24"/>
          <w:szCs w:val="24"/>
        </w:rPr>
        <w:t xml:space="preserve">o test whether participants were learning their training </w:t>
      </w:r>
      <w:r w:rsidR="00F56379">
        <w:rPr>
          <w:sz w:val="24"/>
          <w:szCs w:val="24"/>
        </w:rPr>
        <w:t>stimuli</w:t>
      </w:r>
      <w:r w:rsidR="001027BB">
        <w:rPr>
          <w:sz w:val="24"/>
          <w:szCs w:val="24"/>
        </w:rPr>
        <w:t xml:space="preserve">, two tests designed in-lab were used. The first, was a </w:t>
      </w:r>
      <w:r w:rsidRPr="008008DE">
        <w:rPr>
          <w:sz w:val="24"/>
          <w:szCs w:val="24"/>
        </w:rPr>
        <w:t xml:space="preserve">lyric modification task </w:t>
      </w:r>
      <w:r w:rsidR="001027BB">
        <w:rPr>
          <w:sz w:val="24"/>
          <w:szCs w:val="24"/>
        </w:rPr>
        <w:t xml:space="preserve">that </w:t>
      </w:r>
      <w:r w:rsidRPr="008008DE">
        <w:rPr>
          <w:sz w:val="24"/>
          <w:szCs w:val="24"/>
        </w:rPr>
        <w:t xml:space="preserve">presented participants with pairs </w:t>
      </w:r>
      <w:r w:rsidRPr="008008DE">
        <w:rPr>
          <w:sz w:val="24"/>
          <w:szCs w:val="24"/>
        </w:rPr>
        <w:lastRenderedPageBreak/>
        <w:t>of lyrics. Each pair consisted of a lyric ta</w:t>
      </w:r>
      <w:r>
        <w:rPr>
          <w:sz w:val="24"/>
          <w:szCs w:val="24"/>
        </w:rPr>
        <w:t xml:space="preserve">ken directly from their </w:t>
      </w:r>
      <w:r w:rsidR="00F56379">
        <w:rPr>
          <w:sz w:val="24"/>
          <w:szCs w:val="24"/>
        </w:rPr>
        <w:t>stimuli</w:t>
      </w:r>
      <w:r>
        <w:rPr>
          <w:sz w:val="24"/>
          <w:szCs w:val="24"/>
        </w:rPr>
        <w:t xml:space="preserve"> </w:t>
      </w:r>
      <w:r w:rsidRPr="008008DE">
        <w:rPr>
          <w:sz w:val="24"/>
          <w:szCs w:val="24"/>
        </w:rPr>
        <w:t>training group and a modified version of the same lyric. Participants indicated which lyric was the correct lyric.</w:t>
      </w:r>
      <w:r>
        <w:t xml:space="preserve"> </w:t>
      </w:r>
      <w:r w:rsidRPr="008008DE">
        <w:rPr>
          <w:sz w:val="24"/>
          <w:szCs w:val="24"/>
        </w:rPr>
        <w:t>The lyric pairs were tested for their validity before being included in this study. Before the first scan session, participants were presented with the entire set of 25 lyric pairs</w:t>
      </w:r>
      <w:r>
        <w:rPr>
          <w:sz w:val="24"/>
          <w:szCs w:val="24"/>
        </w:rPr>
        <w:t xml:space="preserve"> to obtain a baseline measurement</w:t>
      </w:r>
      <w:r w:rsidRPr="008008DE">
        <w:rPr>
          <w:sz w:val="24"/>
          <w:szCs w:val="24"/>
        </w:rPr>
        <w:t>.</w:t>
      </w:r>
      <w:r>
        <w:rPr>
          <w:sz w:val="24"/>
          <w:szCs w:val="24"/>
        </w:rPr>
        <w:t xml:space="preserve"> </w:t>
      </w:r>
      <w:r w:rsidR="001027BB">
        <w:rPr>
          <w:sz w:val="24"/>
          <w:szCs w:val="24"/>
        </w:rPr>
        <w:t xml:space="preserve">As participants were not familiar with the stimuli these lyrics were taken from, they were asked to indicate which lyric they believed was most likely to come from a song. </w:t>
      </w:r>
      <w:r w:rsidRPr="008008DE">
        <w:rPr>
          <w:sz w:val="24"/>
          <w:szCs w:val="24"/>
        </w:rPr>
        <w:t>In each behavioural session, participants responded to a subset of 10 lyric pairs</w:t>
      </w:r>
      <w:r w:rsidR="001027BB">
        <w:rPr>
          <w:sz w:val="24"/>
          <w:szCs w:val="24"/>
        </w:rPr>
        <w:t xml:space="preserve"> to track learning progress</w:t>
      </w:r>
      <w:r w:rsidRPr="008008DE">
        <w:rPr>
          <w:sz w:val="24"/>
          <w:szCs w:val="24"/>
        </w:rPr>
        <w:t xml:space="preserve">. </w:t>
      </w:r>
      <w:r w:rsidR="001027BB">
        <w:rPr>
          <w:sz w:val="24"/>
          <w:szCs w:val="24"/>
        </w:rPr>
        <w:t>After</w:t>
      </w:r>
      <w:r w:rsidRPr="008008DE">
        <w:rPr>
          <w:sz w:val="24"/>
          <w:szCs w:val="24"/>
        </w:rPr>
        <w:t xml:space="preserve"> the second scan session participants completed the full set of 25 lyric pairs again.</w:t>
      </w:r>
      <w:r w:rsidR="001027BB">
        <w:rPr>
          <w:sz w:val="24"/>
          <w:szCs w:val="24"/>
        </w:rPr>
        <w:t xml:space="preserve"> </w:t>
      </w:r>
    </w:p>
    <w:p w14:paraId="2736858E" w14:textId="2A55C294" w:rsidR="008008DE" w:rsidRDefault="001027BB" w:rsidP="008008DE">
      <w:pPr>
        <w:spacing w:line="360" w:lineRule="auto"/>
        <w:ind w:firstLine="1134"/>
        <w:rPr>
          <w:sz w:val="24"/>
          <w:szCs w:val="24"/>
        </w:rPr>
      </w:pPr>
      <w:r>
        <w:rPr>
          <w:sz w:val="24"/>
          <w:szCs w:val="24"/>
        </w:rPr>
        <w:t>The second test of familiarity was a melody recognition task. After the second scan</w:t>
      </w:r>
      <w:r w:rsidR="00F56379">
        <w:rPr>
          <w:sz w:val="24"/>
          <w:szCs w:val="24"/>
        </w:rPr>
        <w:t xml:space="preserve"> only</w:t>
      </w:r>
      <w:r>
        <w:rPr>
          <w:sz w:val="24"/>
          <w:szCs w:val="24"/>
        </w:rPr>
        <w:t xml:space="preserve">, participants heard </w:t>
      </w:r>
      <w:r w:rsidR="00BE21E3">
        <w:rPr>
          <w:sz w:val="24"/>
          <w:szCs w:val="24"/>
        </w:rPr>
        <w:t xml:space="preserve">pairs </w:t>
      </w:r>
      <w:r>
        <w:rPr>
          <w:sz w:val="24"/>
          <w:szCs w:val="24"/>
        </w:rPr>
        <w:t xml:space="preserve">of 2 sec clips taken from the stimuli. These clips did not contain any lyrics. One clip was taken from the </w:t>
      </w:r>
      <w:r w:rsidR="00F56379">
        <w:rPr>
          <w:sz w:val="24"/>
          <w:szCs w:val="24"/>
        </w:rPr>
        <w:t>stimuli</w:t>
      </w:r>
      <w:r>
        <w:rPr>
          <w:sz w:val="24"/>
          <w:szCs w:val="24"/>
        </w:rPr>
        <w:t xml:space="preserve"> training set, the other clip was from a stimulus the participant did not train on. Participants were asked to indicate which clip was most familiar to them. </w:t>
      </w:r>
    </w:p>
    <w:p w14:paraId="71AE55F3" w14:textId="77777777" w:rsidR="001027BB" w:rsidRPr="001027BB" w:rsidRDefault="001027BB" w:rsidP="00A66329">
      <w:pPr>
        <w:spacing w:line="360" w:lineRule="auto"/>
        <w:ind w:firstLine="1134"/>
        <w:rPr>
          <w:sz w:val="24"/>
          <w:szCs w:val="24"/>
        </w:rPr>
      </w:pPr>
      <w:r>
        <w:rPr>
          <w:sz w:val="24"/>
          <w:szCs w:val="24"/>
        </w:rPr>
        <w:t>Participants completed a questionnaire regarding musical abilities and training as well as a test of melodic memory and a test of beat perception taken from the Goldsmith’s Musical Sophistication Index (CITE). Finally, participants completed a</w:t>
      </w:r>
      <w:r w:rsidR="00E03945">
        <w:rPr>
          <w:sz w:val="24"/>
          <w:szCs w:val="24"/>
        </w:rPr>
        <w:t xml:space="preserve"> musical association </w:t>
      </w:r>
      <w:r>
        <w:rPr>
          <w:sz w:val="24"/>
          <w:szCs w:val="24"/>
        </w:rPr>
        <w:t xml:space="preserve">form where they described what each of the </w:t>
      </w:r>
      <w:r w:rsidR="004438A7">
        <w:rPr>
          <w:sz w:val="24"/>
          <w:szCs w:val="24"/>
        </w:rPr>
        <w:t>trained stimuli</w:t>
      </w:r>
      <w:r>
        <w:rPr>
          <w:sz w:val="24"/>
          <w:szCs w:val="24"/>
        </w:rPr>
        <w:t xml:space="preserve"> reminded them of (memories, other songs, etc.) and a</w:t>
      </w:r>
      <w:r w:rsidR="00E03945">
        <w:rPr>
          <w:sz w:val="24"/>
          <w:szCs w:val="24"/>
        </w:rPr>
        <w:t xml:space="preserve"> lyric o</w:t>
      </w:r>
      <w:r>
        <w:rPr>
          <w:sz w:val="24"/>
          <w:szCs w:val="24"/>
        </w:rPr>
        <w:t xml:space="preserve">rientation questionnaire </w:t>
      </w:r>
      <w:r w:rsidR="00E03945">
        <w:rPr>
          <w:sz w:val="24"/>
          <w:szCs w:val="24"/>
        </w:rPr>
        <w:t>that measure</w:t>
      </w:r>
      <w:r w:rsidR="004438A7">
        <w:rPr>
          <w:sz w:val="24"/>
          <w:szCs w:val="24"/>
        </w:rPr>
        <w:t>d</w:t>
      </w:r>
      <w:r w:rsidR="00E03945">
        <w:rPr>
          <w:sz w:val="24"/>
          <w:szCs w:val="24"/>
        </w:rPr>
        <w:t xml:space="preserve"> to what degree the participant </w:t>
      </w:r>
      <w:r w:rsidR="004438A7">
        <w:rPr>
          <w:sz w:val="24"/>
          <w:szCs w:val="24"/>
        </w:rPr>
        <w:t xml:space="preserve">focuses on the lyrics in a song over the melodic content </w:t>
      </w:r>
      <w:r>
        <w:rPr>
          <w:sz w:val="24"/>
          <w:szCs w:val="24"/>
        </w:rPr>
        <w:t>(D. VUVAN).</w:t>
      </w:r>
    </w:p>
    <w:p w14:paraId="4824426A" w14:textId="77777777" w:rsidR="001027BB" w:rsidRPr="001027BB" w:rsidRDefault="001027BB" w:rsidP="008008DE">
      <w:pPr>
        <w:spacing w:line="360" w:lineRule="auto"/>
        <w:ind w:firstLine="1134"/>
        <w:rPr>
          <w:strike/>
          <w:sz w:val="24"/>
          <w:szCs w:val="24"/>
        </w:rPr>
      </w:pPr>
      <w:r w:rsidRPr="001027BB">
        <w:rPr>
          <w:b/>
          <w:strike/>
          <w:sz w:val="24"/>
          <w:szCs w:val="24"/>
        </w:rPr>
        <w:t xml:space="preserve">Preference ratings. </w:t>
      </w:r>
      <w:r w:rsidRPr="001027BB">
        <w:rPr>
          <w:strike/>
          <w:sz w:val="24"/>
          <w:szCs w:val="24"/>
        </w:rPr>
        <w:t xml:space="preserve">In each lab session and after the second scan, participants rated on a scale of 1-7 how much the liked the songs in their stimulus training group allowing us to track how preference changed as familiarity increased. </w:t>
      </w:r>
    </w:p>
    <w:p w14:paraId="3214AF28" w14:textId="77777777" w:rsidR="000D6417" w:rsidRPr="00F75649" w:rsidRDefault="000D6417" w:rsidP="000D6417">
      <w:pPr>
        <w:spacing w:line="360" w:lineRule="auto"/>
        <w:rPr>
          <w:b/>
          <w:sz w:val="24"/>
          <w:szCs w:val="24"/>
        </w:rPr>
      </w:pPr>
      <w:proofErr w:type="gramStart"/>
      <w:r w:rsidRPr="00F75649">
        <w:rPr>
          <w:b/>
          <w:sz w:val="24"/>
          <w:szCs w:val="24"/>
        </w:rPr>
        <w:t>fMRI</w:t>
      </w:r>
      <w:proofErr w:type="gramEnd"/>
      <w:r w:rsidRPr="00F75649">
        <w:rPr>
          <w:b/>
          <w:sz w:val="24"/>
          <w:szCs w:val="24"/>
        </w:rPr>
        <w:t xml:space="preserve"> acquisition and </w:t>
      </w:r>
      <w:r w:rsidR="00737B30">
        <w:rPr>
          <w:b/>
          <w:sz w:val="24"/>
          <w:szCs w:val="24"/>
        </w:rPr>
        <w:t>analyses</w:t>
      </w:r>
    </w:p>
    <w:p w14:paraId="5E90526B" w14:textId="77777777" w:rsidR="006D6117" w:rsidRDefault="000D6417" w:rsidP="00617EF2">
      <w:pPr>
        <w:autoSpaceDE w:val="0"/>
        <w:autoSpaceDN w:val="0"/>
        <w:adjustRightInd w:val="0"/>
        <w:spacing w:after="0" w:line="360" w:lineRule="auto"/>
        <w:ind w:firstLine="567"/>
        <w:rPr>
          <w:rFonts w:cs="Times New Roman"/>
          <w:sz w:val="24"/>
          <w:szCs w:val="24"/>
        </w:rPr>
      </w:pPr>
      <w:r w:rsidRPr="00AC2415">
        <w:rPr>
          <w:rFonts w:cs="Times New Roman"/>
          <w:sz w:val="24"/>
          <w:szCs w:val="24"/>
        </w:rPr>
        <w:t xml:space="preserve">Imaging was conducted </w:t>
      </w:r>
      <w:r w:rsidR="00BE21E3">
        <w:rPr>
          <w:rFonts w:cs="Times New Roman"/>
          <w:sz w:val="24"/>
          <w:szCs w:val="24"/>
        </w:rPr>
        <w:t xml:space="preserve">at the Robarts Research Institute </w:t>
      </w:r>
      <w:r w:rsidRPr="00AC2415">
        <w:rPr>
          <w:rFonts w:cs="Times New Roman"/>
          <w:sz w:val="24"/>
          <w:szCs w:val="24"/>
        </w:rPr>
        <w:t xml:space="preserve">on a Siemens </w:t>
      </w:r>
      <w:proofErr w:type="spellStart"/>
      <w:r w:rsidRPr="00AC2415">
        <w:rPr>
          <w:rFonts w:cs="Times New Roman"/>
          <w:sz w:val="24"/>
          <w:szCs w:val="24"/>
        </w:rPr>
        <w:t>Magnetom</w:t>
      </w:r>
      <w:proofErr w:type="spellEnd"/>
      <w:r w:rsidRPr="00AC2415">
        <w:rPr>
          <w:rFonts w:cs="Times New Roman"/>
          <w:sz w:val="24"/>
          <w:szCs w:val="24"/>
        </w:rPr>
        <w:t xml:space="preserve"> 7 Tesla scanner with a 32-channel head coil. Functional scans were acquired with 54 slices per volume (TR = 1.25 s; TE = 20 </w:t>
      </w:r>
      <w:proofErr w:type="spellStart"/>
      <w:r w:rsidRPr="00AC2415">
        <w:rPr>
          <w:rFonts w:cs="Times New Roman"/>
          <w:sz w:val="24"/>
          <w:szCs w:val="24"/>
        </w:rPr>
        <w:t>ms</w:t>
      </w:r>
      <w:proofErr w:type="spellEnd"/>
      <w:r w:rsidRPr="00AC2415">
        <w:rPr>
          <w:rFonts w:cs="Times New Roman"/>
          <w:sz w:val="24"/>
          <w:szCs w:val="24"/>
        </w:rPr>
        <w:t xml:space="preserve">; flip angle = 35°; FOV = 220 x 220 mm; voxel size </w:t>
      </w:r>
      <w:r w:rsidR="006D6117">
        <w:rPr>
          <w:rFonts w:cs="Times New Roman"/>
          <w:sz w:val="24"/>
          <w:szCs w:val="24"/>
        </w:rPr>
        <w:t xml:space="preserve">= </w:t>
      </w:r>
      <w:r w:rsidRPr="00AC2415">
        <w:rPr>
          <w:rFonts w:cs="Times New Roman"/>
          <w:sz w:val="24"/>
          <w:szCs w:val="24"/>
        </w:rPr>
        <w:t>2.5 mm</w:t>
      </w:r>
      <w:r w:rsidRPr="00AC2415">
        <w:rPr>
          <w:rFonts w:cs="Times New Roman"/>
          <w:sz w:val="24"/>
          <w:szCs w:val="24"/>
          <w:vertAlign w:val="superscript"/>
        </w:rPr>
        <w:t>3</w:t>
      </w:r>
      <w:r w:rsidR="00617EF2">
        <w:rPr>
          <w:rFonts w:cs="Times New Roman"/>
          <w:sz w:val="24"/>
          <w:szCs w:val="24"/>
        </w:rPr>
        <w:t>).</w:t>
      </w:r>
      <w:r w:rsidRPr="00AC2415">
        <w:rPr>
          <w:rFonts w:cs="Times New Roman"/>
          <w:sz w:val="24"/>
          <w:szCs w:val="24"/>
        </w:rPr>
        <w:t xml:space="preserve"> Between functional runs within the first session only, a whole-head anatomical scan was acquired (TR = </w:t>
      </w:r>
      <w:r w:rsidRPr="00AC2415">
        <w:rPr>
          <w:rFonts w:cs="Times New Roman"/>
          <w:sz w:val="24"/>
          <w:szCs w:val="24"/>
        </w:rPr>
        <w:lastRenderedPageBreak/>
        <w:t xml:space="preserve">6s; TE = 2.69 </w:t>
      </w:r>
      <w:proofErr w:type="spellStart"/>
      <w:r w:rsidRPr="00AC2415">
        <w:rPr>
          <w:rFonts w:cs="Times New Roman"/>
          <w:sz w:val="24"/>
          <w:szCs w:val="24"/>
        </w:rPr>
        <w:t>ms</w:t>
      </w:r>
      <w:proofErr w:type="spellEnd"/>
      <w:r w:rsidRPr="00AC2415">
        <w:rPr>
          <w:rFonts w:cs="Times New Roman"/>
          <w:sz w:val="24"/>
          <w:szCs w:val="24"/>
        </w:rPr>
        <w:t>; FOV = 240 x 240 mm; voxel size = 0.75 mm</w:t>
      </w:r>
      <w:r w:rsidRPr="00AC2415">
        <w:rPr>
          <w:rFonts w:cs="Times New Roman"/>
          <w:sz w:val="24"/>
          <w:szCs w:val="24"/>
          <w:vertAlign w:val="superscript"/>
        </w:rPr>
        <w:t>3</w:t>
      </w:r>
      <w:r w:rsidRPr="00AC2415">
        <w:rPr>
          <w:rFonts w:cs="Times New Roman"/>
          <w:sz w:val="24"/>
          <w:szCs w:val="24"/>
        </w:rPr>
        <w:t>; 208 slices).</w:t>
      </w:r>
      <w:r w:rsidR="00617EF2">
        <w:rPr>
          <w:rFonts w:cs="Times New Roman"/>
          <w:sz w:val="24"/>
          <w:szCs w:val="24"/>
        </w:rPr>
        <w:t xml:space="preserve"> Eight functional runs, each lasting five minutes (the length of the stimuli) were collected in both the first and second scans. The order of the eight songs was randomized in each scanning session for each participant.</w:t>
      </w:r>
    </w:p>
    <w:p w14:paraId="61B6B83F" w14:textId="77777777" w:rsidR="00737B30" w:rsidRDefault="00617EF2" w:rsidP="00737B30">
      <w:pPr>
        <w:autoSpaceDE w:val="0"/>
        <w:autoSpaceDN w:val="0"/>
        <w:adjustRightInd w:val="0"/>
        <w:spacing w:after="0" w:line="360" w:lineRule="auto"/>
        <w:ind w:firstLine="567"/>
        <w:rPr>
          <w:rFonts w:cs="Times New Roman"/>
          <w:sz w:val="24"/>
          <w:szCs w:val="24"/>
        </w:rPr>
      </w:pPr>
      <w:r>
        <w:rPr>
          <w:rFonts w:cs="Times New Roman"/>
          <w:sz w:val="24"/>
          <w:szCs w:val="24"/>
        </w:rPr>
        <w:t xml:space="preserve">Data </w:t>
      </w:r>
      <w:r w:rsidR="00737B30">
        <w:rPr>
          <w:rFonts w:cs="Times New Roman"/>
          <w:sz w:val="24"/>
          <w:szCs w:val="24"/>
        </w:rPr>
        <w:t xml:space="preserve">were processed </w:t>
      </w:r>
      <w:r w:rsidR="001155DF">
        <w:rPr>
          <w:rFonts w:cs="Times New Roman"/>
          <w:sz w:val="24"/>
          <w:szCs w:val="24"/>
        </w:rPr>
        <w:t xml:space="preserve">using </w:t>
      </w:r>
      <w:r w:rsidR="00737B30">
        <w:rPr>
          <w:rFonts w:cs="Times New Roman"/>
          <w:sz w:val="24"/>
          <w:szCs w:val="24"/>
        </w:rPr>
        <w:t xml:space="preserve">SPM12 and </w:t>
      </w:r>
      <w:r w:rsidR="009C42AE">
        <w:rPr>
          <w:rFonts w:cs="Times New Roman"/>
          <w:sz w:val="24"/>
          <w:szCs w:val="24"/>
        </w:rPr>
        <w:t>automatic analysis</w:t>
      </w:r>
      <w:r w:rsidR="00737B30">
        <w:rPr>
          <w:rFonts w:cs="Times New Roman"/>
          <w:sz w:val="24"/>
          <w:szCs w:val="24"/>
        </w:rPr>
        <w:t xml:space="preserve"> software (AA; </w:t>
      </w:r>
      <w:hyperlink r:id="rId6" w:history="1">
        <w:r w:rsidR="00737B30" w:rsidRPr="000F741D">
          <w:rPr>
            <w:rStyle w:val="Hyperlink"/>
            <w:rFonts w:cs="Times New Roman"/>
            <w:sz w:val="24"/>
            <w:szCs w:val="24"/>
          </w:rPr>
          <w:t>www.cusacklab.org</w:t>
        </w:r>
      </w:hyperlink>
      <w:r w:rsidR="009C42AE">
        <w:rPr>
          <w:rFonts w:cs="Times New Roman"/>
          <w:sz w:val="24"/>
          <w:szCs w:val="24"/>
        </w:rPr>
        <w:t>)</w:t>
      </w:r>
      <w:r w:rsidR="00737B30">
        <w:rPr>
          <w:rFonts w:cs="Times New Roman"/>
          <w:sz w:val="24"/>
          <w:szCs w:val="24"/>
        </w:rPr>
        <w:t xml:space="preserve">. Data were corrected for motion and normalized to a template brain. </w:t>
      </w:r>
      <w:proofErr w:type="spellStart"/>
      <w:r w:rsidR="00737B30">
        <w:rPr>
          <w:rFonts w:cs="Times New Roman"/>
          <w:sz w:val="24"/>
          <w:szCs w:val="24"/>
        </w:rPr>
        <w:t>Regressors</w:t>
      </w:r>
      <w:proofErr w:type="spellEnd"/>
      <w:r w:rsidR="00737B30">
        <w:rPr>
          <w:rFonts w:cs="Times New Roman"/>
          <w:sz w:val="24"/>
          <w:szCs w:val="24"/>
        </w:rPr>
        <w:t xml:space="preserve"> were calculated to account for artifacts in white matter and cerebrospinal fluid. Smoothing was done with a Gaussian kernel of 8 mm FWHM </w:t>
      </w:r>
      <w:r w:rsidR="00737B30" w:rsidRPr="00737B30">
        <w:rPr>
          <w:rFonts w:cs="Times New Roman"/>
          <w:sz w:val="24"/>
          <w:szCs w:val="24"/>
        </w:rPr>
        <w:t>(</w:t>
      </w:r>
      <w:proofErr w:type="spellStart"/>
      <w:r w:rsidR="00737B30" w:rsidRPr="00737B30">
        <w:rPr>
          <w:rFonts w:cs="Times New Roman"/>
          <w:sz w:val="24"/>
          <w:szCs w:val="24"/>
        </w:rPr>
        <w:t>Peigneux</w:t>
      </w:r>
      <w:proofErr w:type="spellEnd"/>
      <w:r w:rsidR="00737B30" w:rsidRPr="00737B30">
        <w:rPr>
          <w:rFonts w:cs="Times New Roman"/>
          <w:sz w:val="24"/>
          <w:szCs w:val="24"/>
        </w:rPr>
        <w:t xml:space="preserve"> et al., 2006). </w:t>
      </w:r>
      <w:r w:rsidR="00737B30">
        <w:rPr>
          <w:rFonts w:cs="Times New Roman"/>
          <w:sz w:val="24"/>
          <w:szCs w:val="24"/>
        </w:rPr>
        <w:t xml:space="preserve"> </w:t>
      </w:r>
      <w:r w:rsidR="00737B30" w:rsidRPr="00737B30">
        <w:rPr>
          <w:rFonts w:cs="Times New Roman"/>
          <w:sz w:val="24"/>
          <w:szCs w:val="24"/>
        </w:rPr>
        <w:t xml:space="preserve">These normalization parameters were then applied to all </w:t>
      </w:r>
      <w:proofErr w:type="spellStart"/>
      <w:r w:rsidR="00737B30" w:rsidRPr="00737B30">
        <w:rPr>
          <w:rFonts w:cs="Times New Roman"/>
          <w:sz w:val="24"/>
          <w:szCs w:val="24"/>
        </w:rPr>
        <w:t>echoplanar</w:t>
      </w:r>
      <w:proofErr w:type="spellEnd"/>
      <w:r w:rsidR="00737B30" w:rsidRPr="00737B30">
        <w:rPr>
          <w:rFonts w:cs="Times New Roman"/>
          <w:sz w:val="24"/>
          <w:szCs w:val="24"/>
        </w:rPr>
        <w:t xml:space="preserve"> im</w:t>
      </w:r>
      <w:r w:rsidR="00737B30">
        <w:rPr>
          <w:rFonts w:cs="Times New Roman"/>
          <w:sz w:val="24"/>
          <w:szCs w:val="24"/>
        </w:rPr>
        <w:t>ages.</w:t>
      </w:r>
    </w:p>
    <w:p w14:paraId="39C73FE0" w14:textId="77777777" w:rsidR="00652363" w:rsidRDefault="00652363" w:rsidP="00652363">
      <w:pPr>
        <w:autoSpaceDE w:val="0"/>
        <w:autoSpaceDN w:val="0"/>
        <w:adjustRightInd w:val="0"/>
        <w:spacing w:after="0" w:line="360" w:lineRule="auto"/>
        <w:ind w:firstLine="567"/>
        <w:rPr>
          <w:rFonts w:cs="Times New Roman"/>
          <w:sz w:val="24"/>
          <w:szCs w:val="24"/>
        </w:rPr>
      </w:pPr>
      <w:proofErr w:type="spellStart"/>
      <w:r>
        <w:rPr>
          <w:rFonts w:cs="Times New Roman"/>
          <w:sz w:val="24"/>
          <w:szCs w:val="24"/>
        </w:rPr>
        <w:t>Intersubject</w:t>
      </w:r>
      <w:proofErr w:type="spellEnd"/>
      <w:r>
        <w:rPr>
          <w:rFonts w:cs="Times New Roman"/>
          <w:sz w:val="24"/>
          <w:szCs w:val="24"/>
        </w:rPr>
        <w:t xml:space="preserve"> correlation (ISC) was calculated for each stimulus by extracting the </w:t>
      </w:r>
      <w:proofErr w:type="spellStart"/>
      <w:r>
        <w:rPr>
          <w:rFonts w:cs="Times New Roman"/>
          <w:sz w:val="24"/>
          <w:szCs w:val="24"/>
        </w:rPr>
        <w:t>timecourse</w:t>
      </w:r>
      <w:proofErr w:type="spellEnd"/>
      <w:r>
        <w:rPr>
          <w:rFonts w:cs="Times New Roman"/>
          <w:sz w:val="24"/>
          <w:szCs w:val="24"/>
        </w:rPr>
        <w:t xml:space="preserve"> of every voxel and taking a correlation between each subject’s voxel </w:t>
      </w:r>
      <w:proofErr w:type="spellStart"/>
      <w:r>
        <w:rPr>
          <w:rFonts w:cs="Times New Roman"/>
          <w:sz w:val="24"/>
          <w:szCs w:val="24"/>
        </w:rPr>
        <w:t>timecourses</w:t>
      </w:r>
      <w:proofErr w:type="spellEnd"/>
      <w:r>
        <w:rPr>
          <w:rFonts w:cs="Times New Roman"/>
          <w:sz w:val="24"/>
          <w:szCs w:val="24"/>
        </w:rPr>
        <w:t xml:space="preserve"> and the mean </w:t>
      </w:r>
      <w:proofErr w:type="spellStart"/>
      <w:r>
        <w:rPr>
          <w:rFonts w:cs="Times New Roman"/>
          <w:sz w:val="24"/>
          <w:szCs w:val="24"/>
        </w:rPr>
        <w:t>timecourses</w:t>
      </w:r>
      <w:proofErr w:type="spellEnd"/>
      <w:r>
        <w:rPr>
          <w:rFonts w:cs="Times New Roman"/>
          <w:sz w:val="24"/>
          <w:szCs w:val="24"/>
        </w:rPr>
        <w:t xml:space="preserve"> from every other participant (leave-one-out method). This created a map of correlation values for each participant indicating their degree of correlation to the group. Performing a t-test on each voxel produced a spatial map of areas where the group was highly synchronized while listening to that stimulus. </w:t>
      </w:r>
    </w:p>
    <w:p w14:paraId="2BEA38F0" w14:textId="37AE3ADE" w:rsidR="00652363" w:rsidRDefault="00652363" w:rsidP="00652363">
      <w:pPr>
        <w:autoSpaceDE w:val="0"/>
        <w:autoSpaceDN w:val="0"/>
        <w:adjustRightInd w:val="0"/>
        <w:spacing w:after="0" w:line="360" w:lineRule="auto"/>
        <w:ind w:firstLine="567"/>
        <w:rPr>
          <w:rFonts w:cs="Times New Roman"/>
          <w:sz w:val="24"/>
          <w:szCs w:val="24"/>
        </w:rPr>
      </w:pPr>
      <w:r>
        <w:rPr>
          <w:rFonts w:cs="Times New Roman"/>
          <w:sz w:val="24"/>
          <w:szCs w:val="24"/>
        </w:rPr>
        <w:t xml:space="preserve">The same ISC calculation was performed in specific ROIs. The Yeo 7 network </w:t>
      </w:r>
      <w:proofErr w:type="spellStart"/>
      <w:r>
        <w:rPr>
          <w:rFonts w:cs="Times New Roman"/>
          <w:sz w:val="24"/>
          <w:szCs w:val="24"/>
        </w:rPr>
        <w:t>parcellation</w:t>
      </w:r>
      <w:proofErr w:type="spellEnd"/>
      <w:r>
        <w:rPr>
          <w:rFonts w:cs="Times New Roman"/>
          <w:sz w:val="24"/>
          <w:szCs w:val="24"/>
        </w:rPr>
        <w:t xml:space="preserve"> (CITE) was used to identify </w:t>
      </w:r>
      <w:proofErr w:type="spellStart"/>
      <w:r>
        <w:rPr>
          <w:rFonts w:cs="Times New Roman"/>
          <w:sz w:val="24"/>
          <w:szCs w:val="24"/>
        </w:rPr>
        <w:t>frontoparietal</w:t>
      </w:r>
      <w:proofErr w:type="spellEnd"/>
      <w:r>
        <w:rPr>
          <w:rFonts w:cs="Times New Roman"/>
          <w:sz w:val="24"/>
          <w:szCs w:val="24"/>
        </w:rPr>
        <w:t xml:space="preserve"> areas. </w:t>
      </w:r>
      <w:r w:rsidR="00F56379">
        <w:rPr>
          <w:rFonts w:cs="Times New Roman"/>
          <w:sz w:val="24"/>
          <w:szCs w:val="24"/>
        </w:rPr>
        <w:t>Two</w:t>
      </w:r>
      <w:r>
        <w:rPr>
          <w:rFonts w:cs="Times New Roman"/>
          <w:sz w:val="24"/>
          <w:szCs w:val="24"/>
        </w:rPr>
        <w:t xml:space="preserve"> other ROIs were used as defined by neurosynth.org: motor (from 2565 studies), and auditory (from 1252 studies). </w:t>
      </w:r>
    </w:p>
    <w:p w14:paraId="53970A61" w14:textId="77777777" w:rsidR="00737B30" w:rsidRDefault="00737B30" w:rsidP="00617EF2">
      <w:pPr>
        <w:autoSpaceDE w:val="0"/>
        <w:autoSpaceDN w:val="0"/>
        <w:adjustRightInd w:val="0"/>
        <w:spacing w:after="0" w:line="360" w:lineRule="auto"/>
        <w:ind w:firstLine="567"/>
        <w:rPr>
          <w:rFonts w:cs="Times New Roman"/>
          <w:sz w:val="24"/>
          <w:szCs w:val="24"/>
        </w:rPr>
      </w:pPr>
    </w:p>
    <w:p w14:paraId="6476181B" w14:textId="77777777" w:rsidR="008D15D6" w:rsidRPr="008D15D6" w:rsidRDefault="007752A0" w:rsidP="008D15D6">
      <w:pPr>
        <w:autoSpaceDE w:val="0"/>
        <w:autoSpaceDN w:val="0"/>
        <w:adjustRightInd w:val="0"/>
        <w:spacing w:after="0" w:line="360" w:lineRule="auto"/>
        <w:jc w:val="center"/>
        <w:rPr>
          <w:rFonts w:cs="Times New Roman"/>
          <w:b/>
          <w:sz w:val="24"/>
          <w:szCs w:val="24"/>
        </w:rPr>
      </w:pPr>
      <w:r>
        <w:rPr>
          <w:rFonts w:cs="Times New Roman"/>
          <w:b/>
          <w:sz w:val="24"/>
          <w:szCs w:val="24"/>
        </w:rPr>
        <w:t>Results</w:t>
      </w:r>
    </w:p>
    <w:p w14:paraId="2187C117" w14:textId="77777777" w:rsidR="007B26AA" w:rsidRDefault="007B26AA" w:rsidP="007B26AA">
      <w:pPr>
        <w:autoSpaceDE w:val="0"/>
        <w:autoSpaceDN w:val="0"/>
        <w:adjustRightInd w:val="0"/>
        <w:spacing w:after="0" w:line="360" w:lineRule="auto"/>
        <w:rPr>
          <w:rFonts w:cs="Times New Roman"/>
          <w:b/>
          <w:sz w:val="24"/>
          <w:szCs w:val="24"/>
        </w:rPr>
      </w:pPr>
      <w:r>
        <w:rPr>
          <w:rFonts w:cs="Times New Roman"/>
          <w:b/>
          <w:sz w:val="24"/>
          <w:szCs w:val="24"/>
        </w:rPr>
        <w:t>Behavioural Results</w:t>
      </w:r>
    </w:p>
    <w:p w14:paraId="70075DCE" w14:textId="77777777" w:rsidR="008D15D6" w:rsidRDefault="008D15D6" w:rsidP="008D15D6">
      <w:pPr>
        <w:autoSpaceDE w:val="0"/>
        <w:autoSpaceDN w:val="0"/>
        <w:adjustRightInd w:val="0"/>
        <w:spacing w:after="0" w:line="360" w:lineRule="auto"/>
        <w:ind w:firstLine="567"/>
        <w:rPr>
          <w:rFonts w:cs="Times New Roman"/>
          <w:sz w:val="24"/>
          <w:szCs w:val="24"/>
        </w:rPr>
      </w:pPr>
      <w:r>
        <w:rPr>
          <w:rFonts w:cs="Times New Roman"/>
          <w:sz w:val="24"/>
          <w:szCs w:val="24"/>
        </w:rPr>
        <w:t xml:space="preserve">Over the course of the training period, participants listened to the stimuli on average 12.8 times (SD = 4.6). The familiarity tests indicate that behaviourally, participants learned the stimuli they trained on. </w:t>
      </w:r>
      <w:r w:rsidR="000E1D8C">
        <w:rPr>
          <w:rFonts w:cs="Times New Roman"/>
          <w:sz w:val="24"/>
          <w:szCs w:val="24"/>
        </w:rPr>
        <w:t>A 2(session:</w:t>
      </w:r>
      <w:r w:rsidR="0059119A">
        <w:rPr>
          <w:rFonts w:cs="Times New Roman"/>
          <w:sz w:val="24"/>
          <w:szCs w:val="24"/>
        </w:rPr>
        <w:t xml:space="preserve"> 1 &amp; </w:t>
      </w:r>
      <w:r w:rsidR="000E1D8C">
        <w:rPr>
          <w:rFonts w:cs="Times New Roman"/>
          <w:sz w:val="24"/>
          <w:szCs w:val="24"/>
        </w:rPr>
        <w:t xml:space="preserve">2) x 3(type: spoken, a </w:t>
      </w:r>
      <w:proofErr w:type="spellStart"/>
      <w:r w:rsidR="000E1D8C">
        <w:rPr>
          <w:rFonts w:cs="Times New Roman"/>
          <w:sz w:val="24"/>
          <w:szCs w:val="24"/>
        </w:rPr>
        <w:t>capella</w:t>
      </w:r>
      <w:proofErr w:type="spellEnd"/>
      <w:r w:rsidR="000E1D8C">
        <w:rPr>
          <w:rFonts w:cs="Times New Roman"/>
          <w:sz w:val="24"/>
          <w:szCs w:val="24"/>
        </w:rPr>
        <w:t>, whole) ANOVA was run on the lyric modification results. There was a main effect of session (</w:t>
      </w:r>
      <w:proofErr w:type="gramStart"/>
      <w:r w:rsidR="000E1D8C" w:rsidRPr="000E1D8C">
        <w:rPr>
          <w:rFonts w:cs="Times New Roman"/>
          <w:i/>
          <w:sz w:val="24"/>
          <w:szCs w:val="24"/>
        </w:rPr>
        <w:t>F</w:t>
      </w:r>
      <w:r w:rsidR="000E1D8C">
        <w:rPr>
          <w:rFonts w:cs="Times New Roman"/>
          <w:sz w:val="24"/>
          <w:szCs w:val="24"/>
        </w:rPr>
        <w:t>(</w:t>
      </w:r>
      <w:proofErr w:type="gramEnd"/>
      <w:r w:rsidR="000E1D8C">
        <w:rPr>
          <w:rFonts w:cs="Times New Roman"/>
          <w:sz w:val="24"/>
          <w:szCs w:val="24"/>
        </w:rPr>
        <w:t xml:space="preserve">1,138)=159.2, </w:t>
      </w:r>
      <w:r w:rsidR="000E1D8C" w:rsidRPr="000E1D8C">
        <w:rPr>
          <w:rFonts w:cs="Times New Roman"/>
          <w:i/>
          <w:sz w:val="24"/>
          <w:szCs w:val="24"/>
        </w:rPr>
        <w:t>p</w:t>
      </w:r>
      <w:r w:rsidR="000E1D8C">
        <w:rPr>
          <w:rFonts w:cs="Times New Roman"/>
          <w:sz w:val="24"/>
          <w:szCs w:val="24"/>
        </w:rPr>
        <w:t>&lt;0.001) with results increasing</w:t>
      </w:r>
      <w:r>
        <w:rPr>
          <w:rFonts w:cs="Times New Roman"/>
          <w:sz w:val="24"/>
          <w:szCs w:val="24"/>
        </w:rPr>
        <w:t xml:space="preserve"> from an average of 3</w:t>
      </w:r>
      <w:r w:rsidR="008537DD">
        <w:rPr>
          <w:rFonts w:cs="Times New Roman"/>
          <w:sz w:val="24"/>
          <w:szCs w:val="24"/>
        </w:rPr>
        <w:t xml:space="preserve">6% </w:t>
      </w:r>
      <w:r w:rsidR="0059119A">
        <w:rPr>
          <w:rFonts w:cs="Times New Roman"/>
          <w:sz w:val="24"/>
          <w:szCs w:val="24"/>
        </w:rPr>
        <w:t xml:space="preserve">correct </w:t>
      </w:r>
      <w:r w:rsidR="008537DD">
        <w:rPr>
          <w:rFonts w:cs="Times New Roman"/>
          <w:sz w:val="24"/>
          <w:szCs w:val="24"/>
        </w:rPr>
        <w:t>(SD=13.7)</w:t>
      </w:r>
      <w:r>
        <w:rPr>
          <w:rFonts w:cs="Times New Roman"/>
          <w:sz w:val="24"/>
          <w:szCs w:val="24"/>
        </w:rPr>
        <w:t xml:space="preserve"> before the first scan, to </w:t>
      </w:r>
      <w:r w:rsidR="008537DD">
        <w:rPr>
          <w:rFonts w:cs="Times New Roman"/>
          <w:sz w:val="24"/>
          <w:szCs w:val="24"/>
        </w:rPr>
        <w:t>a</w:t>
      </w:r>
      <w:r>
        <w:rPr>
          <w:rFonts w:cs="Times New Roman"/>
          <w:sz w:val="24"/>
          <w:szCs w:val="24"/>
        </w:rPr>
        <w:t xml:space="preserve">n average of </w:t>
      </w:r>
      <w:r w:rsidR="008537DD">
        <w:rPr>
          <w:rFonts w:cs="Times New Roman"/>
          <w:sz w:val="24"/>
          <w:szCs w:val="24"/>
        </w:rPr>
        <w:t>82</w:t>
      </w:r>
      <w:r>
        <w:rPr>
          <w:rFonts w:cs="Times New Roman"/>
          <w:sz w:val="24"/>
          <w:szCs w:val="24"/>
        </w:rPr>
        <w:t>%</w:t>
      </w:r>
      <w:r w:rsidR="0059119A">
        <w:rPr>
          <w:rFonts w:cs="Times New Roman"/>
          <w:sz w:val="24"/>
          <w:szCs w:val="24"/>
        </w:rPr>
        <w:t xml:space="preserve"> correct</w:t>
      </w:r>
      <w:r w:rsidR="008537DD">
        <w:rPr>
          <w:rFonts w:cs="Times New Roman"/>
          <w:sz w:val="24"/>
          <w:szCs w:val="24"/>
        </w:rPr>
        <w:t xml:space="preserve"> (SD=9.8)</w:t>
      </w:r>
      <w:r>
        <w:rPr>
          <w:rFonts w:cs="Times New Roman"/>
          <w:sz w:val="24"/>
          <w:szCs w:val="24"/>
        </w:rPr>
        <w:t xml:space="preserve"> </w:t>
      </w:r>
      <w:r w:rsidR="008537DD">
        <w:rPr>
          <w:rFonts w:cs="Times New Roman"/>
          <w:sz w:val="24"/>
          <w:szCs w:val="24"/>
        </w:rPr>
        <w:t xml:space="preserve">after the second scan </w:t>
      </w:r>
      <w:r>
        <w:rPr>
          <w:rFonts w:cs="Times New Roman"/>
          <w:sz w:val="24"/>
          <w:szCs w:val="24"/>
        </w:rPr>
        <w:t>(see Figure 1)</w:t>
      </w:r>
      <w:r w:rsidR="0059119A">
        <w:rPr>
          <w:rFonts w:cs="Times New Roman"/>
          <w:sz w:val="24"/>
          <w:szCs w:val="24"/>
        </w:rPr>
        <w:t>. There was</w:t>
      </w:r>
      <w:r w:rsidR="000E1D8C">
        <w:rPr>
          <w:rFonts w:cs="Times New Roman"/>
          <w:sz w:val="24"/>
          <w:szCs w:val="24"/>
        </w:rPr>
        <w:t xml:space="preserve"> no main effect of stimulus type (</w:t>
      </w:r>
      <w:proofErr w:type="gramStart"/>
      <w:r w:rsidR="000E1D8C" w:rsidRPr="000E1D8C">
        <w:rPr>
          <w:rFonts w:cs="Times New Roman"/>
          <w:i/>
          <w:sz w:val="24"/>
          <w:szCs w:val="24"/>
        </w:rPr>
        <w:t>F</w:t>
      </w:r>
      <w:r w:rsidR="000E1D8C">
        <w:rPr>
          <w:rFonts w:cs="Times New Roman"/>
          <w:sz w:val="24"/>
          <w:szCs w:val="24"/>
        </w:rPr>
        <w:t>(</w:t>
      </w:r>
      <w:proofErr w:type="gramEnd"/>
      <w:r w:rsidR="000E1D8C">
        <w:rPr>
          <w:rFonts w:cs="Times New Roman"/>
          <w:sz w:val="24"/>
          <w:szCs w:val="24"/>
        </w:rPr>
        <w:t xml:space="preserve">2,138)=3.0, </w:t>
      </w:r>
      <w:r w:rsidR="000E1D8C" w:rsidRPr="000E1D8C">
        <w:rPr>
          <w:rFonts w:cs="Times New Roman"/>
          <w:i/>
          <w:sz w:val="24"/>
          <w:szCs w:val="24"/>
        </w:rPr>
        <w:t>p</w:t>
      </w:r>
      <w:r w:rsidR="001B4A2A">
        <w:rPr>
          <w:rFonts w:cs="Times New Roman"/>
          <w:sz w:val="24"/>
          <w:szCs w:val="24"/>
        </w:rPr>
        <w:t>=</w:t>
      </w:r>
      <w:r w:rsidR="000E1D8C">
        <w:rPr>
          <w:rFonts w:cs="Times New Roman"/>
          <w:sz w:val="24"/>
          <w:szCs w:val="24"/>
        </w:rPr>
        <w:t>0.05)</w:t>
      </w:r>
      <w:r>
        <w:rPr>
          <w:rFonts w:cs="Times New Roman"/>
          <w:sz w:val="24"/>
          <w:szCs w:val="24"/>
        </w:rPr>
        <w:t>.</w:t>
      </w:r>
      <w:r w:rsidR="000E1D8C">
        <w:rPr>
          <w:rFonts w:cs="Times New Roman"/>
          <w:sz w:val="24"/>
          <w:szCs w:val="24"/>
        </w:rPr>
        <w:t xml:space="preserve"> </w:t>
      </w:r>
      <w:r w:rsidR="008537DD">
        <w:rPr>
          <w:rFonts w:cs="Times New Roman"/>
          <w:sz w:val="24"/>
          <w:szCs w:val="24"/>
        </w:rPr>
        <w:t xml:space="preserve">The melody recognition results </w:t>
      </w:r>
      <w:r w:rsidR="002B2F97">
        <w:rPr>
          <w:rFonts w:cs="Times New Roman"/>
          <w:sz w:val="24"/>
          <w:szCs w:val="24"/>
        </w:rPr>
        <w:t xml:space="preserve">collected after the second scan </w:t>
      </w:r>
      <w:r w:rsidR="008537DD">
        <w:rPr>
          <w:rFonts w:cs="Times New Roman"/>
          <w:sz w:val="24"/>
          <w:szCs w:val="24"/>
        </w:rPr>
        <w:t>were at ceiling (mean=92%, SD=6.4)</w:t>
      </w:r>
      <w:r w:rsidR="002B2F97">
        <w:rPr>
          <w:rFonts w:cs="Times New Roman"/>
          <w:sz w:val="24"/>
          <w:szCs w:val="24"/>
        </w:rPr>
        <w:t xml:space="preserve"> (see Figure 1)</w:t>
      </w:r>
      <w:r w:rsidR="008537DD">
        <w:rPr>
          <w:rFonts w:cs="Times New Roman"/>
          <w:sz w:val="24"/>
          <w:szCs w:val="24"/>
        </w:rPr>
        <w:t>.</w:t>
      </w:r>
      <w:r w:rsidR="00BB7933">
        <w:rPr>
          <w:rFonts w:cs="Times New Roman"/>
          <w:sz w:val="24"/>
          <w:szCs w:val="24"/>
        </w:rPr>
        <w:t xml:space="preserve"> </w:t>
      </w:r>
      <w:r w:rsidR="008537DD">
        <w:rPr>
          <w:rFonts w:cs="Times New Roman"/>
          <w:sz w:val="24"/>
          <w:szCs w:val="24"/>
        </w:rPr>
        <w:t>Four</w:t>
      </w:r>
      <w:r>
        <w:rPr>
          <w:rFonts w:cs="Times New Roman"/>
          <w:sz w:val="24"/>
          <w:szCs w:val="24"/>
        </w:rPr>
        <w:t xml:space="preserve"> participants </w:t>
      </w:r>
      <w:r w:rsidR="008537DD">
        <w:rPr>
          <w:rFonts w:cs="Times New Roman"/>
          <w:sz w:val="24"/>
          <w:szCs w:val="24"/>
        </w:rPr>
        <w:t xml:space="preserve">were </w:t>
      </w:r>
      <w:r w:rsidR="008537DD">
        <w:rPr>
          <w:rFonts w:cs="Times New Roman"/>
          <w:sz w:val="24"/>
          <w:szCs w:val="24"/>
        </w:rPr>
        <w:lastRenderedPageBreak/>
        <w:t>excluded from the rest of the data analysis, because their average score across both memory tests did not reach 70%.</w:t>
      </w:r>
      <w:r w:rsidR="00BB7933">
        <w:rPr>
          <w:rFonts w:cs="Times New Roman"/>
          <w:sz w:val="24"/>
          <w:szCs w:val="24"/>
        </w:rPr>
        <w:t xml:space="preserve"> </w:t>
      </w:r>
    </w:p>
    <w:p w14:paraId="65A6887E" w14:textId="77777777" w:rsidR="007B26AA" w:rsidRDefault="007B26AA" w:rsidP="007B26AA">
      <w:pPr>
        <w:autoSpaceDE w:val="0"/>
        <w:autoSpaceDN w:val="0"/>
        <w:adjustRightInd w:val="0"/>
        <w:spacing w:after="0" w:line="360" w:lineRule="auto"/>
        <w:rPr>
          <w:rFonts w:cs="Times New Roman"/>
          <w:b/>
          <w:sz w:val="24"/>
          <w:szCs w:val="24"/>
        </w:rPr>
      </w:pPr>
      <w:proofErr w:type="gramStart"/>
      <w:r>
        <w:rPr>
          <w:rFonts w:cs="Times New Roman"/>
          <w:b/>
          <w:sz w:val="24"/>
          <w:szCs w:val="24"/>
        </w:rPr>
        <w:t>fMRI</w:t>
      </w:r>
      <w:proofErr w:type="gramEnd"/>
      <w:r>
        <w:rPr>
          <w:rFonts w:cs="Times New Roman"/>
          <w:b/>
          <w:sz w:val="24"/>
          <w:szCs w:val="24"/>
        </w:rPr>
        <w:t xml:space="preserve"> results</w:t>
      </w:r>
    </w:p>
    <w:p w14:paraId="165734F7" w14:textId="77777777" w:rsidR="007D4545" w:rsidRDefault="00225AD0" w:rsidP="00225AD0">
      <w:pPr>
        <w:pStyle w:val="ListParagraph"/>
        <w:numPr>
          <w:ilvl w:val="0"/>
          <w:numId w:val="1"/>
        </w:numPr>
        <w:autoSpaceDE w:val="0"/>
        <w:autoSpaceDN w:val="0"/>
        <w:adjustRightInd w:val="0"/>
        <w:spacing w:after="0" w:line="240" w:lineRule="auto"/>
        <w:rPr>
          <w:rFonts w:cs="Times New Roman"/>
          <w:sz w:val="24"/>
          <w:szCs w:val="24"/>
        </w:rPr>
      </w:pPr>
      <w:r>
        <w:rPr>
          <w:rFonts w:cs="Times New Roman"/>
          <w:sz w:val="24"/>
          <w:szCs w:val="24"/>
        </w:rPr>
        <w:t>Across all sessions: Whole brain effect of stimulus type. Is there an effect of stim type?</w:t>
      </w:r>
    </w:p>
    <w:p w14:paraId="38C31130" w14:textId="1BADEBB1" w:rsidR="00381726" w:rsidRDefault="007D4545" w:rsidP="007D4545">
      <w:pPr>
        <w:pStyle w:val="ListParagraph"/>
        <w:autoSpaceDE w:val="0"/>
        <w:autoSpaceDN w:val="0"/>
        <w:adjustRightInd w:val="0"/>
        <w:spacing w:after="0" w:line="240" w:lineRule="auto"/>
        <w:rPr>
          <w:rFonts w:cs="Times New Roman"/>
          <w:sz w:val="24"/>
          <w:szCs w:val="24"/>
        </w:rPr>
      </w:pPr>
      <w:r>
        <w:rPr>
          <w:rFonts w:cs="Times New Roman"/>
          <w:sz w:val="24"/>
          <w:szCs w:val="24"/>
        </w:rPr>
        <w:t>S&gt;A&gt;W&gt;I</w:t>
      </w:r>
      <w:r w:rsidR="00225AD0">
        <w:rPr>
          <w:rFonts w:cs="Times New Roman"/>
          <w:sz w:val="24"/>
          <w:szCs w:val="24"/>
        </w:rPr>
        <w:br/>
        <w:t>Yes, and three specific regions seem to be playing key roles</w:t>
      </w:r>
    </w:p>
    <w:p w14:paraId="78C6158F" w14:textId="75837251" w:rsidR="00225AD0" w:rsidRDefault="00225AD0" w:rsidP="00225AD0">
      <w:pPr>
        <w:pStyle w:val="ListParagraph"/>
        <w:autoSpaceDE w:val="0"/>
        <w:autoSpaceDN w:val="0"/>
        <w:adjustRightInd w:val="0"/>
        <w:spacing w:after="0" w:line="240" w:lineRule="auto"/>
        <w:rPr>
          <w:rFonts w:cs="Times New Roman"/>
          <w:sz w:val="24"/>
          <w:szCs w:val="24"/>
        </w:rPr>
      </w:pPr>
      <w:r>
        <w:rPr>
          <w:rFonts w:cs="Times New Roman"/>
          <w:sz w:val="24"/>
          <w:szCs w:val="24"/>
        </w:rPr>
        <w:t>Auditory: S&gt;A&gt;W&gt;I</w:t>
      </w:r>
    </w:p>
    <w:p w14:paraId="4EC591AC" w14:textId="163179D9" w:rsidR="00225AD0" w:rsidRDefault="00225AD0" w:rsidP="00225AD0">
      <w:pPr>
        <w:pStyle w:val="ListParagraph"/>
        <w:autoSpaceDE w:val="0"/>
        <w:autoSpaceDN w:val="0"/>
        <w:adjustRightInd w:val="0"/>
        <w:spacing w:after="0" w:line="240" w:lineRule="auto"/>
        <w:rPr>
          <w:rFonts w:cs="Times New Roman"/>
          <w:sz w:val="24"/>
          <w:szCs w:val="24"/>
        </w:rPr>
      </w:pPr>
      <w:r>
        <w:rPr>
          <w:rFonts w:cs="Times New Roman"/>
          <w:sz w:val="24"/>
          <w:szCs w:val="24"/>
        </w:rPr>
        <w:t>Frontal: S&gt;A=W=I</w:t>
      </w:r>
    </w:p>
    <w:p w14:paraId="7F77E687" w14:textId="2086F1A8" w:rsidR="00225AD0" w:rsidRDefault="00225AD0" w:rsidP="00225AD0">
      <w:pPr>
        <w:pStyle w:val="ListParagraph"/>
        <w:autoSpaceDE w:val="0"/>
        <w:autoSpaceDN w:val="0"/>
        <w:adjustRightInd w:val="0"/>
        <w:spacing w:after="0" w:line="240" w:lineRule="auto"/>
        <w:rPr>
          <w:rFonts w:cs="Times New Roman"/>
          <w:sz w:val="24"/>
          <w:szCs w:val="24"/>
        </w:rPr>
      </w:pPr>
      <w:r>
        <w:rPr>
          <w:rFonts w:cs="Times New Roman"/>
          <w:sz w:val="24"/>
          <w:szCs w:val="24"/>
        </w:rPr>
        <w:t>Motor: S&gt;A=W=I</w:t>
      </w:r>
    </w:p>
    <w:p w14:paraId="73F172D3" w14:textId="229E7330" w:rsidR="00225AD0" w:rsidRDefault="00225AD0" w:rsidP="00225AD0">
      <w:pPr>
        <w:pStyle w:val="ListParagraph"/>
        <w:numPr>
          <w:ilvl w:val="0"/>
          <w:numId w:val="1"/>
        </w:numPr>
        <w:autoSpaceDE w:val="0"/>
        <w:autoSpaceDN w:val="0"/>
        <w:adjustRightInd w:val="0"/>
        <w:spacing w:after="0" w:line="240" w:lineRule="auto"/>
        <w:rPr>
          <w:rFonts w:cs="Times New Roman"/>
          <w:sz w:val="24"/>
          <w:szCs w:val="24"/>
        </w:rPr>
      </w:pPr>
      <w:r>
        <w:rPr>
          <w:rFonts w:cs="Times New Roman"/>
          <w:sz w:val="24"/>
          <w:szCs w:val="24"/>
        </w:rPr>
        <w:t>There are different things going on within ROIs, so if we look within the ROIs for a session effect, what happens?</w:t>
      </w:r>
    </w:p>
    <w:tbl>
      <w:tblPr>
        <w:tblW w:w="3650" w:type="pct"/>
        <w:tblCellSpacing w:w="0" w:type="dxa"/>
        <w:tblCellMar>
          <w:top w:w="60" w:type="dxa"/>
          <w:left w:w="60" w:type="dxa"/>
          <w:bottom w:w="60" w:type="dxa"/>
          <w:right w:w="60" w:type="dxa"/>
        </w:tblCellMar>
        <w:tblLook w:val="04A0" w:firstRow="1" w:lastRow="0" w:firstColumn="1" w:lastColumn="0" w:noHBand="0" w:noVBand="1"/>
      </w:tblPr>
      <w:tblGrid>
        <w:gridCol w:w="2186"/>
        <w:gridCol w:w="2376"/>
        <w:gridCol w:w="2376"/>
      </w:tblGrid>
      <w:tr w:rsidR="00225AD0" w:rsidRPr="00225AD0" w14:paraId="60349E4D" w14:textId="77777777" w:rsidTr="00225AD0">
        <w:trPr>
          <w:tblCellSpacing w:w="0" w:type="dxa"/>
        </w:trPr>
        <w:tc>
          <w:tcPr>
            <w:tcW w:w="1575"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14:paraId="058419B2" w14:textId="3FA7BAAE" w:rsidR="00225AD0" w:rsidRDefault="00225AD0" w:rsidP="00225AD0">
            <w:pPr>
              <w:spacing w:after="0" w:line="240" w:lineRule="auto"/>
              <w:rPr>
                <w:rFonts w:eastAsia="Times New Roman" w:cstheme="minorHAnsi"/>
                <w:color w:val="000000"/>
                <w:sz w:val="24"/>
                <w:szCs w:val="24"/>
                <w:lang w:eastAsia="en-CA"/>
              </w:rPr>
            </w:pPr>
            <w:bookmarkStart w:id="0" w:name="_GoBack"/>
            <w:proofErr w:type="spellStart"/>
            <w:r>
              <w:rPr>
                <w:rFonts w:eastAsia="Times New Roman" w:cstheme="minorHAnsi"/>
                <w:color w:val="000000"/>
                <w:sz w:val="24"/>
                <w:szCs w:val="24"/>
                <w:lang w:eastAsia="en-CA"/>
              </w:rPr>
              <w:t>Aud</w:t>
            </w:r>
            <w:proofErr w:type="spellEnd"/>
          </w:p>
          <w:p w14:paraId="14FF120E" w14:textId="0EDE698E" w:rsidR="00225AD0" w:rsidRPr="00225AD0" w:rsidRDefault="00225AD0" w:rsidP="00225AD0">
            <w:pPr>
              <w:spacing w:after="0" w:line="240" w:lineRule="auto"/>
              <w:rPr>
                <w:rFonts w:eastAsia="Times New Roman" w:cstheme="minorHAnsi"/>
                <w:sz w:val="24"/>
                <w:szCs w:val="24"/>
                <w:lang w:eastAsia="en-CA"/>
              </w:rPr>
            </w:pPr>
            <w:r w:rsidRPr="00225AD0">
              <w:rPr>
                <w:rFonts w:eastAsia="Times New Roman" w:cstheme="minorHAnsi"/>
                <w:color w:val="000000"/>
                <w:sz w:val="24"/>
                <w:szCs w:val="24"/>
                <w:lang w:eastAsia="en-CA"/>
              </w:rPr>
              <w:t>A1 &gt; A2</w:t>
            </w:r>
          </w:p>
          <w:p w14:paraId="186452F8" w14:textId="77777777" w:rsidR="00225AD0" w:rsidRPr="00225AD0" w:rsidRDefault="00225AD0" w:rsidP="00225AD0">
            <w:pPr>
              <w:spacing w:after="0" w:line="240" w:lineRule="auto"/>
              <w:rPr>
                <w:rFonts w:eastAsia="Times New Roman" w:cstheme="minorHAnsi"/>
                <w:sz w:val="24"/>
                <w:szCs w:val="24"/>
                <w:lang w:eastAsia="en-CA"/>
              </w:rPr>
            </w:pPr>
            <w:r w:rsidRPr="00225AD0">
              <w:rPr>
                <w:rFonts w:eastAsia="Times New Roman" w:cstheme="minorHAnsi"/>
                <w:color w:val="000000"/>
                <w:sz w:val="24"/>
                <w:szCs w:val="24"/>
                <w:lang w:eastAsia="en-CA"/>
              </w:rPr>
              <w:t>I1 = I2</w:t>
            </w:r>
          </w:p>
          <w:p w14:paraId="5BCFAA31" w14:textId="77777777" w:rsidR="00225AD0" w:rsidRPr="00225AD0" w:rsidRDefault="00225AD0" w:rsidP="00225AD0">
            <w:pPr>
              <w:spacing w:after="0" w:line="240" w:lineRule="auto"/>
              <w:rPr>
                <w:rFonts w:eastAsia="Times New Roman" w:cstheme="minorHAnsi"/>
                <w:sz w:val="24"/>
                <w:szCs w:val="24"/>
                <w:lang w:eastAsia="en-CA"/>
              </w:rPr>
            </w:pPr>
            <w:r w:rsidRPr="00225AD0">
              <w:rPr>
                <w:rFonts w:eastAsia="Times New Roman" w:cstheme="minorHAnsi"/>
                <w:color w:val="000000"/>
                <w:sz w:val="24"/>
                <w:szCs w:val="24"/>
                <w:lang w:eastAsia="en-CA"/>
              </w:rPr>
              <w:t>S1 &gt; S2</w:t>
            </w:r>
          </w:p>
          <w:p w14:paraId="48C0F92F" w14:textId="77777777" w:rsidR="00225AD0" w:rsidRPr="00225AD0" w:rsidRDefault="00225AD0" w:rsidP="00225AD0">
            <w:pPr>
              <w:spacing w:after="142" w:line="240" w:lineRule="auto"/>
              <w:rPr>
                <w:rFonts w:eastAsia="Times New Roman" w:cstheme="minorHAnsi"/>
                <w:sz w:val="24"/>
                <w:szCs w:val="24"/>
                <w:lang w:eastAsia="en-CA"/>
              </w:rPr>
            </w:pPr>
            <w:r w:rsidRPr="00225AD0">
              <w:rPr>
                <w:rFonts w:eastAsia="Times New Roman" w:cstheme="minorHAnsi"/>
                <w:color w:val="000000"/>
                <w:sz w:val="24"/>
                <w:szCs w:val="24"/>
                <w:lang w:eastAsia="en-CA"/>
              </w:rPr>
              <w:t>W1 &gt; W2</w:t>
            </w:r>
          </w:p>
        </w:tc>
        <w:tc>
          <w:tcPr>
            <w:tcW w:w="1712" w:type="pct"/>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14:paraId="51252CC5" w14:textId="76CE14BF" w:rsidR="00225AD0" w:rsidRDefault="00225AD0" w:rsidP="00225AD0">
            <w:pPr>
              <w:spacing w:after="0" w:line="240" w:lineRule="auto"/>
              <w:rPr>
                <w:rFonts w:eastAsia="Times New Roman" w:cstheme="minorHAnsi"/>
                <w:color w:val="000000"/>
                <w:sz w:val="24"/>
                <w:szCs w:val="24"/>
                <w:lang w:eastAsia="en-CA"/>
              </w:rPr>
            </w:pPr>
            <w:r>
              <w:rPr>
                <w:rFonts w:eastAsia="Times New Roman" w:cstheme="minorHAnsi"/>
                <w:color w:val="000000"/>
                <w:sz w:val="24"/>
                <w:szCs w:val="24"/>
                <w:lang w:eastAsia="en-CA"/>
              </w:rPr>
              <w:t>Frontal</w:t>
            </w:r>
          </w:p>
          <w:p w14:paraId="2E2462AE" w14:textId="20B16966" w:rsidR="00225AD0" w:rsidRPr="00225AD0" w:rsidRDefault="00225AD0" w:rsidP="00225AD0">
            <w:pPr>
              <w:spacing w:after="0" w:line="240" w:lineRule="auto"/>
              <w:rPr>
                <w:rFonts w:eastAsia="Times New Roman" w:cstheme="minorHAnsi"/>
                <w:sz w:val="24"/>
                <w:szCs w:val="24"/>
                <w:lang w:eastAsia="en-CA"/>
              </w:rPr>
            </w:pPr>
            <w:r w:rsidRPr="00225AD0">
              <w:rPr>
                <w:rFonts w:eastAsia="Times New Roman" w:cstheme="minorHAnsi"/>
                <w:color w:val="000000"/>
                <w:sz w:val="24"/>
                <w:szCs w:val="24"/>
                <w:lang w:eastAsia="en-CA"/>
              </w:rPr>
              <w:t>A1 = A2</w:t>
            </w:r>
          </w:p>
          <w:p w14:paraId="44EA888C" w14:textId="77777777" w:rsidR="00225AD0" w:rsidRPr="00225AD0" w:rsidRDefault="00225AD0" w:rsidP="00225AD0">
            <w:pPr>
              <w:spacing w:after="0" w:line="240" w:lineRule="auto"/>
              <w:rPr>
                <w:rFonts w:eastAsia="Times New Roman" w:cstheme="minorHAnsi"/>
                <w:sz w:val="24"/>
                <w:szCs w:val="24"/>
                <w:lang w:eastAsia="en-CA"/>
              </w:rPr>
            </w:pPr>
            <w:r w:rsidRPr="00225AD0">
              <w:rPr>
                <w:rFonts w:eastAsia="Times New Roman" w:cstheme="minorHAnsi"/>
                <w:color w:val="000000"/>
                <w:sz w:val="24"/>
                <w:szCs w:val="24"/>
                <w:lang w:eastAsia="en-CA"/>
              </w:rPr>
              <w:t>I1 = I2</w:t>
            </w:r>
          </w:p>
          <w:p w14:paraId="74854CCE" w14:textId="77777777" w:rsidR="00225AD0" w:rsidRPr="00225AD0" w:rsidRDefault="00225AD0" w:rsidP="00225AD0">
            <w:pPr>
              <w:spacing w:after="0" w:line="240" w:lineRule="auto"/>
              <w:rPr>
                <w:rFonts w:eastAsia="Times New Roman" w:cstheme="minorHAnsi"/>
                <w:sz w:val="24"/>
                <w:szCs w:val="24"/>
                <w:lang w:eastAsia="en-CA"/>
              </w:rPr>
            </w:pPr>
            <w:r w:rsidRPr="00225AD0">
              <w:rPr>
                <w:rFonts w:eastAsia="Times New Roman" w:cstheme="minorHAnsi"/>
                <w:color w:val="000000"/>
                <w:sz w:val="24"/>
                <w:szCs w:val="24"/>
                <w:lang w:eastAsia="en-CA"/>
              </w:rPr>
              <w:t>S1 &gt; S2</w:t>
            </w:r>
          </w:p>
          <w:p w14:paraId="38E074E5" w14:textId="77777777" w:rsidR="00225AD0" w:rsidRPr="00225AD0" w:rsidRDefault="00225AD0" w:rsidP="00225AD0">
            <w:pPr>
              <w:spacing w:after="142" w:line="240" w:lineRule="auto"/>
              <w:rPr>
                <w:rFonts w:eastAsia="Times New Roman" w:cstheme="minorHAnsi"/>
                <w:sz w:val="24"/>
                <w:szCs w:val="24"/>
                <w:lang w:eastAsia="en-CA"/>
              </w:rPr>
            </w:pPr>
            <w:r w:rsidRPr="00225AD0">
              <w:rPr>
                <w:rFonts w:eastAsia="Times New Roman" w:cstheme="minorHAnsi"/>
                <w:color w:val="000000"/>
                <w:sz w:val="24"/>
                <w:szCs w:val="24"/>
                <w:lang w:eastAsia="en-CA"/>
              </w:rPr>
              <w:t>W1 = W2</w:t>
            </w:r>
          </w:p>
        </w:tc>
        <w:tc>
          <w:tcPr>
            <w:tcW w:w="1712" w:type="pct"/>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14:paraId="7BC4D3C2" w14:textId="450E829F" w:rsidR="00225AD0" w:rsidRDefault="00225AD0" w:rsidP="00225AD0">
            <w:pPr>
              <w:spacing w:after="0" w:line="240" w:lineRule="auto"/>
              <w:rPr>
                <w:rFonts w:eastAsia="Times New Roman" w:cstheme="minorHAnsi"/>
                <w:color w:val="000000"/>
                <w:sz w:val="24"/>
                <w:szCs w:val="24"/>
                <w:lang w:eastAsia="en-CA"/>
              </w:rPr>
            </w:pPr>
            <w:r>
              <w:rPr>
                <w:rFonts w:eastAsia="Times New Roman" w:cstheme="minorHAnsi"/>
                <w:color w:val="000000"/>
                <w:sz w:val="24"/>
                <w:szCs w:val="24"/>
                <w:lang w:eastAsia="en-CA"/>
              </w:rPr>
              <w:t>Motor</w:t>
            </w:r>
          </w:p>
          <w:p w14:paraId="15F14AFD" w14:textId="5AFECB29" w:rsidR="00225AD0" w:rsidRPr="00225AD0" w:rsidRDefault="00225AD0" w:rsidP="00225AD0">
            <w:pPr>
              <w:spacing w:after="0" w:line="240" w:lineRule="auto"/>
              <w:rPr>
                <w:rFonts w:eastAsia="Times New Roman" w:cstheme="minorHAnsi"/>
                <w:sz w:val="24"/>
                <w:szCs w:val="24"/>
                <w:lang w:eastAsia="en-CA"/>
              </w:rPr>
            </w:pPr>
            <w:r w:rsidRPr="00225AD0">
              <w:rPr>
                <w:rFonts w:eastAsia="Times New Roman" w:cstheme="minorHAnsi"/>
                <w:color w:val="000000"/>
                <w:sz w:val="24"/>
                <w:szCs w:val="24"/>
                <w:lang w:eastAsia="en-CA"/>
              </w:rPr>
              <w:t>A1 = A2</w:t>
            </w:r>
          </w:p>
          <w:p w14:paraId="64D67E8F" w14:textId="77777777" w:rsidR="00225AD0" w:rsidRPr="00225AD0" w:rsidRDefault="00225AD0" w:rsidP="00225AD0">
            <w:pPr>
              <w:spacing w:after="0" w:line="240" w:lineRule="auto"/>
              <w:rPr>
                <w:rFonts w:eastAsia="Times New Roman" w:cstheme="minorHAnsi"/>
                <w:sz w:val="24"/>
                <w:szCs w:val="24"/>
                <w:lang w:eastAsia="en-CA"/>
              </w:rPr>
            </w:pPr>
            <w:r w:rsidRPr="00225AD0">
              <w:rPr>
                <w:rFonts w:eastAsia="Times New Roman" w:cstheme="minorHAnsi"/>
                <w:color w:val="000000"/>
                <w:sz w:val="24"/>
                <w:szCs w:val="24"/>
                <w:lang w:eastAsia="en-CA"/>
              </w:rPr>
              <w:t>I1 = I2</w:t>
            </w:r>
          </w:p>
          <w:p w14:paraId="13C22C10" w14:textId="77777777" w:rsidR="00225AD0" w:rsidRPr="00225AD0" w:rsidRDefault="00225AD0" w:rsidP="00225AD0">
            <w:pPr>
              <w:spacing w:after="0" w:line="240" w:lineRule="auto"/>
              <w:rPr>
                <w:rFonts w:eastAsia="Times New Roman" w:cstheme="minorHAnsi"/>
                <w:sz w:val="24"/>
                <w:szCs w:val="24"/>
                <w:lang w:eastAsia="en-CA"/>
              </w:rPr>
            </w:pPr>
            <w:r w:rsidRPr="00225AD0">
              <w:rPr>
                <w:rFonts w:eastAsia="Times New Roman" w:cstheme="minorHAnsi"/>
                <w:color w:val="000000"/>
                <w:sz w:val="24"/>
                <w:szCs w:val="24"/>
                <w:lang w:eastAsia="en-CA"/>
              </w:rPr>
              <w:t>S1 = S2</w:t>
            </w:r>
          </w:p>
          <w:p w14:paraId="1B211BCF" w14:textId="77777777" w:rsidR="00225AD0" w:rsidRPr="00225AD0" w:rsidRDefault="00225AD0" w:rsidP="00225AD0">
            <w:pPr>
              <w:spacing w:after="142" w:line="240" w:lineRule="auto"/>
              <w:rPr>
                <w:rFonts w:eastAsia="Times New Roman" w:cstheme="minorHAnsi"/>
                <w:sz w:val="24"/>
                <w:szCs w:val="24"/>
                <w:lang w:eastAsia="en-CA"/>
              </w:rPr>
            </w:pPr>
            <w:r w:rsidRPr="00225AD0">
              <w:rPr>
                <w:rFonts w:eastAsia="Times New Roman" w:cstheme="minorHAnsi"/>
                <w:color w:val="000000"/>
                <w:sz w:val="24"/>
                <w:szCs w:val="24"/>
                <w:lang w:eastAsia="en-CA"/>
              </w:rPr>
              <w:t>W1 = W2</w:t>
            </w:r>
          </w:p>
        </w:tc>
      </w:tr>
    </w:tbl>
    <w:bookmarkEnd w:id="0"/>
    <w:p w14:paraId="4B2DB1C0" w14:textId="2F6D0068" w:rsidR="00C30E4D" w:rsidRDefault="00225AD0" w:rsidP="00225AD0">
      <w:pPr>
        <w:pStyle w:val="ListParagraph"/>
        <w:autoSpaceDE w:val="0"/>
        <w:autoSpaceDN w:val="0"/>
        <w:adjustRightInd w:val="0"/>
        <w:spacing w:after="0" w:line="240" w:lineRule="auto"/>
        <w:rPr>
          <w:rFonts w:cs="Times New Roman"/>
          <w:sz w:val="24"/>
          <w:szCs w:val="24"/>
        </w:rPr>
      </w:pPr>
      <w:r>
        <w:rPr>
          <w:rFonts w:cs="Times New Roman"/>
          <w:sz w:val="24"/>
          <w:szCs w:val="24"/>
        </w:rPr>
        <w:t>When we split this up by familiar/unfamiliar – lose power. That info in supplementary. Changes only in Aud. U and F don’t differ.</w:t>
      </w:r>
    </w:p>
    <w:p w14:paraId="2FB14AAA" w14:textId="77777777" w:rsidR="00225AD0" w:rsidRDefault="00225AD0" w:rsidP="00225AD0">
      <w:pPr>
        <w:pStyle w:val="ListParagraph"/>
        <w:numPr>
          <w:ilvl w:val="0"/>
          <w:numId w:val="1"/>
        </w:numPr>
        <w:autoSpaceDE w:val="0"/>
        <w:autoSpaceDN w:val="0"/>
        <w:adjustRightInd w:val="0"/>
        <w:spacing w:after="0" w:line="240" w:lineRule="auto"/>
        <w:rPr>
          <w:rFonts w:cs="Times New Roman"/>
          <w:sz w:val="24"/>
          <w:szCs w:val="24"/>
        </w:rPr>
      </w:pPr>
      <w:r>
        <w:rPr>
          <w:rFonts w:cs="Times New Roman"/>
          <w:sz w:val="24"/>
          <w:szCs w:val="24"/>
        </w:rPr>
        <w:t xml:space="preserve">Similar patterns in Whole brain </w:t>
      </w:r>
    </w:p>
    <w:p w14:paraId="2584C371" w14:textId="77777777" w:rsidR="00225AD0" w:rsidRDefault="00225AD0" w:rsidP="00225AD0">
      <w:pPr>
        <w:pStyle w:val="ListParagraph"/>
        <w:autoSpaceDE w:val="0"/>
        <w:autoSpaceDN w:val="0"/>
        <w:adjustRightInd w:val="0"/>
        <w:spacing w:after="0" w:line="240" w:lineRule="auto"/>
        <w:rPr>
          <w:rFonts w:eastAsia="Times New Roman" w:cstheme="minorHAnsi"/>
          <w:color w:val="000000"/>
          <w:sz w:val="24"/>
          <w:szCs w:val="24"/>
          <w:lang w:eastAsia="en-CA"/>
        </w:rPr>
      </w:pPr>
      <w:r w:rsidRPr="00225AD0">
        <w:rPr>
          <w:rFonts w:eastAsia="Times New Roman" w:cstheme="minorHAnsi"/>
          <w:color w:val="000000"/>
          <w:sz w:val="24"/>
          <w:szCs w:val="24"/>
          <w:lang w:eastAsia="en-CA"/>
        </w:rPr>
        <w:t>A1 &gt; A2</w:t>
      </w:r>
    </w:p>
    <w:p w14:paraId="19CCAF71" w14:textId="77777777" w:rsidR="00225AD0" w:rsidRDefault="00225AD0" w:rsidP="00225AD0">
      <w:pPr>
        <w:pStyle w:val="ListParagraph"/>
        <w:autoSpaceDE w:val="0"/>
        <w:autoSpaceDN w:val="0"/>
        <w:adjustRightInd w:val="0"/>
        <w:spacing w:after="0" w:line="240" w:lineRule="auto"/>
        <w:rPr>
          <w:rFonts w:eastAsia="Times New Roman" w:cstheme="minorHAnsi"/>
          <w:color w:val="000000"/>
          <w:sz w:val="24"/>
          <w:szCs w:val="24"/>
          <w:lang w:eastAsia="en-CA"/>
        </w:rPr>
      </w:pPr>
      <w:r w:rsidRPr="00225AD0">
        <w:rPr>
          <w:rFonts w:eastAsia="Times New Roman" w:cstheme="minorHAnsi"/>
          <w:color w:val="000000"/>
          <w:sz w:val="24"/>
          <w:szCs w:val="24"/>
          <w:lang w:eastAsia="en-CA"/>
        </w:rPr>
        <w:t>I1 = I2</w:t>
      </w:r>
    </w:p>
    <w:p w14:paraId="66FC6782" w14:textId="77777777" w:rsidR="00225AD0" w:rsidRDefault="00225AD0" w:rsidP="00225AD0">
      <w:pPr>
        <w:pStyle w:val="ListParagraph"/>
        <w:autoSpaceDE w:val="0"/>
        <w:autoSpaceDN w:val="0"/>
        <w:adjustRightInd w:val="0"/>
        <w:spacing w:after="0" w:line="240" w:lineRule="auto"/>
        <w:rPr>
          <w:rFonts w:eastAsia="Times New Roman" w:cstheme="minorHAnsi"/>
          <w:color w:val="000000"/>
          <w:sz w:val="24"/>
          <w:szCs w:val="24"/>
          <w:lang w:eastAsia="en-CA"/>
        </w:rPr>
      </w:pPr>
      <w:r w:rsidRPr="00225AD0">
        <w:rPr>
          <w:rFonts w:eastAsia="Times New Roman" w:cstheme="minorHAnsi"/>
          <w:color w:val="000000"/>
          <w:sz w:val="24"/>
          <w:szCs w:val="24"/>
          <w:lang w:eastAsia="en-CA"/>
        </w:rPr>
        <w:t>S1 &gt; S2</w:t>
      </w:r>
    </w:p>
    <w:p w14:paraId="043B5346" w14:textId="77777777" w:rsidR="00225AD0" w:rsidRDefault="00225AD0" w:rsidP="00225AD0">
      <w:pPr>
        <w:pStyle w:val="ListParagraph"/>
        <w:autoSpaceDE w:val="0"/>
        <w:autoSpaceDN w:val="0"/>
        <w:adjustRightInd w:val="0"/>
        <w:spacing w:after="0" w:line="240" w:lineRule="auto"/>
        <w:rPr>
          <w:rFonts w:eastAsia="Times New Roman" w:cstheme="minorHAnsi"/>
          <w:color w:val="000000"/>
          <w:sz w:val="24"/>
          <w:szCs w:val="24"/>
          <w:lang w:eastAsia="en-CA"/>
        </w:rPr>
      </w:pPr>
      <w:r w:rsidRPr="00225AD0">
        <w:rPr>
          <w:rFonts w:eastAsia="Times New Roman" w:cstheme="minorHAnsi"/>
          <w:color w:val="000000"/>
          <w:sz w:val="24"/>
          <w:szCs w:val="24"/>
          <w:lang w:eastAsia="en-CA"/>
        </w:rPr>
        <w:t>W1 &gt; W2 (auditory)</w:t>
      </w:r>
    </w:p>
    <w:p w14:paraId="5384F9B9" w14:textId="67034A03" w:rsidR="00225AD0" w:rsidRPr="00C30E4D" w:rsidRDefault="00225AD0" w:rsidP="00225AD0">
      <w:pPr>
        <w:pStyle w:val="ListParagraph"/>
        <w:autoSpaceDE w:val="0"/>
        <w:autoSpaceDN w:val="0"/>
        <w:adjustRightInd w:val="0"/>
        <w:spacing w:after="0" w:line="240" w:lineRule="auto"/>
        <w:rPr>
          <w:rFonts w:cs="Times New Roman"/>
          <w:sz w:val="24"/>
          <w:szCs w:val="24"/>
        </w:rPr>
      </w:pPr>
      <w:r w:rsidRPr="00225AD0">
        <w:rPr>
          <w:rFonts w:eastAsia="Times New Roman" w:cstheme="minorHAnsi"/>
          <w:color w:val="000000"/>
          <w:sz w:val="24"/>
          <w:szCs w:val="24"/>
          <w:lang w:eastAsia="en-CA"/>
        </w:rPr>
        <w:t>W2 &gt; W1 (insula cluster)</w:t>
      </w:r>
    </w:p>
    <w:p w14:paraId="5E246C7B" w14:textId="77777777" w:rsidR="00225AD0" w:rsidRPr="00225AD0" w:rsidRDefault="00225AD0" w:rsidP="00225AD0">
      <w:pPr>
        <w:pStyle w:val="ListParagraph"/>
        <w:autoSpaceDE w:val="0"/>
        <w:autoSpaceDN w:val="0"/>
        <w:adjustRightInd w:val="0"/>
        <w:spacing w:after="0" w:line="240" w:lineRule="auto"/>
        <w:rPr>
          <w:rFonts w:cs="Times New Roman"/>
          <w:sz w:val="24"/>
          <w:szCs w:val="24"/>
        </w:rPr>
      </w:pPr>
    </w:p>
    <w:p w14:paraId="56AB5755" w14:textId="77777777" w:rsidR="00225AD0" w:rsidRDefault="00225AD0" w:rsidP="007B26AA">
      <w:pPr>
        <w:autoSpaceDE w:val="0"/>
        <w:autoSpaceDN w:val="0"/>
        <w:adjustRightInd w:val="0"/>
        <w:spacing w:after="0" w:line="360" w:lineRule="auto"/>
        <w:rPr>
          <w:rFonts w:cs="Times New Roman"/>
          <w:b/>
          <w:sz w:val="24"/>
          <w:szCs w:val="24"/>
        </w:rPr>
      </w:pPr>
    </w:p>
    <w:p w14:paraId="3308EC84" w14:textId="77777777" w:rsidR="00C30E4D" w:rsidRDefault="00C30E4D" w:rsidP="007B26AA">
      <w:pPr>
        <w:autoSpaceDE w:val="0"/>
        <w:autoSpaceDN w:val="0"/>
        <w:adjustRightInd w:val="0"/>
        <w:spacing w:after="0" w:line="360" w:lineRule="auto"/>
        <w:rPr>
          <w:rFonts w:cs="Times New Roman"/>
          <w:b/>
          <w:sz w:val="24"/>
          <w:szCs w:val="24"/>
        </w:rPr>
      </w:pPr>
    </w:p>
    <w:p w14:paraId="40CF2FE7" w14:textId="77777777" w:rsidR="007B26AA" w:rsidRDefault="007B26AA" w:rsidP="007B26AA">
      <w:pPr>
        <w:autoSpaceDE w:val="0"/>
        <w:autoSpaceDN w:val="0"/>
        <w:adjustRightInd w:val="0"/>
        <w:spacing w:after="0" w:line="360" w:lineRule="auto"/>
        <w:jc w:val="center"/>
        <w:rPr>
          <w:rFonts w:cs="Times New Roman"/>
          <w:b/>
          <w:sz w:val="24"/>
          <w:szCs w:val="24"/>
        </w:rPr>
      </w:pPr>
      <w:r>
        <w:rPr>
          <w:rFonts w:cs="Times New Roman"/>
          <w:b/>
          <w:sz w:val="24"/>
          <w:szCs w:val="24"/>
        </w:rPr>
        <w:t>Discussion</w:t>
      </w:r>
    </w:p>
    <w:p w14:paraId="589112B2" w14:textId="3CB21144" w:rsidR="00BC1804" w:rsidRDefault="00BC1804" w:rsidP="003F54E4">
      <w:pPr>
        <w:autoSpaceDE w:val="0"/>
        <w:autoSpaceDN w:val="0"/>
        <w:adjustRightInd w:val="0"/>
        <w:spacing w:after="0" w:line="360" w:lineRule="auto"/>
        <w:rPr>
          <w:rFonts w:cs="Times New Roman"/>
          <w:sz w:val="24"/>
          <w:szCs w:val="24"/>
        </w:rPr>
      </w:pPr>
      <w:r>
        <w:rPr>
          <w:rFonts w:cs="Times New Roman"/>
          <w:sz w:val="24"/>
          <w:szCs w:val="24"/>
        </w:rPr>
        <w:t xml:space="preserve">If we see main differences, they are in spoken. </w:t>
      </w:r>
    </w:p>
    <w:p w14:paraId="164D323A" w14:textId="0D56B330" w:rsidR="00BC1804" w:rsidRDefault="00BC1804" w:rsidP="003F54E4">
      <w:pPr>
        <w:autoSpaceDE w:val="0"/>
        <w:autoSpaceDN w:val="0"/>
        <w:adjustRightInd w:val="0"/>
        <w:spacing w:after="0" w:line="360" w:lineRule="auto"/>
        <w:rPr>
          <w:rFonts w:cs="Times New Roman"/>
          <w:sz w:val="24"/>
          <w:szCs w:val="24"/>
        </w:rPr>
      </w:pPr>
      <w:r>
        <w:rPr>
          <w:rFonts w:cs="Times New Roman"/>
          <w:sz w:val="24"/>
          <w:szCs w:val="24"/>
        </w:rPr>
        <w:t>Familiarity doesn’t matter – repetition effects</w:t>
      </w:r>
    </w:p>
    <w:p w14:paraId="676D7A7F" w14:textId="18ADA49E" w:rsidR="003F54E4" w:rsidRDefault="003F54E4" w:rsidP="003F54E4">
      <w:pPr>
        <w:autoSpaceDE w:val="0"/>
        <w:autoSpaceDN w:val="0"/>
        <w:adjustRightInd w:val="0"/>
        <w:spacing w:after="0" w:line="360" w:lineRule="auto"/>
        <w:rPr>
          <w:rFonts w:cs="Times New Roman"/>
          <w:sz w:val="24"/>
          <w:szCs w:val="24"/>
        </w:rPr>
      </w:pPr>
      <w:r>
        <w:rPr>
          <w:rFonts w:cs="Times New Roman"/>
          <w:sz w:val="24"/>
          <w:szCs w:val="24"/>
        </w:rPr>
        <w:t xml:space="preserve">Bring in consciousness piece – about how ISC may be a measure for understanding how we and others perceive our world. </w:t>
      </w:r>
    </w:p>
    <w:p w14:paraId="6E014236" w14:textId="77777777" w:rsidR="003F54E4" w:rsidRDefault="003F54E4" w:rsidP="003F54E4">
      <w:pPr>
        <w:autoSpaceDE w:val="0"/>
        <w:autoSpaceDN w:val="0"/>
        <w:adjustRightInd w:val="0"/>
        <w:spacing w:after="0" w:line="360" w:lineRule="auto"/>
        <w:rPr>
          <w:rFonts w:cs="Times New Roman"/>
          <w:sz w:val="24"/>
          <w:szCs w:val="24"/>
        </w:rPr>
      </w:pPr>
      <w:r>
        <w:rPr>
          <w:rFonts w:cs="Times New Roman"/>
          <w:sz w:val="24"/>
          <w:szCs w:val="24"/>
        </w:rPr>
        <w:t>Future research – older adults.</w:t>
      </w:r>
    </w:p>
    <w:p w14:paraId="1DCD5EEA" w14:textId="77777777" w:rsidR="00C5594D" w:rsidRDefault="00C5594D" w:rsidP="00C5594D">
      <w:pPr>
        <w:spacing w:line="360" w:lineRule="auto"/>
        <w:rPr>
          <w:sz w:val="24"/>
          <w:szCs w:val="24"/>
        </w:rPr>
      </w:pPr>
      <w:r>
        <w:rPr>
          <w:sz w:val="24"/>
          <w:szCs w:val="24"/>
        </w:rPr>
        <w:t>You synchronize to naturalistic stimuli whether you like it or not.</w:t>
      </w:r>
    </w:p>
    <w:p w14:paraId="5C540193" w14:textId="77777777" w:rsidR="00C5594D" w:rsidRPr="003F54E4" w:rsidRDefault="00C5594D" w:rsidP="003F54E4">
      <w:pPr>
        <w:autoSpaceDE w:val="0"/>
        <w:autoSpaceDN w:val="0"/>
        <w:adjustRightInd w:val="0"/>
        <w:spacing w:after="0" w:line="360" w:lineRule="auto"/>
        <w:rPr>
          <w:rFonts w:cs="Times New Roman"/>
          <w:sz w:val="24"/>
          <w:szCs w:val="24"/>
        </w:rPr>
      </w:pPr>
    </w:p>
    <w:sectPr w:rsidR="00C5594D" w:rsidRPr="003F54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00D4E"/>
    <w:multiLevelType w:val="hybridMultilevel"/>
    <w:tmpl w:val="4F780D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17"/>
    <w:rsid w:val="000C2887"/>
    <w:rsid w:val="000D6417"/>
    <w:rsid w:val="000E1D8C"/>
    <w:rsid w:val="001027BB"/>
    <w:rsid w:val="001155DF"/>
    <w:rsid w:val="001B4A2A"/>
    <w:rsid w:val="001C181C"/>
    <w:rsid w:val="00216A2A"/>
    <w:rsid w:val="00225AD0"/>
    <w:rsid w:val="00244D18"/>
    <w:rsid w:val="002B2F97"/>
    <w:rsid w:val="00381726"/>
    <w:rsid w:val="00386C6A"/>
    <w:rsid w:val="00390BA9"/>
    <w:rsid w:val="003F54E4"/>
    <w:rsid w:val="004032A0"/>
    <w:rsid w:val="0044387F"/>
    <w:rsid w:val="004438A7"/>
    <w:rsid w:val="0045744B"/>
    <w:rsid w:val="00486A17"/>
    <w:rsid w:val="00496AC8"/>
    <w:rsid w:val="004E158C"/>
    <w:rsid w:val="004F26CA"/>
    <w:rsid w:val="0053529F"/>
    <w:rsid w:val="005453B1"/>
    <w:rsid w:val="00551780"/>
    <w:rsid w:val="005727F0"/>
    <w:rsid w:val="0059119A"/>
    <w:rsid w:val="005A0659"/>
    <w:rsid w:val="005E1290"/>
    <w:rsid w:val="0060396B"/>
    <w:rsid w:val="006062A5"/>
    <w:rsid w:val="00617EF2"/>
    <w:rsid w:val="00632919"/>
    <w:rsid w:val="00652363"/>
    <w:rsid w:val="00667A42"/>
    <w:rsid w:val="006802D1"/>
    <w:rsid w:val="006D1362"/>
    <w:rsid w:val="006D6117"/>
    <w:rsid w:val="00705359"/>
    <w:rsid w:val="007366F3"/>
    <w:rsid w:val="00737B30"/>
    <w:rsid w:val="007752A0"/>
    <w:rsid w:val="00784DC7"/>
    <w:rsid w:val="007B26AA"/>
    <w:rsid w:val="007C4A0C"/>
    <w:rsid w:val="007D4545"/>
    <w:rsid w:val="008008DE"/>
    <w:rsid w:val="00810DB7"/>
    <w:rsid w:val="00820827"/>
    <w:rsid w:val="008537DD"/>
    <w:rsid w:val="008D15D6"/>
    <w:rsid w:val="008F2EB7"/>
    <w:rsid w:val="008F7FFE"/>
    <w:rsid w:val="00942867"/>
    <w:rsid w:val="009C42AE"/>
    <w:rsid w:val="009E5911"/>
    <w:rsid w:val="00A60911"/>
    <w:rsid w:val="00A66329"/>
    <w:rsid w:val="00AC130B"/>
    <w:rsid w:val="00B600D0"/>
    <w:rsid w:val="00B911F4"/>
    <w:rsid w:val="00BB7933"/>
    <w:rsid w:val="00BC1804"/>
    <w:rsid w:val="00BE21E3"/>
    <w:rsid w:val="00C30E4D"/>
    <w:rsid w:val="00C42846"/>
    <w:rsid w:val="00C45BFD"/>
    <w:rsid w:val="00C51182"/>
    <w:rsid w:val="00C5594D"/>
    <w:rsid w:val="00CE5612"/>
    <w:rsid w:val="00D37E8A"/>
    <w:rsid w:val="00D6595D"/>
    <w:rsid w:val="00D81A03"/>
    <w:rsid w:val="00D829AE"/>
    <w:rsid w:val="00E03945"/>
    <w:rsid w:val="00E2099D"/>
    <w:rsid w:val="00E239F1"/>
    <w:rsid w:val="00E56811"/>
    <w:rsid w:val="00E615D1"/>
    <w:rsid w:val="00EA2256"/>
    <w:rsid w:val="00EB7E2D"/>
    <w:rsid w:val="00ED2CF8"/>
    <w:rsid w:val="00ED4BAA"/>
    <w:rsid w:val="00F56379"/>
    <w:rsid w:val="00F75649"/>
    <w:rsid w:val="00FC3615"/>
    <w:rsid w:val="00FE7CE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E8564"/>
  <w15:docId w15:val="{888930CE-3DBD-41E9-AE4E-A84299E2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649"/>
    <w:pPr>
      <w:ind w:left="720"/>
      <w:contextualSpacing/>
    </w:pPr>
  </w:style>
  <w:style w:type="paragraph" w:styleId="NormalWeb">
    <w:name w:val="Normal (Web)"/>
    <w:basedOn w:val="Normal"/>
    <w:uiPriority w:val="99"/>
    <w:semiHidden/>
    <w:unhideWhenUsed/>
    <w:rsid w:val="008008DE"/>
    <w:rPr>
      <w:rFonts w:ascii="Times New Roman" w:hAnsi="Times New Roman" w:cs="Times New Roman"/>
      <w:sz w:val="24"/>
      <w:szCs w:val="24"/>
    </w:rPr>
  </w:style>
  <w:style w:type="character" w:styleId="Hyperlink">
    <w:name w:val="Hyperlink"/>
    <w:basedOn w:val="DefaultParagraphFont"/>
    <w:uiPriority w:val="99"/>
    <w:unhideWhenUsed/>
    <w:rsid w:val="00737B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885501">
      <w:bodyDiv w:val="1"/>
      <w:marLeft w:val="0"/>
      <w:marRight w:val="0"/>
      <w:marTop w:val="0"/>
      <w:marBottom w:val="0"/>
      <w:divBdr>
        <w:top w:val="none" w:sz="0" w:space="0" w:color="auto"/>
        <w:left w:val="none" w:sz="0" w:space="0" w:color="auto"/>
        <w:bottom w:val="none" w:sz="0" w:space="0" w:color="auto"/>
        <w:right w:val="none" w:sz="0" w:space="0" w:color="auto"/>
      </w:divBdr>
    </w:div>
    <w:div w:id="847645306">
      <w:bodyDiv w:val="1"/>
      <w:marLeft w:val="0"/>
      <w:marRight w:val="0"/>
      <w:marTop w:val="0"/>
      <w:marBottom w:val="0"/>
      <w:divBdr>
        <w:top w:val="none" w:sz="0" w:space="0" w:color="auto"/>
        <w:left w:val="none" w:sz="0" w:space="0" w:color="auto"/>
        <w:bottom w:val="none" w:sz="0" w:space="0" w:color="auto"/>
        <w:right w:val="none" w:sz="0" w:space="0" w:color="auto"/>
      </w:divBdr>
    </w:div>
    <w:div w:id="976447529">
      <w:bodyDiv w:val="1"/>
      <w:marLeft w:val="0"/>
      <w:marRight w:val="0"/>
      <w:marTop w:val="0"/>
      <w:marBottom w:val="0"/>
      <w:divBdr>
        <w:top w:val="none" w:sz="0" w:space="0" w:color="auto"/>
        <w:left w:val="none" w:sz="0" w:space="0" w:color="auto"/>
        <w:bottom w:val="none" w:sz="0" w:space="0" w:color="auto"/>
        <w:right w:val="none" w:sz="0" w:space="0" w:color="auto"/>
      </w:divBdr>
    </w:div>
    <w:div w:id="1328706068">
      <w:bodyDiv w:val="1"/>
      <w:marLeft w:val="0"/>
      <w:marRight w:val="0"/>
      <w:marTop w:val="0"/>
      <w:marBottom w:val="0"/>
      <w:divBdr>
        <w:top w:val="none" w:sz="0" w:space="0" w:color="auto"/>
        <w:left w:val="none" w:sz="0" w:space="0" w:color="auto"/>
        <w:bottom w:val="none" w:sz="0" w:space="0" w:color="auto"/>
        <w:right w:val="none" w:sz="0" w:space="0" w:color="auto"/>
      </w:divBdr>
    </w:div>
    <w:div w:id="1847094485">
      <w:bodyDiv w:val="1"/>
      <w:marLeft w:val="0"/>
      <w:marRight w:val="0"/>
      <w:marTop w:val="0"/>
      <w:marBottom w:val="0"/>
      <w:divBdr>
        <w:top w:val="none" w:sz="0" w:space="0" w:color="auto"/>
        <w:left w:val="none" w:sz="0" w:space="0" w:color="auto"/>
        <w:bottom w:val="none" w:sz="0" w:space="0" w:color="auto"/>
        <w:right w:val="none" w:sz="0" w:space="0" w:color="auto"/>
      </w:divBdr>
    </w:div>
    <w:div w:id="192972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usacklab.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3223B-378A-43F9-B005-A2D6D256C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6</Pages>
  <Words>4326</Words>
  <Characters>24660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57</cp:revision>
  <dcterms:created xsi:type="dcterms:W3CDTF">2018-09-25T17:27:00Z</dcterms:created>
  <dcterms:modified xsi:type="dcterms:W3CDTF">2018-12-14T17:20:00Z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2228961c-4287-3a75-9135-250a27461674</vt:lpwstr>
  </property>
  <property fmtid="{D5CDD505-2E9C-101B-9397-08002B2CF9AE}" pid="4" name="Mendeley Citation Style_1">
    <vt:lpwstr>http://csl.mendeley.com/styles/29242231/apa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http://csl.mendeley.com/styles/29242231/apa</vt:lpwstr>
  </property>
  <property fmtid="{D5CDD505-2E9C-101B-9397-08002B2CF9AE}" pid="10" name="Mendeley Recent Style Name 2_1">
    <vt:lpwstr>American Psychological Association 6th edition - Avital Sternin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