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249205" w14:textId="77777777" w:rsidR="003408D8" w:rsidRPr="004F1665" w:rsidRDefault="003408D8" w:rsidP="003408D8">
      <w:pPr>
        <w:ind w:firstLine="720"/>
        <w:rPr>
          <w:rFonts w:eastAsia="Calibri"/>
          <w:szCs w:val="24"/>
          <w:lang w:val="en-CA"/>
        </w:rPr>
      </w:pPr>
      <w:r w:rsidRPr="004F1665">
        <w:rPr>
          <w:rFonts w:eastAsia="Calibri"/>
          <w:szCs w:val="24"/>
          <w:lang w:val="en-CA"/>
        </w:rPr>
        <w:t xml:space="preserve">Group-level synchronization of BOLD activity has previously been used as a measure of the degree of similarity of perceptual and executive processing across a group of healthy participants </w:t>
      </w:r>
      <w:r w:rsidRPr="004F1665">
        <w:rPr>
          <w:rFonts w:eastAsia="Calibri"/>
          <w:szCs w:val="24"/>
          <w:lang w:val="en-CA"/>
        </w:rPr>
        <w:fldChar w:fldCharType="begin" w:fldLock="1"/>
      </w:r>
      <w:r w:rsidRPr="004F1665">
        <w:rPr>
          <w:rFonts w:eastAsia="Calibri"/>
          <w:szCs w:val="24"/>
          <w:lang w:val="en-CA"/>
        </w:rPr>
        <w:instrText>ADDIN CSL_CITATION { "citationItems" : [ { "id" : "ITEM-1", "itemData" : { "DOI" : "10.1126/science.1089506", "ISBN" : "1095-9203 (Electronic)", "ISSN" : "0036-8075", "PMID" : "15016991", "abstract" : "To what extent do all brains work alike during natural conditions? We explored this question by letting five subjects freely view half an hour of a popular movie while undergoing functional brain imaging. Applying an unbiased analysis in which spatiotemporal activity patterns in one brain were used to \"model\" activity in another brain, we found a striking level of voxel-by-voxel synchronization between individuals, not only in primary and secondary visual and auditory areas but also in association cortices. The results reveal a surprising tendency of individual brains to \"tick collectively\" during natural vision. The intersubject synchronization consisted of a widespread cortical activation pattern correlated with emotionally arousing scenes and regionally selective components. The characteristics of these activations were revealed with the use of an open-ended \"reverse-correlation\" approach, which inverts the conventional analysis by letting the brain signals themselves \"pick up\" the optimal stimuli for each specialized cortical area.", "author" : [ { "dropping-particle" : "", "family" : "Hasson", "given" : "Uri", "non-dropping-particle" : "", "parse-names" : false, "suffix" : "" }, { "dropping-particle" : "", "family" : "Nir", "given" : "Y.", "non-dropping-particle" : "", "parse-names" : false, "suffix" : "" }, { "dropping-particle" : "", "family" : "Levy", "given" : "I.", "non-dropping-particle" : "", "parse-names" : false, "suffix" : "" }, { "dropping-particle" : "", "family" : "Fuhrmann", "given" : "G.", "non-dropping-particle" : "", "parse-names" : false, "suffix" : "" }, { "dropping-particle" : "", "family" : "Malach", "given" : "R.", "non-dropping-particle" : "", "parse-names" : false, "suffix" : "" } ], "container-title" : "Science", "id" : "ITEM-1", "issue" : "5664", "issued" : { "date-parts" : [ [ "2004" ] ] }, "page" : "1634\u20131640", "title" : "Intersubject Synchronization of Cortical Activity DuringNatural Vision", "type" : "article-journal", "volume" : "303" }, "uris" : [ "http://www.mendeley.com/documents/?uuid=d3ad50cc-124c-4c93-a5f2-f787d3a5bd53" ] }, { "id" : "ITEM-2", "itemData" : { "DOI" : "10.1016/j.neuroimage.2015.11.059", "ISBN" : "1053-8119", "ISSN" : "10959572", "PMID" : "26679327", "abstract" : "Decoding the contents of consciousness from brain activity is one of the most challenging frontiers of cognitive neuroscience. The ability to interpret mental content without recourse to behavior is most relevant for understanding patients who may be demonstrably conscious, but entirely unable to speak or move willfully in any way, precluding any systematic investigation of their conscious experience. The lack of consistent behavioral responsivity engenders unique challenges to decoding any conscious experiences these patients may have solely based on their brain activity. For this reason, paradigms that have been successful in healthy individuals cannot serve to interpret conscious mental states in this patient group. Until recently, patient studies have used structured instructions to elicit willful modulation of brain activity according to command, in order to decode the presence of willful brain-based responses in this patient group. In recent work, we have used naturalistic paradigms, such as watching a movie or listening to an audio-story, to demonstrate that a common neural code supports conscious experiences in different individuals. Moreover, we have demonstrated that this code can be used to interpret the conscious experiences of a patient who had remained non-responsive for several years. This approach is easy to administer, brief, and does not require compliance with task instructions. Rather, it engages attention naturally through meaningful stimuli that are similar to the real-world sensory information in a patient's environment. Therefore, it may be particularly suited to probing consciousness and revealing residual brain function in highly impaired, acute, patients in a comatose state, thus helping to improve diagnostication and prognostication for this vulnerable patient group from the critical early stages of severe brain-injury.", "author" : [ { "dropping-particle" : "", "family" : "Naci", "given" : "Lorina", "non-dropping-particle" : "", "parse-names" : false, "suffix" : "" }, { "dropping-particle" : "", "family" : "Sinai", "given" : "Leah J", "non-dropping-particle" : "", "parse-names" : false, "suffix" : "" }, { "dropping-particle" : "", "family" : "Owen", "given" : "Adrian M.", "non-dropping-particle" : "", "parse-names" : false, "suffix" : "" } ], "container-title" : "NeuroImage", "id" : "ITEM-2", "issued" : { "date-parts" : [ [ "2015" ] ] }, "publisher" : "Elsevier Inc.", "title" : "Detecting and interpreting conscious experiences in behaviorally non-responsive patients", "type" : "article-journal" }, "uris" : [ "http://www.mendeley.com/documents/?uuid=fdc876b4-4c6d-4ade-81f6-20933e638d7c" ] } ], "mendeley" : { "formattedCitation" : "(Hasson et al., 2004; Naci et al., 2015)", "plainTextFormattedCitation" : "(Hasson et al., 2004; Naci et al., 2015)", "previouslyFormattedCitation" : "(Hasson et al., 2004; Naci et al., 2015)" }, "properties" : { "noteIndex" : 0 }, "schema" : "https://github.com/citation-style-language/schema/raw/master/csl-citation.json" }</w:instrText>
      </w:r>
      <w:r w:rsidRPr="004F1665">
        <w:rPr>
          <w:rFonts w:eastAsia="Calibri"/>
          <w:szCs w:val="24"/>
          <w:lang w:val="en-CA"/>
        </w:rPr>
        <w:fldChar w:fldCharType="separate"/>
      </w:r>
      <w:r w:rsidRPr="004F1665">
        <w:rPr>
          <w:rFonts w:eastAsia="Calibri"/>
          <w:noProof/>
          <w:szCs w:val="24"/>
          <w:lang w:val="en-CA"/>
        </w:rPr>
        <w:t xml:space="preserve">(Hasson </w:t>
      </w:r>
      <w:r w:rsidRPr="00A738B8">
        <w:rPr>
          <w:rFonts w:eastAsia="Calibri"/>
          <w:i/>
          <w:noProof/>
          <w:szCs w:val="24"/>
          <w:lang w:val="en-CA"/>
        </w:rPr>
        <w:t>et al</w:t>
      </w:r>
      <w:r w:rsidRPr="004F1665">
        <w:rPr>
          <w:rFonts w:eastAsia="Calibri"/>
          <w:noProof/>
          <w:szCs w:val="24"/>
          <w:lang w:val="en-CA"/>
        </w:rPr>
        <w:t xml:space="preserve">., 2004; Naci </w:t>
      </w:r>
      <w:r w:rsidRPr="00A738B8">
        <w:rPr>
          <w:rFonts w:eastAsia="Calibri"/>
          <w:i/>
          <w:noProof/>
          <w:szCs w:val="24"/>
          <w:lang w:val="en-CA"/>
        </w:rPr>
        <w:t>et al</w:t>
      </w:r>
      <w:r w:rsidRPr="004F1665">
        <w:rPr>
          <w:rFonts w:eastAsia="Calibri"/>
          <w:noProof/>
          <w:szCs w:val="24"/>
          <w:lang w:val="en-CA"/>
        </w:rPr>
        <w:t>., 2015)</w:t>
      </w:r>
      <w:r w:rsidRPr="004F1665">
        <w:rPr>
          <w:rFonts w:eastAsia="Calibri"/>
          <w:szCs w:val="24"/>
          <w:lang w:val="en-CA"/>
        </w:rPr>
        <w:fldChar w:fldCharType="end"/>
      </w:r>
      <w:r w:rsidRPr="004F1665">
        <w:rPr>
          <w:rFonts w:eastAsia="Calibri"/>
          <w:szCs w:val="24"/>
          <w:lang w:val="en-CA"/>
        </w:rPr>
        <w:t xml:space="preserve">, and also patients with DOC </w:t>
      </w:r>
      <w:r w:rsidRPr="004F1665">
        <w:rPr>
          <w:rFonts w:eastAsia="Calibri"/>
          <w:szCs w:val="24"/>
          <w:lang w:val="en-CA"/>
        </w:rPr>
        <w:fldChar w:fldCharType="begin" w:fldLock="1"/>
      </w:r>
      <w:r w:rsidRPr="004F1665">
        <w:rPr>
          <w:rFonts w:eastAsia="Calibri"/>
          <w:szCs w:val="24"/>
          <w:lang w:val="en-CA"/>
        </w:rPr>
        <w:instrText>ADDIN CSL_CITATION { "citationItems" : [ { "id" : "ITEM-1", "itemData" : { "DOI" : "10.1073/pnas.1407007111", "ISBN" : "1091-6490 (Electronic)\\r0027-8424 (Linking)", "ISSN" : "1091-6490", "PMID" : "25225384", "abstract" : "The interpretation of human consciousness from brain activity, without recourse to speech or action, is one of the most provoking and challenging frontiers of modern neuroscience. We asked whether there is a common neural code that underpins similar conscious experiences, which could be used to decode these experiences in the absence of behavior. To this end, we used richly evocative stimulation (an engaging movie) portraying real-world events to elicit a similar conscious experience in different people. Common neural correlates of conscious experience were quantified and related to measurable, quantitative and qualitative, executive components of the movie through two additional behavioral investigations. The movie's executive demands drove synchronized brain activity across healthy participants' frontal and parietal cortices in regions known to support executive function. Moreover, the timing of activity in these regions was predicted by participants' highly similar qualitative experience of the movie's moment-to-moment executive demands, suggesting that synchronization of activity across participants underpinned their similar experience. Thus we demonstrate, for the first time to our knowledge, that a neural index based on executive function reliably predicted every healthy individual's similar conscious experience in response to real-world events unfolding over time. This approach provided strong evidence for the conscious experience of a brain-injured patient, who had remained entirely behaviorally nonresponsive for 16 y. The patient's executive engagement and moment-to-moment perception of the movie content were highly similar to that of every healthy participant. These findings shed light on the common basis of human consciousness and enable the interpretation of conscious experience in the absence of behavior.", "author" : [ { "dropping-particle" : "", "family" : "Naci", "given" : "Lorina", "non-dropping-particle" : "", "parse-names" : false, "suffix" : "" }, { "dropping-particle" : "", "family" : "Cusack", "given" : "Rhodri", "non-dropping-particle" : "", "parse-names" : false, "suffix" : "" }, { "dropping-particle" : "", "family" : "Anello", "given" : "Mimma", "non-dropping-particle" : "", "parse-names" : false, "suffix" : "" }, { "dropping-particle" : "", "family" : "Owen", "given" : "Adrian M.", "non-dropping-particle" : "", "parse-names" : false, "suffix" : "" } ], "container-title" : "Proceedings of the National Academy of Sciences of the United States of America", "id" : "ITEM-1", "issue" : "39", "issued" : { "date-parts" : [ [ "2014" ] ] }, "page" : "14277-82", "title" : "A common neural code for similar conscious experiences in different individuals.", "type" : "article-journal", "volume" : "111" }, "uris" : [ "http://www.mendeley.com/documents/?uuid=f2b35b7c-0cae-4c16-9c6c-b38f036904a6" ] } ], "mendeley" : { "formattedCitation" : "(Naci et al., 2014)", "plainTextFormattedCitation" : "(Naci et al., 2014)", "previouslyFormattedCitation" : "(Naci et al., 2014)" }, "properties" : { "noteIndex" : 0 }, "schema" : "https://github.com/citation-style-language/schema/raw/master/csl-citation.json" }</w:instrText>
      </w:r>
      <w:r w:rsidRPr="004F1665">
        <w:rPr>
          <w:rFonts w:eastAsia="Calibri"/>
          <w:szCs w:val="24"/>
          <w:lang w:val="en-CA"/>
        </w:rPr>
        <w:fldChar w:fldCharType="separate"/>
      </w:r>
      <w:r w:rsidRPr="004F1665">
        <w:rPr>
          <w:rFonts w:eastAsia="Calibri"/>
          <w:noProof/>
          <w:szCs w:val="24"/>
          <w:lang w:val="en-CA"/>
        </w:rPr>
        <w:t xml:space="preserve">(Naci </w:t>
      </w:r>
      <w:r w:rsidRPr="00A738B8">
        <w:rPr>
          <w:rFonts w:eastAsia="Calibri"/>
          <w:i/>
          <w:noProof/>
          <w:szCs w:val="24"/>
          <w:lang w:val="en-CA"/>
        </w:rPr>
        <w:t>et al</w:t>
      </w:r>
      <w:r w:rsidRPr="004F1665">
        <w:rPr>
          <w:rFonts w:eastAsia="Calibri"/>
          <w:noProof/>
          <w:szCs w:val="24"/>
          <w:lang w:val="en-CA"/>
        </w:rPr>
        <w:t>., 2014)</w:t>
      </w:r>
      <w:r w:rsidRPr="004F1665">
        <w:rPr>
          <w:rFonts w:eastAsia="Calibri"/>
          <w:szCs w:val="24"/>
          <w:lang w:val="en-CA"/>
        </w:rPr>
        <w:fldChar w:fldCharType="end"/>
      </w:r>
      <w:r w:rsidRPr="004F1665">
        <w:rPr>
          <w:rFonts w:eastAsia="Calibri"/>
          <w:szCs w:val="24"/>
          <w:lang w:val="en-CA"/>
        </w:rPr>
        <w:t xml:space="preserve">. To measure inter-subject neural synchronization in EEG data acquired while participants listened to </w:t>
      </w:r>
      <w:r w:rsidRPr="004F1665">
        <w:rPr>
          <w:rFonts w:eastAsia="Calibri"/>
          <w:i/>
          <w:szCs w:val="24"/>
          <w:lang w:val="en-CA"/>
        </w:rPr>
        <w:t>“Taken”</w:t>
      </w:r>
      <w:r w:rsidRPr="004F1665">
        <w:rPr>
          <w:rFonts w:eastAsia="Calibri"/>
          <w:szCs w:val="24"/>
          <w:lang w:val="en-CA"/>
        </w:rPr>
        <w:t xml:space="preserve">, we ran a correlated components analysis. Originally developed by </w:t>
      </w:r>
      <w:r w:rsidRPr="004F1665">
        <w:rPr>
          <w:rFonts w:eastAsia="Calibri"/>
          <w:szCs w:val="24"/>
          <w:lang w:val="en-CA"/>
        </w:rPr>
        <w:fldChar w:fldCharType="begin" w:fldLock="1"/>
      </w:r>
      <w:r>
        <w:rPr>
          <w:rFonts w:eastAsia="Calibri"/>
          <w:szCs w:val="24"/>
          <w:lang w:val="en-CA"/>
        </w:rPr>
        <w:instrText>ADDIN CSL_CITATION { "citationItems" : [ { "id" : "ITEM-1", "itemData" : { "DOI" : "10.3389/fnhum.2012.00112", "ISBN" : "1662-5161 (Electronic)\\r1662-5161 (Linking)", "ISSN" : "1662-5161", "PMID" : "22623915", "abstract" : "Recent evidence from functional magnetic resonance imaging suggests that cortical hemodynamic responses coincide in different subjects experiencing a common naturalistic stimulus. Here we utilize neural responses in the electroencephalogram (EEG) evoked by multiple presentations of short film clips to index brain states marked by high levels of correlation within and across subjects. We formulate a novel signal decomposition method which extracts maximally correlated signal components from multiple EEG records. The resulting components capture correlations down to a one-second time resolution, thus revealing that peak correlations of neural activity across viewings can occur in remarkable correspondence with arousing moments of the film. Moreover, a significant reduction in neural correlation occurs upon a second viewing of the film or when the narrative is disrupted by presenting its scenes scrambled in time. We also probe oscillatory brain activity during periods of heightened correlation, and observe during such times a significant increase in the theta band for a frontal component and reductions in the alpha and beta frequency bands for parietal and occipital components. Low-resolution EEG tomography of these components suggests that the correlated neural activity is consistent with sources in the cingulate and orbitofrontal cortices. Put together, these results suggest that the observed synchrony reflects attention- and emotion-modulated cortical processing which may be decoded with high temporal resolution by extracting maximally correlated components of neural activity.", "author" : [ { "dropping-particle" : "", "family" : "Dmochowski", "given" : "Jacek P.", "non-dropping-particle" : "", "parse-names" : false, "suffix" : "" }, { "dropping-particle" : "", "family" : "Sajda", "given" : "Paul", "non-dropping-particle" : "", "parse-names" : false, "suffix" : "" }, { "dropping-particle" : "", "family" : "Dias", "given" : "Joao", "non-dropping-particle" : "", "parse-names" : false, "suffix" : "" }, { "dropping-particle" : "", "family" : "Parra", "given" : "Lucas C.", "non-dropping-particle" : "", "parse-names" : false, "suffix" : "" } ], "container-title" : "Frontiers in Human Neuroscience", "id" : "ITEM-1", "issue" : "May", "issued" : { "date-parts" : [ [ "2012" ] ] }, "page" : "112", "title" : "Correlated Components of Ongoing EEG Point to Emotionally Laden Attention \u2013 A Possible Marker of Engagement?", "type" : "article-journal", "volume" : "6" }, "uris" : [ "http://www.mendeley.com/documents/?uuid=efe0f996-fe1e-4f95-a7cd-fd557d8c05eb" ] } ], "mendeley" : { "formattedCitation" : "(Dmochowski et al., 2012)", "manualFormatting" : "Dmochowski et al. (2012)", "plainTextFormattedCitation" : "(Dmochowski et al., 2012)", "previouslyFormattedCitation" : "(Dmochowski et al., 2012)" }, "properties" : { "noteIndex" : 0 }, "schema" : "https://github.com/citation-style-language/schema/raw/master/csl-citation.json" }</w:instrText>
      </w:r>
      <w:r w:rsidRPr="004F1665">
        <w:rPr>
          <w:rFonts w:eastAsia="Calibri"/>
          <w:szCs w:val="24"/>
          <w:lang w:val="en-CA"/>
        </w:rPr>
        <w:fldChar w:fldCharType="separate"/>
      </w:r>
      <w:r w:rsidRPr="004F1665">
        <w:rPr>
          <w:rFonts w:eastAsia="Calibri"/>
          <w:noProof/>
          <w:szCs w:val="24"/>
          <w:lang w:val="en-CA"/>
        </w:rPr>
        <w:t xml:space="preserve">Dmochowski </w:t>
      </w:r>
      <w:r w:rsidRPr="00A738B8">
        <w:rPr>
          <w:rFonts w:eastAsia="Calibri"/>
          <w:i/>
          <w:noProof/>
          <w:szCs w:val="24"/>
          <w:lang w:val="en-CA"/>
        </w:rPr>
        <w:t>et al</w:t>
      </w:r>
      <w:r w:rsidRPr="004F1665">
        <w:rPr>
          <w:rFonts w:eastAsia="Calibri"/>
          <w:noProof/>
          <w:szCs w:val="24"/>
          <w:lang w:val="en-CA"/>
        </w:rPr>
        <w:t>. (2012)</w:t>
      </w:r>
      <w:r w:rsidRPr="004F1665">
        <w:rPr>
          <w:rFonts w:eastAsia="Calibri"/>
          <w:szCs w:val="24"/>
          <w:lang w:val="en-CA"/>
        </w:rPr>
        <w:fldChar w:fldCharType="end"/>
      </w:r>
      <w:r w:rsidRPr="004F1665">
        <w:rPr>
          <w:rFonts w:eastAsia="Calibri"/>
          <w:szCs w:val="24"/>
          <w:lang w:val="en-CA"/>
        </w:rPr>
        <w:t xml:space="preserve">, </w:t>
      </w:r>
      <w:proofErr w:type="spellStart"/>
      <w:r w:rsidRPr="004F1665">
        <w:rPr>
          <w:rFonts w:eastAsia="Calibri"/>
          <w:szCs w:val="24"/>
          <w:lang w:val="en-CA"/>
        </w:rPr>
        <w:t>rCA</w:t>
      </w:r>
      <w:proofErr w:type="spellEnd"/>
      <w:r w:rsidRPr="004F1665">
        <w:rPr>
          <w:rFonts w:eastAsia="Calibri"/>
          <w:szCs w:val="24"/>
          <w:lang w:val="en-CA"/>
        </w:rPr>
        <w:t xml:space="preserve"> was designed to identify discrete patterns of electrode activity that are maximally correlated between subjects during naturalistic stimulation. These components serve a similar purpose to those extracted from fMRI data using group-level ICA, in that they reflect common neural activity across subjects and can be used to investigate group-synchronization over time. A more recent version of the </w:t>
      </w:r>
      <w:proofErr w:type="spellStart"/>
      <w:r w:rsidRPr="004F1665">
        <w:rPr>
          <w:rFonts w:eastAsia="Calibri"/>
          <w:szCs w:val="24"/>
          <w:lang w:val="en-CA"/>
        </w:rPr>
        <w:t>rCA</w:t>
      </w:r>
      <w:proofErr w:type="spellEnd"/>
      <w:r w:rsidRPr="004F1665">
        <w:rPr>
          <w:rFonts w:eastAsia="Calibri"/>
          <w:szCs w:val="24"/>
          <w:lang w:val="en-CA"/>
        </w:rPr>
        <w:t xml:space="preserve"> procedure, formulated by </w:t>
      </w:r>
      <w:r w:rsidRPr="004F1665">
        <w:rPr>
          <w:rFonts w:eastAsia="Calibri"/>
          <w:szCs w:val="24"/>
          <w:lang w:val="en-CA"/>
        </w:rPr>
        <w:fldChar w:fldCharType="begin" w:fldLock="1"/>
      </w:r>
      <w:r w:rsidRPr="004F1665">
        <w:rPr>
          <w:rFonts w:eastAsia="Calibri"/>
          <w:szCs w:val="24"/>
          <w:lang w:val="en-CA"/>
        </w:rPr>
        <w:instrText>ADDIN CSL_CITATION { "citationItems" : [ { "id" : "ITEM-1", "itemData" : { "DOI" : "10.1523/JNEUROSCI.2942-15.2016", "ISBN" : "0270-6474", "ISSN" : "0270-6474", "PMID" : "26961961", "abstract" : "UNLABELLED: Attentional engagement is a major determinant of how effectively we gather information through our senses. Alongside the sheer growth in the amount and variety of information content that we are presented with through modern media, there is increased variability in the degree to which we \"absorb\" that information. Traditional research on attention has illuminated the basic principles of sensory selection to isolated features or locations, but it provides little insight into the neural underpinnings of our attentional engagement with modern naturalistic content. Here, we show in human subjects that the reliability of an individual's neural responses with respect to a larger group provides a highly robust index of the level of attentional engagement with a naturalistic narrative stimulus. Specifically, fast electroencephalographic evoked responses were more strongly correlated across subjects when naturally attending to auditory or audiovisual narratives than when attention was directed inward to a mental arithmetic task during stimulus presentation. This effect was strongest for audiovisual stimuli with a cohesive narrative and greatly reduced for speech stimuli lacking meaning. For compelling audiovisual narratives, the effect is remarkably strong, allowing perfect discrimination between attentional state across individuals. Control experiments rule out possible confounds related to altered eye movement trajectories or order of presentation. We conclude that reliability of evoked activity reproduced across subjects viewing the same movie is highly sensitive to the attentional state of the viewer and listener, which is aided by a cohesive narrative.\\n\\nSIGNIFICANCE STATEMENT: Modern technology has brought about a monumental surge in the availability of information. There is a pressing need for ways to measure and characterize attentional engagement and understand the causes of its waxing and waning in natural settings. The present study demonstrates that the degree of an individual's attentional engagement with naturalistic narrative stimuli is strongly predicted by the degree of similarity of his/her neural responses to a wider group. The effect is so strong that it enables perfect classification of attentional state across individuals for some narrative stimuli. As modern information content continues to diversify, such direct neural metrics will become increasingly important to manage and evaluate its effects on both the healthy and disord\u2026", "author" : [ { "dropping-particle" : "", "family" : "Ki", "given" : "J.", "non-dropping-particle" : "", "parse-names" : false, "suffix" : "" }, { "dropping-particle" : "", "family" : "Kelly", "given" : "S.", "non-dropping-particle" : "", "parse-names" : false, "suffix" : "" }, { "dropping-particle" : "", "family" : "Parra", "given" : "Lucas C.", "non-dropping-particle" : "", "parse-names" : false, "suffix" : "" } ], "container-title" : "Journal of Neuroscience", "id" : "ITEM-1", "issue" : "10", "issued" : { "date-parts" : [ [ "2016" ] ] }, "page" : "3092-3101", "title" : "Attention strongly modulates reliability of neural responses to naturalistic narrative stimuli.", "type" : "article-journal", "volume" : "36" }, "uris" : [ "http://www.mendeley.com/documents/?uuid=43a34963-e97f-4a9e-a323-c98fcd5bdab8" ] } ], "mendeley" : { "formattedCitation" : "(Ki et al., 2016)", "manualFormatting" : "Ki et al. (2016)", "plainTextFormattedCitation" : "(Ki et al., 2016)", "previouslyFormattedCitation" : "(Ki et al., 2016)" }, "properties" : { "noteIndex" : 0 }, "schema" : "https://github.com/citation-style-language/schema/raw/master/csl-citation.json" }</w:instrText>
      </w:r>
      <w:r w:rsidRPr="004F1665">
        <w:rPr>
          <w:rFonts w:eastAsia="Calibri"/>
          <w:szCs w:val="24"/>
          <w:lang w:val="en-CA"/>
        </w:rPr>
        <w:fldChar w:fldCharType="separate"/>
      </w:r>
      <w:r w:rsidRPr="004F1665">
        <w:rPr>
          <w:rFonts w:eastAsia="Calibri"/>
          <w:noProof/>
          <w:szCs w:val="24"/>
          <w:lang w:val="en-CA"/>
        </w:rPr>
        <w:t xml:space="preserve">Ki </w:t>
      </w:r>
      <w:r w:rsidRPr="00A738B8">
        <w:rPr>
          <w:rFonts w:eastAsia="Calibri"/>
          <w:i/>
          <w:noProof/>
          <w:szCs w:val="24"/>
          <w:lang w:val="en-CA"/>
        </w:rPr>
        <w:t>et al</w:t>
      </w:r>
      <w:r w:rsidRPr="004F1665">
        <w:rPr>
          <w:rFonts w:eastAsia="Calibri"/>
          <w:noProof/>
          <w:szCs w:val="24"/>
          <w:lang w:val="en-CA"/>
        </w:rPr>
        <w:t>. (2016)</w:t>
      </w:r>
      <w:r w:rsidRPr="004F1665">
        <w:rPr>
          <w:rFonts w:eastAsia="Calibri"/>
          <w:szCs w:val="24"/>
          <w:lang w:val="en-CA"/>
        </w:rPr>
        <w:fldChar w:fldCharType="end"/>
      </w:r>
      <w:r w:rsidRPr="004F1665">
        <w:rPr>
          <w:rFonts w:eastAsia="Calibri"/>
          <w:szCs w:val="24"/>
          <w:lang w:val="en-CA"/>
        </w:rPr>
        <w:t xml:space="preserve">, was used in this study. </w:t>
      </w:r>
    </w:p>
    <w:p w14:paraId="66027AE4" w14:textId="77777777" w:rsidR="003408D8" w:rsidRPr="004F1665" w:rsidRDefault="003408D8" w:rsidP="003408D8">
      <w:pPr>
        <w:ind w:firstLine="720"/>
        <w:rPr>
          <w:rFonts w:eastAsia="Calibri"/>
          <w:szCs w:val="24"/>
          <w:lang w:val="en-CA"/>
        </w:rPr>
      </w:pPr>
      <w:proofErr w:type="spellStart"/>
      <w:r w:rsidRPr="004F1665">
        <w:rPr>
          <w:rFonts w:eastAsia="Calibri"/>
          <w:szCs w:val="24"/>
          <w:lang w:val="en-CA"/>
        </w:rPr>
        <w:t>rCA</w:t>
      </w:r>
      <w:proofErr w:type="spellEnd"/>
      <w:r w:rsidRPr="004F1665">
        <w:rPr>
          <w:rFonts w:eastAsia="Calibri"/>
          <w:szCs w:val="24"/>
          <w:lang w:val="en-CA"/>
        </w:rPr>
        <w:t xml:space="preserve"> operates by relying on many of the same principles as PCA (or ICA), including many of the same assumptions. PCA is non-parametric multivariate dimensionality reduction technique used to extract meaningful information from large, complex data sets. Specifically, this analysis computes a new linear basis of orthogonal vectors which re-express the activity of a dynamic system in a way that captures the greatest amount of variance, while minimizing redundancy and noise </w:t>
      </w:r>
      <w:r w:rsidRPr="004F1665">
        <w:rPr>
          <w:rFonts w:eastAsia="Calibri"/>
          <w:szCs w:val="24"/>
          <w:lang w:val="en-CA"/>
        </w:rPr>
        <w:fldChar w:fldCharType="begin" w:fldLock="1"/>
      </w:r>
      <w:r w:rsidRPr="004F1665">
        <w:rPr>
          <w:rFonts w:eastAsia="Calibri"/>
          <w:szCs w:val="24"/>
          <w:lang w:val="en-CA"/>
        </w:rPr>
        <w:instrText>ADDIN CSL_CITATION { "citationItems" : [ { "id" : "ITEM-1", "itemData" : { "DOI" : "10.1.1.115.3503", "ISBN" : "9781457705052", "ISSN" : "&lt;null&gt;", "PMID" : "2406666115306510087", "abstract" : "Principal component analysis (PCA) is a mainstay of modern data analysis - a black box that is widely used but (sometimes) poorly understood. The goal of this paper is to dispel the magic behind this black box. This manuscript focuses on building a solid intuition for how and why principal component analysis works. This manuscript crystallizes this knowledge by deriving from simple intuitions, the mathematics behind PCA. This tutorial does not shy away from explaining the ideas informally, nor does it shy away from the mathematics. The hope is that by addressing both aspects, readers of all levels will be able to gain a better understanding of PCA as well as the when, the how and the why of applying this technique.", "author" : [ { "dropping-particle" : "", "family" : "Shlens", "given" : "Jonathon", "non-dropping-particle" : "", "parse-names" : false, "suffix" : "" } ], "container-title" : "Measurement", "id" : "ITEM-1", "issued" : { "date-parts" : [ [ "2009" ] ] }, "page" : "1-12", "title" : "A Tutorial on Principal Component Analysis", "type" : "article-journal", "volume" : "51" }, "uris" : [ "http://www.mendeley.com/documents/?uuid=4f95c261-76bf-405c-887c-f6a4f75f9db0" ] } ], "mendeley" : { "formattedCitation" : "(Shlens, 2009)", "plainTextFormattedCitation" : "(Shlens, 2009)", "previouslyFormattedCitation" : "(Shlens, 2009)" }, "properties" : { "noteIndex" : 0 }, "schema" : "https://github.com/citation-style-language/schema/raw/master/csl-citation.json" }</w:instrText>
      </w:r>
      <w:r w:rsidRPr="004F1665">
        <w:rPr>
          <w:rFonts w:eastAsia="Calibri"/>
          <w:szCs w:val="24"/>
          <w:lang w:val="en-CA"/>
        </w:rPr>
        <w:fldChar w:fldCharType="separate"/>
      </w:r>
      <w:r w:rsidRPr="004F1665">
        <w:rPr>
          <w:rFonts w:eastAsia="Calibri"/>
          <w:noProof/>
          <w:szCs w:val="24"/>
          <w:lang w:val="en-CA"/>
        </w:rPr>
        <w:t>(Shlens, 2009)</w:t>
      </w:r>
      <w:r w:rsidRPr="004F1665">
        <w:rPr>
          <w:rFonts w:eastAsia="Calibri"/>
          <w:szCs w:val="24"/>
          <w:lang w:val="en-CA"/>
        </w:rPr>
        <w:fldChar w:fldCharType="end"/>
      </w:r>
      <w:r w:rsidRPr="004F1665">
        <w:rPr>
          <w:rFonts w:eastAsia="Calibri"/>
          <w:szCs w:val="24"/>
          <w:lang w:val="en-CA"/>
        </w:rPr>
        <w:t xml:space="preserve">. </w:t>
      </w:r>
      <w:r w:rsidRPr="004F1665">
        <w:rPr>
          <w:rFonts w:eastAsia="Calibri"/>
          <w:color w:val="000000"/>
          <w:szCs w:val="24"/>
          <w:lang w:val="en-CA"/>
        </w:rPr>
        <w:t xml:space="preserve">For example, raw EEG data typically take the form of an </w:t>
      </w:r>
      <w:r w:rsidRPr="004F1665">
        <w:rPr>
          <w:rFonts w:eastAsia="Calibri"/>
          <w:i/>
          <w:color w:val="000000"/>
          <w:szCs w:val="24"/>
          <w:lang w:val="en-CA"/>
        </w:rPr>
        <w:t>n</w:t>
      </w:r>
      <w:r w:rsidRPr="004F1665">
        <w:rPr>
          <w:rFonts w:eastAsia="Calibri"/>
          <w:szCs w:val="24"/>
          <w:lang w:val="en-CA"/>
        </w:rPr>
        <w:t xml:space="preserve"> × </w:t>
      </w:r>
      <w:r w:rsidRPr="004F1665">
        <w:rPr>
          <w:rFonts w:eastAsia="Calibri"/>
          <w:i/>
          <w:szCs w:val="24"/>
          <w:lang w:val="en-CA"/>
        </w:rPr>
        <w:t xml:space="preserve">t </w:t>
      </w:r>
      <w:r w:rsidRPr="004F1665">
        <w:rPr>
          <w:rFonts w:eastAsia="Calibri"/>
          <w:szCs w:val="24"/>
          <w:lang w:val="en-CA"/>
        </w:rPr>
        <w:t xml:space="preserve">matrix where </w:t>
      </w:r>
      <w:r w:rsidRPr="004F1665">
        <w:rPr>
          <w:rFonts w:eastAsia="Calibri"/>
          <w:i/>
          <w:szCs w:val="24"/>
          <w:lang w:val="en-CA"/>
        </w:rPr>
        <w:t>n</w:t>
      </w:r>
      <w:r w:rsidRPr="004F1665">
        <w:rPr>
          <w:rFonts w:eastAsia="Calibri"/>
          <w:szCs w:val="24"/>
          <w:lang w:val="en-CA"/>
        </w:rPr>
        <w:t xml:space="preserve"> is the number of electrode channels and </w:t>
      </w:r>
      <w:proofErr w:type="spellStart"/>
      <w:r w:rsidRPr="004F1665">
        <w:rPr>
          <w:rFonts w:eastAsia="Calibri"/>
          <w:i/>
          <w:szCs w:val="24"/>
          <w:lang w:val="en-CA"/>
        </w:rPr>
        <w:t>t</w:t>
      </w:r>
      <w:proofErr w:type="spellEnd"/>
      <w:r w:rsidRPr="004F1665">
        <w:rPr>
          <w:rFonts w:eastAsia="Calibri"/>
          <w:i/>
          <w:szCs w:val="24"/>
          <w:lang w:val="en-CA"/>
        </w:rPr>
        <w:t xml:space="preserve"> </w:t>
      </w:r>
      <w:r w:rsidRPr="004F1665">
        <w:rPr>
          <w:rFonts w:eastAsia="Calibri"/>
          <w:szCs w:val="24"/>
          <w:lang w:val="en-CA"/>
        </w:rPr>
        <w:t xml:space="preserve">is time. This data matrix </w:t>
      </w:r>
      <w:r w:rsidRPr="004F1665">
        <w:rPr>
          <w:rFonts w:eastAsia="Calibri"/>
          <w:b/>
          <w:szCs w:val="24"/>
          <w:lang w:val="en-CA"/>
        </w:rPr>
        <w:t xml:space="preserve">X </w:t>
      </w:r>
      <w:r w:rsidRPr="004F1665">
        <w:rPr>
          <w:rFonts w:eastAsia="Calibri"/>
          <w:szCs w:val="24"/>
          <w:lang w:val="en-CA"/>
        </w:rPr>
        <w:t>is a measure of the temporal fluctuations of voltage at each electrode site relative to the reference. However, in this format, it is unclear which data best reflect the underlying neurophysiological processes of the brain. Indeed, gleaning substantive information from raw EEG data is difficult; the electrical signals recorded at the scalp are a mixture of neural activity and noise (e.g., cardiac artifacts, eye blinks, movement, and electrical contamination), significant covariation between electrodes adds redundancy to the data, and some electrode sites do not capture the dynamic activity of the brain as well as others. PCA provides a means to recover the meaningful dimensio</w:t>
      </w:r>
      <w:r>
        <w:rPr>
          <w:rFonts w:eastAsia="Calibri"/>
          <w:szCs w:val="24"/>
          <w:lang w:val="en-CA"/>
        </w:rPr>
        <w:t>ns of these data by computing a</w:t>
      </w:r>
      <w:r w:rsidRPr="004F1665">
        <w:rPr>
          <w:rFonts w:eastAsia="Calibri"/>
          <w:szCs w:val="24"/>
          <w:lang w:val="en-CA"/>
        </w:rPr>
        <w:t xml:space="preserve"> linear transformation of X to find orthogonal configurations of electrode activity that best explain the most variance. This is accomplished by computing an eigenvalue decomposition of the covariance of X. A standardized symmetric </w:t>
      </w:r>
      <w:r w:rsidRPr="004F1665">
        <w:rPr>
          <w:rFonts w:eastAsia="Calibri"/>
          <w:i/>
          <w:color w:val="000000"/>
          <w:szCs w:val="24"/>
          <w:lang w:val="en-CA"/>
        </w:rPr>
        <w:t>n</w:t>
      </w:r>
      <w:r w:rsidRPr="004F1665">
        <w:rPr>
          <w:rFonts w:eastAsia="Calibri"/>
          <w:szCs w:val="24"/>
          <w:lang w:val="en-CA"/>
        </w:rPr>
        <w:t xml:space="preserve"> × </w:t>
      </w:r>
      <w:r w:rsidRPr="004F1665">
        <w:rPr>
          <w:rFonts w:eastAsia="Calibri"/>
          <w:i/>
          <w:szCs w:val="24"/>
          <w:lang w:val="en-CA"/>
        </w:rPr>
        <w:t>n</w:t>
      </w:r>
      <w:r w:rsidRPr="004F1665">
        <w:rPr>
          <w:rFonts w:eastAsia="Calibri"/>
          <w:szCs w:val="24"/>
          <w:lang w:val="en-CA"/>
        </w:rPr>
        <w:t xml:space="preserve"> covariance matrix C</w:t>
      </w:r>
      <w:r w:rsidRPr="004F1665">
        <w:rPr>
          <w:rFonts w:eastAsia="Calibri"/>
          <w:szCs w:val="24"/>
          <w:vertAlign w:val="subscript"/>
          <w:lang w:val="en-CA"/>
        </w:rPr>
        <w:t xml:space="preserve">X </w:t>
      </w:r>
      <w:r w:rsidRPr="004F1665">
        <w:rPr>
          <w:rFonts w:ascii="Arial" w:eastAsia="Calibri" w:hAnsi="Arial" w:cs="Arial"/>
          <w:color w:val="222222"/>
          <w:szCs w:val="24"/>
          <w:shd w:val="clear" w:color="auto" w:fill="FFFFFF"/>
          <w:lang w:val="en-CA"/>
        </w:rPr>
        <w:t>=</w:t>
      </w:r>
      <w:r w:rsidRPr="004F1665">
        <w:rPr>
          <w:rFonts w:eastAsia="Calibri"/>
          <w:szCs w:val="24"/>
          <w:lang w:val="en-CA"/>
        </w:rPr>
        <w:t xml:space="preserve"> </w:t>
      </w:r>
      <m:oMath>
        <m:f>
          <m:fPr>
            <m:ctrlPr>
              <w:rPr>
                <w:rFonts w:ascii="Cambria Math" w:eastAsia="Calibri" w:hAnsi="Cambria Math"/>
                <w:szCs w:val="24"/>
                <w:vertAlign w:val="superscript"/>
                <w:lang w:val="en-CA"/>
              </w:rPr>
            </m:ctrlPr>
          </m:fPr>
          <m:num>
            <m:r>
              <w:rPr>
                <w:rFonts w:ascii="Cambria Math" w:eastAsia="Calibri" w:hAnsi="Cambria Math"/>
                <w:szCs w:val="24"/>
                <w:vertAlign w:val="superscript"/>
                <w:lang w:val="en-CA"/>
              </w:rPr>
              <m:t>1</m:t>
            </m:r>
          </m:num>
          <m:den>
            <m:r>
              <w:rPr>
                <w:rFonts w:ascii="Cambria Math" w:eastAsia="Calibri" w:hAnsi="Cambria Math"/>
                <w:szCs w:val="24"/>
                <w:vertAlign w:val="superscript"/>
                <w:lang w:val="en-CA"/>
              </w:rPr>
              <m:t>n-1</m:t>
            </m:r>
          </m:den>
        </m:f>
        <m:r>
          <m:rPr>
            <m:sty m:val="p"/>
          </m:rPr>
          <w:rPr>
            <w:rFonts w:ascii="Cambria Math" w:eastAsia="Calibri" w:hAnsi="Cambria Math"/>
            <w:szCs w:val="24"/>
            <w:vertAlign w:val="superscript"/>
            <w:lang w:val="en-CA"/>
          </w:rPr>
          <m:t xml:space="preserve"> </m:t>
        </m:r>
      </m:oMath>
      <w:r w:rsidRPr="004F1665">
        <w:rPr>
          <w:rFonts w:eastAsia="Calibri"/>
          <w:szCs w:val="24"/>
          <w:lang w:val="en-CA"/>
        </w:rPr>
        <w:t>XX</w:t>
      </w:r>
      <w:r w:rsidRPr="004F1665">
        <w:rPr>
          <w:rFonts w:eastAsia="Calibri"/>
          <w:i/>
          <w:szCs w:val="24"/>
          <w:vertAlign w:val="superscript"/>
          <w:lang w:val="en-CA"/>
        </w:rPr>
        <w:t xml:space="preserve">T </w:t>
      </w:r>
      <w:r w:rsidRPr="004F1665">
        <w:rPr>
          <w:rFonts w:eastAsia="Calibri"/>
          <w:szCs w:val="24"/>
          <w:lang w:val="en-CA"/>
        </w:rPr>
        <w:t xml:space="preserve">is transformed by a mixing matrix W into a new subspace Y </w:t>
      </w:r>
      <w:r w:rsidRPr="004F1665">
        <w:rPr>
          <w:rFonts w:eastAsia="Calibri"/>
          <w:szCs w:val="24"/>
          <w:lang w:val="en-CA"/>
        </w:rPr>
        <w:lastRenderedPageBreak/>
        <w:t>such that its covariance matrix C</w:t>
      </w:r>
      <w:r w:rsidRPr="004F1665">
        <w:rPr>
          <w:rFonts w:eastAsia="Calibri"/>
          <w:szCs w:val="24"/>
          <w:vertAlign w:val="subscript"/>
          <w:lang w:val="en-CA"/>
        </w:rPr>
        <w:t xml:space="preserve">Y </w:t>
      </w:r>
      <w:r w:rsidRPr="004F1665">
        <w:rPr>
          <w:rFonts w:eastAsia="Calibri"/>
          <w:szCs w:val="24"/>
          <w:lang w:val="en-CA"/>
        </w:rPr>
        <w:t>=</w:t>
      </w:r>
      <m:oMath>
        <m:r>
          <w:rPr>
            <w:rFonts w:ascii="Cambria Math" w:eastAsia="Calibri" w:hAnsi="Cambria Math"/>
            <w:szCs w:val="24"/>
            <w:lang w:val="en-CA"/>
          </w:rPr>
          <m:t xml:space="preserve"> </m:t>
        </m:r>
        <m:f>
          <m:fPr>
            <m:ctrlPr>
              <w:rPr>
                <w:rFonts w:ascii="Cambria Math" w:eastAsia="Calibri" w:hAnsi="Cambria Math"/>
                <w:szCs w:val="24"/>
                <w:vertAlign w:val="superscript"/>
                <w:lang w:val="en-CA"/>
              </w:rPr>
            </m:ctrlPr>
          </m:fPr>
          <m:num>
            <m:r>
              <w:rPr>
                <w:rFonts w:ascii="Cambria Math" w:eastAsia="Calibri" w:hAnsi="Cambria Math"/>
                <w:szCs w:val="24"/>
                <w:vertAlign w:val="superscript"/>
                <w:lang w:val="en-CA"/>
              </w:rPr>
              <m:t>1</m:t>
            </m:r>
          </m:num>
          <m:den>
            <m:r>
              <w:rPr>
                <w:rFonts w:ascii="Cambria Math" w:eastAsia="Calibri" w:hAnsi="Cambria Math"/>
                <w:szCs w:val="24"/>
                <w:vertAlign w:val="superscript"/>
                <w:lang w:val="en-CA"/>
              </w:rPr>
              <m:t>n-1</m:t>
            </m:r>
          </m:den>
        </m:f>
        <m:r>
          <m:rPr>
            <m:sty m:val="p"/>
          </m:rPr>
          <w:rPr>
            <w:rFonts w:ascii="Cambria Math" w:eastAsia="Calibri" w:hAnsi="Cambria Math"/>
            <w:szCs w:val="24"/>
            <w:vertAlign w:val="superscript"/>
            <w:lang w:val="en-CA"/>
          </w:rPr>
          <m:t xml:space="preserve"> </m:t>
        </m:r>
      </m:oMath>
      <w:r w:rsidRPr="004F1665">
        <w:rPr>
          <w:rFonts w:eastAsia="Calibri"/>
          <w:szCs w:val="24"/>
          <w:lang w:val="en-CA"/>
        </w:rPr>
        <w:t>YY</w:t>
      </w:r>
      <w:r w:rsidRPr="004F1665">
        <w:rPr>
          <w:rFonts w:eastAsia="Calibri"/>
          <w:i/>
          <w:szCs w:val="24"/>
          <w:vertAlign w:val="superscript"/>
          <w:lang w:val="en-CA"/>
        </w:rPr>
        <w:t>T</w:t>
      </w:r>
      <w:r w:rsidRPr="004F1665">
        <w:rPr>
          <w:rFonts w:eastAsia="Calibri"/>
          <w:szCs w:val="24"/>
          <w:lang w:val="en-CA"/>
        </w:rPr>
        <w:t xml:space="preserve"> is diagonal. The eigenvectors </w:t>
      </w:r>
      <w:proofErr w:type="spellStart"/>
      <w:r w:rsidRPr="004F1665">
        <w:rPr>
          <w:rFonts w:eastAsia="Calibri"/>
          <w:szCs w:val="24"/>
          <w:lang w:val="en-CA"/>
        </w:rPr>
        <w:t>w</w:t>
      </w:r>
      <w:r w:rsidRPr="004F1665">
        <w:rPr>
          <w:rFonts w:eastAsia="Calibri"/>
          <w:i/>
          <w:szCs w:val="24"/>
          <w:vertAlign w:val="subscript"/>
          <w:lang w:val="en-CA"/>
        </w:rPr>
        <w:t>i</w:t>
      </w:r>
      <w:proofErr w:type="spellEnd"/>
      <w:r w:rsidRPr="004F1665">
        <w:rPr>
          <w:rFonts w:eastAsia="Calibri"/>
          <w:i/>
          <w:szCs w:val="24"/>
          <w:lang w:val="en-CA"/>
        </w:rPr>
        <w:t xml:space="preserve"> </w:t>
      </w:r>
      <w:r w:rsidRPr="004F1665">
        <w:rPr>
          <w:rFonts w:eastAsia="Calibri"/>
          <w:szCs w:val="24"/>
          <w:lang w:val="en-CA"/>
        </w:rPr>
        <w:t>calculated for C</w:t>
      </w:r>
      <w:r w:rsidRPr="004F1665">
        <w:rPr>
          <w:rFonts w:eastAsia="Calibri"/>
          <w:szCs w:val="24"/>
          <w:vertAlign w:val="subscript"/>
          <w:lang w:val="en-CA"/>
        </w:rPr>
        <w:t xml:space="preserve">X </w:t>
      </w:r>
      <w:r w:rsidRPr="004F1665">
        <w:rPr>
          <w:rFonts w:eastAsia="Calibri"/>
          <w:szCs w:val="24"/>
          <w:lang w:val="en-CA"/>
        </w:rPr>
        <w:t xml:space="preserve">are the principal components of X, and the diagonal eigenvalues </w:t>
      </w:r>
      <w:proofErr w:type="spellStart"/>
      <w:r w:rsidRPr="004F1665">
        <w:rPr>
          <w:rFonts w:eastAsia="Calibri"/>
          <w:szCs w:val="24"/>
          <w:lang w:val="en-CA"/>
        </w:rPr>
        <w:t>λ</w:t>
      </w:r>
      <w:r w:rsidRPr="004F1665">
        <w:rPr>
          <w:rFonts w:eastAsia="Calibri"/>
          <w:i/>
          <w:szCs w:val="24"/>
          <w:vertAlign w:val="subscript"/>
          <w:lang w:val="en-CA"/>
        </w:rPr>
        <w:t>i</w:t>
      </w:r>
      <w:proofErr w:type="spellEnd"/>
      <w:r w:rsidRPr="004F1665">
        <w:rPr>
          <w:rFonts w:eastAsia="Calibri"/>
          <w:szCs w:val="24"/>
          <w:lang w:val="en-CA"/>
        </w:rPr>
        <w:t xml:space="preserve"> of C</w:t>
      </w:r>
      <w:r w:rsidRPr="004F1665">
        <w:rPr>
          <w:rFonts w:eastAsia="Calibri"/>
          <w:szCs w:val="24"/>
          <w:vertAlign w:val="subscript"/>
          <w:lang w:val="en-CA"/>
        </w:rPr>
        <w:t xml:space="preserve">Y </w:t>
      </w:r>
      <w:r w:rsidRPr="004F1665">
        <w:rPr>
          <w:rFonts w:eastAsia="Calibri"/>
          <w:szCs w:val="24"/>
          <w:lang w:val="en-CA"/>
        </w:rPr>
        <w:t xml:space="preserve">are the variances of X along W </w:t>
      </w:r>
      <w:r w:rsidRPr="004F1665">
        <w:rPr>
          <w:rFonts w:eastAsia="Calibri"/>
          <w:szCs w:val="24"/>
          <w:lang w:val="en-CA"/>
        </w:rPr>
        <w:fldChar w:fldCharType="begin" w:fldLock="1"/>
      </w:r>
      <w:r w:rsidRPr="004F1665">
        <w:rPr>
          <w:rFonts w:eastAsia="Calibri"/>
          <w:szCs w:val="24"/>
          <w:lang w:val="en-CA"/>
        </w:rPr>
        <w:instrText>ADDIN CSL_CITATION { "citationItems" : [ { "id" : "ITEM-1", "itemData" : { "DOI" : "10.1.1.115.3503", "ISBN" : "9781457705052", "ISSN" : "&lt;null&gt;", "PMID" : "2406666115306510087", "abstract" : "Principal component analysis (PCA) is a mainstay of modern data analysis - a black box that is widely used but (sometimes) poorly understood. The goal of this paper is to dispel the magic behind this black box. This manuscript focuses on building a solid intuition for how and why principal component analysis works. This manuscript crystallizes this knowledge by deriving from simple intuitions, the mathematics behind PCA. This tutorial does not shy away from explaining the ideas informally, nor does it shy away from the mathematics. The hope is that by addressing both aspects, readers of all levels will be able to gain a better understanding of PCA as well as the when, the how and the why of applying this technique.", "author" : [ { "dropping-particle" : "", "family" : "Shlens", "given" : "Jonathon", "non-dropping-particle" : "", "parse-names" : false, "suffix" : "" } ], "container-title" : "Measurement", "id" : "ITEM-1", "issued" : { "date-parts" : [ [ "2009" ] ] }, "page" : "1-12", "title" : "A Tutorial on Principal Component Analysis", "type" : "article-journal", "volume" : "51" }, "uris" : [ "http://www.mendeley.com/documents/?uuid=4f95c261-76bf-405c-887c-f6a4f75f9db0" ] } ], "mendeley" : { "formattedCitation" : "(Shlens, 2009)", "plainTextFormattedCitation" : "(Shlens, 2009)", "previouslyFormattedCitation" : "(Shlens, 2009)" }, "properties" : { "noteIndex" : 0 }, "schema" : "https://github.com/citation-style-language/schema/raw/master/csl-citation.json" }</w:instrText>
      </w:r>
      <w:r w:rsidRPr="004F1665">
        <w:rPr>
          <w:rFonts w:eastAsia="Calibri"/>
          <w:szCs w:val="24"/>
          <w:lang w:val="en-CA"/>
        </w:rPr>
        <w:fldChar w:fldCharType="separate"/>
      </w:r>
      <w:r w:rsidRPr="004F1665">
        <w:rPr>
          <w:rFonts w:eastAsia="Calibri"/>
          <w:noProof/>
          <w:szCs w:val="24"/>
          <w:lang w:val="en-CA"/>
        </w:rPr>
        <w:t>(Shlens, 2009)</w:t>
      </w:r>
      <w:r w:rsidRPr="004F1665">
        <w:rPr>
          <w:rFonts w:eastAsia="Calibri"/>
          <w:szCs w:val="24"/>
          <w:lang w:val="en-CA"/>
        </w:rPr>
        <w:fldChar w:fldCharType="end"/>
      </w:r>
      <w:r w:rsidRPr="004F1665">
        <w:rPr>
          <w:rFonts w:eastAsia="Calibri"/>
          <w:szCs w:val="24"/>
          <w:lang w:val="en-CA"/>
        </w:rPr>
        <w:t xml:space="preserve">. The principal components of X are ranked in descending order based on the amount of variance each can account for in the data. PCA computes </w:t>
      </w:r>
      <w:r w:rsidRPr="004F1665">
        <w:rPr>
          <w:rFonts w:eastAsia="Calibri"/>
          <w:i/>
          <w:szCs w:val="24"/>
          <w:lang w:val="en-CA"/>
        </w:rPr>
        <w:t>n</w:t>
      </w:r>
      <w:r w:rsidRPr="004F1665">
        <w:rPr>
          <w:rFonts w:eastAsia="Calibri"/>
          <w:szCs w:val="24"/>
          <w:lang w:val="en-CA"/>
        </w:rPr>
        <w:t xml:space="preserve"> – 1 principal components which, in EEG, are represented as spatial weights of electrode voltages across the scalp and their corresponding time course. </w:t>
      </w:r>
    </w:p>
    <w:p w14:paraId="08317C0F" w14:textId="77777777" w:rsidR="003408D8" w:rsidRPr="004F1665" w:rsidRDefault="003408D8" w:rsidP="003408D8">
      <w:pPr>
        <w:ind w:firstLine="720"/>
        <w:rPr>
          <w:rFonts w:eastAsia="Calibri"/>
          <w:szCs w:val="24"/>
          <w:lang w:val="en-CA"/>
        </w:rPr>
      </w:pPr>
      <w:proofErr w:type="spellStart"/>
      <w:r w:rsidRPr="004F1665">
        <w:rPr>
          <w:rFonts w:eastAsia="Calibri"/>
          <w:szCs w:val="24"/>
          <w:lang w:val="en-CA"/>
        </w:rPr>
        <w:t>rCA</w:t>
      </w:r>
      <w:proofErr w:type="spellEnd"/>
      <w:r w:rsidRPr="004F1665">
        <w:rPr>
          <w:rFonts w:eastAsia="Calibri"/>
          <w:szCs w:val="24"/>
          <w:lang w:val="en-CA"/>
        </w:rPr>
        <w:t xml:space="preserve"> is computational</w:t>
      </w:r>
      <w:r>
        <w:rPr>
          <w:rFonts w:eastAsia="Calibri"/>
          <w:szCs w:val="24"/>
          <w:lang w:val="en-CA"/>
        </w:rPr>
        <w:t xml:space="preserve">ly similar to PCA in that it </w:t>
      </w:r>
      <w:r w:rsidRPr="004F1665">
        <w:rPr>
          <w:rFonts w:eastAsia="Calibri"/>
          <w:szCs w:val="24"/>
          <w:lang w:val="en-CA"/>
        </w:rPr>
        <w:t xml:space="preserve">computes an eigenvalue decomposition of covariance data, but where </w:t>
      </w:r>
      <w:proofErr w:type="spellStart"/>
      <w:r w:rsidRPr="004F1665">
        <w:rPr>
          <w:rFonts w:eastAsia="Calibri"/>
          <w:szCs w:val="24"/>
          <w:lang w:val="en-CA"/>
        </w:rPr>
        <w:t>rCA</w:t>
      </w:r>
      <w:proofErr w:type="spellEnd"/>
      <w:r w:rsidRPr="004F1665">
        <w:rPr>
          <w:rFonts w:eastAsia="Calibri"/>
          <w:szCs w:val="24"/>
          <w:lang w:val="en-CA"/>
        </w:rPr>
        <w:t xml:space="preserve"> differs is in the source of the covariance; </w:t>
      </w:r>
      <w:proofErr w:type="spellStart"/>
      <w:r w:rsidRPr="004F1665">
        <w:rPr>
          <w:rFonts w:eastAsia="Calibri"/>
          <w:szCs w:val="24"/>
          <w:lang w:val="en-CA"/>
        </w:rPr>
        <w:t>rCA</w:t>
      </w:r>
      <w:proofErr w:type="spellEnd"/>
      <w:r w:rsidRPr="004F1665">
        <w:rPr>
          <w:rFonts w:eastAsia="Calibri"/>
          <w:szCs w:val="24"/>
          <w:lang w:val="en-CA"/>
        </w:rPr>
        <w:t xml:space="preserve"> operates on the pooled within-subject cross covariance</w:t>
      </w:r>
    </w:p>
    <w:p w14:paraId="6D710F42" w14:textId="77777777" w:rsidR="003408D8" w:rsidRPr="004F1665" w:rsidRDefault="003408D8" w:rsidP="003408D8">
      <w:pPr>
        <w:spacing w:line="240" w:lineRule="auto"/>
        <w:jc w:val="center"/>
        <w:rPr>
          <w:szCs w:val="24"/>
          <w:lang w:val="en-CA"/>
        </w:rPr>
      </w:pPr>
      <w:proofErr w:type="spellStart"/>
      <w:r w:rsidRPr="004F1665">
        <w:rPr>
          <w:rFonts w:eastAsia="Calibri"/>
          <w:szCs w:val="24"/>
          <w:lang w:val="en-CA"/>
        </w:rPr>
        <w:t>R</w:t>
      </w:r>
      <w:r w:rsidRPr="004F1665">
        <w:rPr>
          <w:rFonts w:eastAsia="Calibri"/>
          <w:i/>
          <w:szCs w:val="24"/>
          <w:vertAlign w:val="subscript"/>
          <w:lang w:val="en-CA"/>
        </w:rPr>
        <w:t>w</w:t>
      </w:r>
      <w:proofErr w:type="spellEnd"/>
      <w:r w:rsidRPr="004F1665">
        <w:rPr>
          <w:rFonts w:eastAsia="Calibri"/>
          <w:szCs w:val="24"/>
          <w:vertAlign w:val="subscript"/>
          <w:lang w:val="en-CA"/>
        </w:rPr>
        <w:t xml:space="preserve"> </w:t>
      </w:r>
      <w:r w:rsidRPr="004F1665">
        <w:rPr>
          <w:rFonts w:eastAsia="Calibri"/>
          <w:szCs w:val="24"/>
          <w:lang w:val="en-CA"/>
        </w:rPr>
        <w:t xml:space="preserve">= </w:t>
      </w:r>
      <m:oMath>
        <m:f>
          <m:fPr>
            <m:ctrlPr>
              <w:rPr>
                <w:rFonts w:ascii="Cambria Math" w:eastAsia="Calibri" w:hAnsi="Cambria Math"/>
                <w:i/>
                <w:szCs w:val="24"/>
                <w:lang w:val="en-CA"/>
              </w:rPr>
            </m:ctrlPr>
          </m:fPr>
          <m:num>
            <m:r>
              <w:rPr>
                <w:rFonts w:ascii="Cambria Math" w:eastAsia="Calibri" w:hAnsi="Cambria Math"/>
                <w:szCs w:val="24"/>
                <w:lang w:val="en-CA"/>
              </w:rPr>
              <m:t>1</m:t>
            </m:r>
          </m:num>
          <m:den>
            <m:r>
              <w:rPr>
                <w:rFonts w:ascii="Cambria Math" w:eastAsia="Calibri" w:hAnsi="Cambria Math"/>
                <w:szCs w:val="24"/>
                <w:lang w:val="en-CA"/>
              </w:rPr>
              <m:t xml:space="preserve">N </m:t>
            </m:r>
          </m:den>
        </m:f>
        <m:nary>
          <m:naryPr>
            <m:chr m:val="∑"/>
            <m:limLoc m:val="undOvr"/>
            <m:ctrlPr>
              <w:rPr>
                <w:rFonts w:ascii="Cambria Math" w:eastAsia="Calibri" w:hAnsi="Cambria Math"/>
                <w:i/>
                <w:szCs w:val="24"/>
                <w:lang w:val="en-CA"/>
              </w:rPr>
            </m:ctrlPr>
          </m:naryPr>
          <m:sub>
            <m:r>
              <w:rPr>
                <w:rFonts w:ascii="Cambria Math" w:eastAsia="Calibri" w:hAnsi="Cambria Math"/>
                <w:szCs w:val="24"/>
                <w:lang w:val="en-CA"/>
              </w:rPr>
              <m:t>k=1</m:t>
            </m:r>
          </m:sub>
          <m:sup>
            <m:r>
              <w:rPr>
                <w:rFonts w:ascii="Cambria Math" w:eastAsia="Calibri" w:hAnsi="Cambria Math"/>
                <w:szCs w:val="24"/>
                <w:lang w:val="en-CA"/>
              </w:rPr>
              <m:t>N</m:t>
            </m:r>
          </m:sup>
          <m:e>
            <m:r>
              <w:rPr>
                <w:rFonts w:ascii="Cambria Math" w:eastAsia="Calibri" w:hAnsi="Cambria Math"/>
                <w:szCs w:val="24"/>
                <w:lang w:val="en-CA"/>
              </w:rPr>
              <m:t xml:space="preserve"> </m:t>
            </m:r>
          </m:e>
        </m:nary>
      </m:oMath>
      <w:r w:rsidRPr="004F1665">
        <w:rPr>
          <w:szCs w:val="24"/>
          <w:lang w:val="en-CA"/>
        </w:rPr>
        <w:t>R</w:t>
      </w:r>
      <w:proofErr w:type="spellStart"/>
      <w:r w:rsidRPr="004F1665">
        <w:rPr>
          <w:i/>
          <w:szCs w:val="24"/>
          <w:vertAlign w:val="subscript"/>
          <w:lang w:val="en-CA"/>
        </w:rPr>
        <w:t>kk</w:t>
      </w:r>
      <w:proofErr w:type="spellEnd"/>
      <w:r w:rsidRPr="004F1665">
        <w:rPr>
          <w:szCs w:val="24"/>
          <w:lang w:val="en-CA"/>
        </w:rPr>
        <w:t>,</w:t>
      </w:r>
    </w:p>
    <w:p w14:paraId="25633F94" w14:textId="77777777" w:rsidR="003408D8" w:rsidRPr="004F1665" w:rsidRDefault="003408D8" w:rsidP="003408D8">
      <w:pPr>
        <w:rPr>
          <w:rFonts w:eastAsia="Calibri"/>
          <w:szCs w:val="24"/>
          <w:lang w:val="en-CA"/>
        </w:rPr>
      </w:pPr>
      <w:r w:rsidRPr="004F1665">
        <w:rPr>
          <w:rFonts w:eastAsia="Calibri"/>
          <w:szCs w:val="24"/>
          <w:lang w:val="en-CA"/>
        </w:rPr>
        <w:t>and pooled between-</w:t>
      </w:r>
      <w:proofErr w:type="gramStart"/>
      <w:r w:rsidRPr="004F1665">
        <w:rPr>
          <w:rFonts w:eastAsia="Calibri"/>
          <w:szCs w:val="24"/>
          <w:lang w:val="en-CA"/>
        </w:rPr>
        <w:t>subjects</w:t>
      </w:r>
      <w:proofErr w:type="gramEnd"/>
      <w:r w:rsidRPr="004F1665">
        <w:rPr>
          <w:rFonts w:eastAsia="Calibri"/>
          <w:szCs w:val="24"/>
          <w:lang w:val="en-CA"/>
        </w:rPr>
        <w:t xml:space="preserve"> cross covariance</w:t>
      </w:r>
    </w:p>
    <w:p w14:paraId="6B8ADA1E" w14:textId="77777777" w:rsidR="003408D8" w:rsidRPr="004F1665" w:rsidRDefault="003408D8" w:rsidP="003408D8">
      <w:pPr>
        <w:jc w:val="center"/>
        <w:rPr>
          <w:i/>
          <w:szCs w:val="24"/>
          <w:vertAlign w:val="subscript"/>
          <w:lang w:val="en-CA"/>
        </w:rPr>
      </w:pPr>
      <w:proofErr w:type="spellStart"/>
      <w:r w:rsidRPr="004F1665">
        <w:rPr>
          <w:rFonts w:eastAsia="Calibri"/>
          <w:szCs w:val="24"/>
          <w:lang w:val="en-CA"/>
        </w:rPr>
        <w:t>R</w:t>
      </w:r>
      <w:r w:rsidRPr="004F1665">
        <w:rPr>
          <w:rFonts w:eastAsia="Calibri"/>
          <w:i/>
          <w:szCs w:val="24"/>
          <w:vertAlign w:val="subscript"/>
          <w:lang w:val="en-CA"/>
        </w:rPr>
        <w:t>b</w:t>
      </w:r>
      <w:proofErr w:type="spellEnd"/>
      <w:r w:rsidRPr="004F1665">
        <w:rPr>
          <w:rFonts w:eastAsia="Calibri"/>
          <w:i/>
          <w:szCs w:val="24"/>
          <w:lang w:val="en-CA"/>
        </w:rPr>
        <w:t xml:space="preserve"> </w:t>
      </w:r>
      <w:r w:rsidRPr="004F1665">
        <w:rPr>
          <w:rFonts w:eastAsia="Calibri"/>
          <w:szCs w:val="24"/>
          <w:lang w:val="en-CA"/>
        </w:rPr>
        <w:t xml:space="preserve">= </w:t>
      </w:r>
      <m:oMath>
        <m:f>
          <m:fPr>
            <m:ctrlPr>
              <w:rPr>
                <w:rFonts w:ascii="Cambria Math" w:eastAsia="Calibri" w:hAnsi="Cambria Math"/>
                <w:i/>
                <w:szCs w:val="24"/>
                <w:lang w:val="en-CA"/>
              </w:rPr>
            </m:ctrlPr>
          </m:fPr>
          <m:num>
            <m:r>
              <w:rPr>
                <w:rFonts w:ascii="Cambria Math" w:eastAsia="Calibri" w:hAnsi="Cambria Math"/>
                <w:szCs w:val="24"/>
                <w:lang w:val="en-CA"/>
              </w:rPr>
              <m:t>1</m:t>
            </m:r>
          </m:num>
          <m:den>
            <m:r>
              <w:rPr>
                <w:rFonts w:ascii="Cambria Math" w:eastAsia="Calibri" w:hAnsi="Cambria Math"/>
                <w:szCs w:val="24"/>
                <w:lang w:val="en-CA"/>
              </w:rPr>
              <m:t>N(N-1)</m:t>
            </m:r>
          </m:den>
        </m:f>
      </m:oMath>
      <w:r w:rsidRPr="004F1665">
        <w:rPr>
          <w:rFonts w:eastAsia="Calibri"/>
          <w:szCs w:val="24"/>
          <w:lang w:val="en-CA"/>
        </w:rPr>
        <w:t xml:space="preserve"> </w:t>
      </w:r>
      <m:oMath>
        <m:nary>
          <m:naryPr>
            <m:chr m:val="∑"/>
            <m:limLoc m:val="undOvr"/>
            <m:ctrlPr>
              <w:rPr>
                <w:rFonts w:ascii="Cambria Math" w:eastAsia="Calibri" w:hAnsi="Cambria Math"/>
                <w:i/>
                <w:szCs w:val="24"/>
                <w:lang w:val="en-CA"/>
              </w:rPr>
            </m:ctrlPr>
          </m:naryPr>
          <m:sub>
            <m:r>
              <w:rPr>
                <w:rFonts w:ascii="Cambria Math" w:eastAsia="Calibri" w:hAnsi="Cambria Math"/>
                <w:szCs w:val="24"/>
                <w:lang w:val="en-CA"/>
              </w:rPr>
              <m:t xml:space="preserve">k=1 </m:t>
            </m:r>
          </m:sub>
          <m:sup>
            <m:r>
              <w:rPr>
                <w:rFonts w:ascii="Cambria Math" w:eastAsia="Calibri" w:hAnsi="Cambria Math"/>
                <w:szCs w:val="24"/>
                <w:lang w:val="en-CA"/>
              </w:rPr>
              <m:t>N</m:t>
            </m:r>
          </m:sup>
          <m:e>
            <m:r>
              <w:rPr>
                <w:rFonts w:ascii="Cambria Math" w:eastAsia="Calibri" w:hAnsi="Cambria Math"/>
                <w:szCs w:val="24"/>
                <w:lang w:val="en-CA"/>
              </w:rPr>
              <m:t xml:space="preserve"> </m:t>
            </m:r>
          </m:e>
        </m:nary>
        <m:nary>
          <m:naryPr>
            <m:chr m:val="∑"/>
            <m:limLoc m:val="undOvr"/>
            <m:ctrlPr>
              <w:rPr>
                <w:rFonts w:ascii="Cambria Math" w:eastAsia="Calibri" w:hAnsi="Cambria Math"/>
                <w:i/>
                <w:szCs w:val="24"/>
                <w:lang w:val="en-CA"/>
              </w:rPr>
            </m:ctrlPr>
          </m:naryPr>
          <m:sub>
            <m:r>
              <w:rPr>
                <w:rFonts w:ascii="Cambria Math" w:eastAsia="Calibri" w:hAnsi="Cambria Math"/>
                <w:szCs w:val="24"/>
                <w:lang w:val="en-CA"/>
              </w:rPr>
              <m:t>l=1</m:t>
            </m:r>
            <m:r>
              <m:rPr>
                <m:sty m:val="p"/>
              </m:rPr>
              <w:rPr>
                <w:rFonts w:ascii="Cambria Math" w:eastAsia="Calibri" w:hAnsi="Cambria Math"/>
                <w:szCs w:val="24"/>
                <w:lang w:val="en-CA"/>
              </w:rPr>
              <m:t>,</m:t>
            </m:r>
            <m:r>
              <w:rPr>
                <w:rFonts w:ascii="Cambria Math" w:eastAsia="Calibri" w:hAnsi="Cambria Math"/>
                <w:szCs w:val="24"/>
                <w:lang w:val="en-CA"/>
              </w:rPr>
              <m:t xml:space="preserve">  l</m:t>
            </m:r>
            <m:r>
              <m:rPr>
                <m:sty m:val="p"/>
              </m:rPr>
              <w:rPr>
                <w:rFonts w:ascii="Cambria Math" w:eastAsia="Calibri" w:hAnsi="Cambria Math" w:cs="Arial"/>
                <w:color w:val="222222"/>
                <w:szCs w:val="24"/>
                <w:shd w:val="clear" w:color="auto" w:fill="FFFFFF"/>
                <w:lang w:val="en-CA"/>
              </w:rPr>
              <m:t>≠</m:t>
            </m:r>
            <m:r>
              <m:rPr>
                <m:sty m:val="p"/>
              </m:rPr>
              <w:rPr>
                <w:rFonts w:ascii="Cambria Math" w:eastAsia="Calibri" w:hAnsi="Arial" w:cs="Arial"/>
                <w:color w:val="222222"/>
                <w:szCs w:val="24"/>
                <w:shd w:val="clear" w:color="auto" w:fill="FFFFFF"/>
                <w:lang w:val="en-CA"/>
              </w:rPr>
              <m:t>k</m:t>
            </m:r>
          </m:sub>
          <m:sup>
            <m:r>
              <w:rPr>
                <w:rFonts w:ascii="Cambria Math" w:eastAsia="Calibri" w:hAnsi="Cambria Math"/>
                <w:szCs w:val="24"/>
                <w:lang w:val="en-CA"/>
              </w:rPr>
              <m:t>N</m:t>
            </m:r>
          </m:sup>
          <m:e>
            <m:r>
              <w:rPr>
                <w:rFonts w:ascii="Cambria Math" w:eastAsia="Calibri" w:hAnsi="Cambria Math"/>
                <w:szCs w:val="24"/>
                <w:lang w:val="en-CA"/>
              </w:rPr>
              <m:t xml:space="preserve"> </m:t>
            </m:r>
          </m:e>
        </m:nary>
      </m:oMath>
      <w:r w:rsidRPr="004F1665">
        <w:rPr>
          <w:szCs w:val="24"/>
          <w:lang w:val="en-CA"/>
        </w:rPr>
        <w:t>R</w:t>
      </w:r>
      <w:r w:rsidRPr="004F1665">
        <w:rPr>
          <w:i/>
          <w:szCs w:val="24"/>
          <w:vertAlign w:val="subscript"/>
          <w:lang w:val="en-CA"/>
        </w:rPr>
        <w:t>kl</w:t>
      </w:r>
    </w:p>
    <w:p w14:paraId="48DEAA6F" w14:textId="77777777" w:rsidR="003408D8" w:rsidRPr="004F1665" w:rsidRDefault="003408D8" w:rsidP="003408D8">
      <w:pPr>
        <w:rPr>
          <w:rFonts w:eastAsia="Calibri"/>
          <w:szCs w:val="24"/>
          <w:lang w:val="en-CA"/>
        </w:rPr>
      </w:pPr>
      <w:r w:rsidRPr="004F1665">
        <w:rPr>
          <w:rFonts w:eastAsia="Calibri"/>
          <w:szCs w:val="24"/>
          <w:lang w:val="en-CA"/>
        </w:rPr>
        <w:t>where</w:t>
      </w:r>
    </w:p>
    <w:p w14:paraId="213D2FC7" w14:textId="77777777" w:rsidR="003408D8" w:rsidRPr="004F1665" w:rsidRDefault="003408D8" w:rsidP="003408D8">
      <w:pPr>
        <w:jc w:val="center"/>
        <w:rPr>
          <w:color w:val="FF0000"/>
          <w:szCs w:val="24"/>
          <w:lang w:val="en-CA"/>
        </w:rPr>
      </w:pPr>
      <w:proofErr w:type="spellStart"/>
      <w:r w:rsidRPr="004F1665">
        <w:rPr>
          <w:szCs w:val="24"/>
          <w:lang w:val="en-CA"/>
        </w:rPr>
        <w:t>R</w:t>
      </w:r>
      <w:r w:rsidRPr="004F1665">
        <w:rPr>
          <w:i/>
          <w:szCs w:val="24"/>
          <w:vertAlign w:val="subscript"/>
          <w:lang w:val="en-CA"/>
        </w:rPr>
        <w:t>kl</w:t>
      </w:r>
      <w:proofErr w:type="spellEnd"/>
      <w:r w:rsidRPr="004F1665">
        <w:rPr>
          <w:rFonts w:eastAsia="Calibri"/>
          <w:szCs w:val="24"/>
          <w:lang w:val="en-CA"/>
        </w:rPr>
        <w:t xml:space="preserve"> = </w:t>
      </w:r>
      <m:oMath>
        <m:nary>
          <m:naryPr>
            <m:chr m:val="∑"/>
            <m:limLoc m:val="undOvr"/>
            <m:supHide m:val="1"/>
            <m:ctrlPr>
              <w:rPr>
                <w:rFonts w:ascii="Cambria Math" w:eastAsia="Calibri" w:hAnsi="Cambria Math"/>
                <w:i/>
                <w:szCs w:val="24"/>
                <w:lang w:val="en-CA"/>
              </w:rPr>
            </m:ctrlPr>
          </m:naryPr>
          <m:sub>
            <m:r>
              <w:rPr>
                <w:rFonts w:ascii="Cambria Math" w:eastAsia="Calibri" w:hAnsi="Cambria Math"/>
                <w:szCs w:val="24"/>
                <w:lang w:val="en-CA"/>
              </w:rPr>
              <m:t>t</m:t>
            </m:r>
          </m:sub>
          <m:sup/>
          <m:e>
            <m:r>
              <w:rPr>
                <w:rFonts w:ascii="Cambria Math" w:eastAsia="Calibri" w:hAnsi="Cambria Math"/>
                <w:szCs w:val="24"/>
                <w:lang w:val="en-CA"/>
              </w:rPr>
              <m:t xml:space="preserve"> </m:t>
            </m:r>
          </m:e>
        </m:nary>
      </m:oMath>
      <w:r w:rsidRPr="004F1665">
        <w:rPr>
          <w:szCs w:val="24"/>
          <w:lang w:val="en-CA"/>
        </w:rPr>
        <w:t>(x</w:t>
      </w:r>
      <w:r w:rsidRPr="004F1665">
        <w:rPr>
          <w:i/>
          <w:szCs w:val="24"/>
          <w:vertAlign w:val="subscript"/>
          <w:lang w:val="en-CA"/>
        </w:rPr>
        <w:t xml:space="preserve">k </w:t>
      </w:r>
      <w:r w:rsidRPr="004F1665">
        <w:rPr>
          <w:szCs w:val="24"/>
          <w:lang w:val="en-CA"/>
        </w:rPr>
        <w:t>(</w:t>
      </w:r>
      <w:r w:rsidRPr="004F1665">
        <w:rPr>
          <w:i/>
          <w:szCs w:val="24"/>
          <w:lang w:val="en-CA"/>
        </w:rPr>
        <w:t>t</w:t>
      </w:r>
      <w:r w:rsidRPr="004F1665">
        <w:rPr>
          <w:szCs w:val="24"/>
          <w:lang w:val="en-CA"/>
        </w:rPr>
        <w:t>) -</w:t>
      </w:r>
      <w:r w:rsidRPr="004F1665">
        <w:rPr>
          <w:rFonts w:ascii="Arial" w:eastAsia="Calibri" w:hAnsi="Arial" w:cs="Arial"/>
          <w:szCs w:val="24"/>
          <w:shd w:val="clear" w:color="auto" w:fill="FFFFFF"/>
          <w:lang w:val="en-CA"/>
        </w:rPr>
        <w:t xml:space="preserve"> </w:t>
      </w:r>
      <w:proofErr w:type="spellStart"/>
      <w:r w:rsidRPr="004F1665">
        <w:rPr>
          <w:szCs w:val="24"/>
          <w:lang w:val="en-CA"/>
        </w:rPr>
        <w:t>x̄</w:t>
      </w:r>
      <w:r w:rsidRPr="004F1665">
        <w:rPr>
          <w:i/>
          <w:szCs w:val="24"/>
          <w:vertAlign w:val="subscript"/>
          <w:lang w:val="en-CA"/>
        </w:rPr>
        <w:t>k</w:t>
      </w:r>
      <w:proofErr w:type="spellEnd"/>
      <w:r w:rsidRPr="004F1665">
        <w:rPr>
          <w:szCs w:val="24"/>
          <w:lang w:val="en-CA"/>
        </w:rPr>
        <w:t>) (x</w:t>
      </w:r>
      <w:r w:rsidRPr="004F1665">
        <w:rPr>
          <w:i/>
          <w:szCs w:val="24"/>
          <w:vertAlign w:val="subscript"/>
          <w:lang w:val="en-CA"/>
        </w:rPr>
        <w:t>l</w:t>
      </w:r>
      <w:r w:rsidRPr="004F1665">
        <w:rPr>
          <w:szCs w:val="24"/>
          <w:lang w:val="en-CA"/>
        </w:rPr>
        <w:t>(</w:t>
      </w:r>
      <w:r w:rsidRPr="004F1665">
        <w:rPr>
          <w:i/>
          <w:szCs w:val="24"/>
          <w:lang w:val="en-CA"/>
        </w:rPr>
        <w:t>t</w:t>
      </w:r>
      <w:r w:rsidRPr="004F1665">
        <w:rPr>
          <w:szCs w:val="24"/>
          <w:lang w:val="en-CA"/>
        </w:rPr>
        <w:t xml:space="preserve">) - </w:t>
      </w:r>
      <w:proofErr w:type="spellStart"/>
      <w:proofErr w:type="gramStart"/>
      <w:r w:rsidRPr="004F1665">
        <w:rPr>
          <w:szCs w:val="24"/>
          <w:lang w:val="en-CA"/>
        </w:rPr>
        <w:t>x̄</w:t>
      </w:r>
      <w:r w:rsidRPr="004F1665">
        <w:rPr>
          <w:i/>
          <w:szCs w:val="24"/>
          <w:vertAlign w:val="subscript"/>
          <w:lang w:val="en-CA"/>
        </w:rPr>
        <w:t>l</w:t>
      </w:r>
      <w:proofErr w:type="spellEnd"/>
      <w:r w:rsidRPr="004F1665">
        <w:rPr>
          <w:szCs w:val="24"/>
          <w:lang w:val="en-CA"/>
        </w:rPr>
        <w:t>)</w:t>
      </w:r>
      <w:r w:rsidRPr="004F1665">
        <w:rPr>
          <w:szCs w:val="24"/>
          <w:vertAlign w:val="superscript"/>
          <w:lang w:val="en-CA"/>
        </w:rPr>
        <w:t>T</w:t>
      </w:r>
      <w:proofErr w:type="gramEnd"/>
    </w:p>
    <w:p w14:paraId="435EBBC3" w14:textId="77777777" w:rsidR="003408D8" w:rsidRPr="004F1665" w:rsidRDefault="003408D8" w:rsidP="003408D8">
      <w:pPr>
        <w:rPr>
          <w:rFonts w:eastAsia="Calibri"/>
          <w:szCs w:val="24"/>
          <w:lang w:val="en-CA"/>
        </w:rPr>
      </w:pPr>
      <w:r w:rsidRPr="004F1665">
        <w:rPr>
          <w:rFonts w:eastAsia="Calibri"/>
          <w:szCs w:val="24"/>
          <w:lang w:val="en-CA"/>
        </w:rPr>
        <w:t xml:space="preserve">calculates the cross-covariance between participant </w:t>
      </w:r>
      <w:r w:rsidRPr="004F1665">
        <w:rPr>
          <w:rFonts w:eastAsia="Calibri"/>
          <w:i/>
          <w:szCs w:val="24"/>
          <w:lang w:val="en-CA"/>
        </w:rPr>
        <w:t>k</w:t>
      </w:r>
      <w:r w:rsidRPr="004F1665">
        <w:rPr>
          <w:rFonts w:eastAsia="Calibri"/>
          <w:szCs w:val="24"/>
          <w:lang w:val="en-CA"/>
        </w:rPr>
        <w:t xml:space="preserve"> and participant </w:t>
      </w:r>
      <w:r w:rsidRPr="004F1665">
        <w:rPr>
          <w:rFonts w:eastAsia="Calibri"/>
          <w:i/>
          <w:szCs w:val="24"/>
          <w:lang w:val="en-CA"/>
        </w:rPr>
        <w:t xml:space="preserve">l </w:t>
      </w:r>
      <w:r w:rsidRPr="004F1665">
        <w:rPr>
          <w:rFonts w:eastAsia="Calibri"/>
          <w:szCs w:val="24"/>
          <w:lang w:val="en-CA"/>
        </w:rPr>
        <w:t xml:space="preserve">across all electrodes x at time </w:t>
      </w:r>
      <w:r w:rsidRPr="004F1665">
        <w:rPr>
          <w:rFonts w:eastAsia="Calibri"/>
          <w:i/>
          <w:szCs w:val="24"/>
          <w:lang w:val="en-CA"/>
        </w:rPr>
        <w:t>t</w:t>
      </w:r>
      <w:r w:rsidRPr="004F1665">
        <w:rPr>
          <w:rFonts w:eastAsia="Calibri"/>
          <w:szCs w:val="24"/>
          <w:lang w:val="en-CA"/>
        </w:rPr>
        <w:t xml:space="preserve">. The eigenvectors </w:t>
      </w:r>
      <w:proofErr w:type="spellStart"/>
      <w:r w:rsidRPr="004F1665">
        <w:rPr>
          <w:rFonts w:eastAsia="Calibri"/>
          <w:szCs w:val="24"/>
          <w:lang w:val="en-CA"/>
        </w:rPr>
        <w:t>w</w:t>
      </w:r>
      <w:r w:rsidRPr="004F1665">
        <w:rPr>
          <w:rFonts w:eastAsia="Calibri"/>
          <w:i/>
          <w:szCs w:val="24"/>
          <w:vertAlign w:val="subscript"/>
          <w:lang w:val="en-CA"/>
        </w:rPr>
        <w:t>i</w:t>
      </w:r>
      <w:proofErr w:type="spellEnd"/>
      <w:r w:rsidRPr="004F1665">
        <w:rPr>
          <w:rFonts w:eastAsia="Calibri"/>
          <w:szCs w:val="24"/>
          <w:lang w:val="en-CA"/>
        </w:rPr>
        <w:t xml:space="preserve"> of the cross-covariance matrix R</w:t>
      </w:r>
      <w:r w:rsidRPr="004F1665">
        <w:rPr>
          <w:rFonts w:eastAsia="Calibri"/>
          <w:i/>
          <w:szCs w:val="24"/>
          <w:vertAlign w:val="subscript"/>
          <w:lang w:val="en-CA"/>
        </w:rPr>
        <w:t>w</w:t>
      </w:r>
      <w:r w:rsidRPr="004F1665">
        <w:rPr>
          <w:rFonts w:eastAsia="Calibri"/>
          <w:szCs w:val="24"/>
          <w:vertAlign w:val="superscript"/>
          <w:lang w:val="en-CA"/>
        </w:rPr>
        <w:t>-1</w:t>
      </w:r>
      <w:r w:rsidRPr="004F1665">
        <w:rPr>
          <w:rFonts w:eastAsia="Calibri"/>
          <w:szCs w:val="24"/>
          <w:lang w:val="en-CA"/>
        </w:rPr>
        <w:t>R</w:t>
      </w:r>
      <w:r w:rsidRPr="004F1665">
        <w:rPr>
          <w:rFonts w:eastAsia="Calibri"/>
          <w:i/>
          <w:szCs w:val="24"/>
          <w:vertAlign w:val="subscript"/>
          <w:lang w:val="en-CA"/>
        </w:rPr>
        <w:t>b</w:t>
      </w:r>
      <w:r w:rsidRPr="004F1665">
        <w:rPr>
          <w:rFonts w:eastAsia="Calibri"/>
          <w:szCs w:val="24"/>
          <w:vertAlign w:val="subscript"/>
          <w:lang w:val="en-CA"/>
        </w:rPr>
        <w:t>,</w:t>
      </w:r>
      <w:r w:rsidRPr="004F1665">
        <w:rPr>
          <w:rFonts w:eastAsia="Calibri"/>
          <w:i/>
          <w:szCs w:val="24"/>
          <w:vertAlign w:val="subscript"/>
          <w:lang w:val="en-CA"/>
        </w:rPr>
        <w:t xml:space="preserve"> </w:t>
      </w:r>
      <w:r w:rsidRPr="004F1665">
        <w:rPr>
          <w:rFonts w:eastAsia="Calibri"/>
          <w:szCs w:val="24"/>
          <w:lang w:val="en-CA"/>
        </w:rPr>
        <w:t xml:space="preserve">with the largest eigenvalues </w:t>
      </w:r>
      <w:proofErr w:type="spellStart"/>
      <w:r w:rsidRPr="004F1665">
        <w:rPr>
          <w:rFonts w:eastAsia="Calibri"/>
          <w:szCs w:val="24"/>
          <w:lang w:val="en-CA"/>
        </w:rPr>
        <w:t>λ</w:t>
      </w:r>
      <w:r w:rsidRPr="004F1665">
        <w:rPr>
          <w:rFonts w:eastAsia="Calibri"/>
          <w:i/>
          <w:szCs w:val="24"/>
          <w:vertAlign w:val="subscript"/>
          <w:lang w:val="en-CA"/>
        </w:rPr>
        <w:t>i</w:t>
      </w:r>
      <w:proofErr w:type="spellEnd"/>
      <w:r w:rsidRPr="004F1665">
        <w:rPr>
          <w:rFonts w:eastAsia="Calibri"/>
          <w:szCs w:val="24"/>
          <w:vertAlign w:val="subscript"/>
          <w:lang w:val="en-CA"/>
        </w:rPr>
        <w:t xml:space="preserve"> </w:t>
      </w:r>
      <w:r w:rsidRPr="004F1665">
        <w:rPr>
          <w:rFonts w:eastAsia="Calibri"/>
          <w:szCs w:val="24"/>
          <w:lang w:val="en-CA"/>
        </w:rPr>
        <w:t>calculated as (R</w:t>
      </w:r>
      <w:r w:rsidRPr="004F1665">
        <w:rPr>
          <w:rFonts w:eastAsia="Calibri"/>
          <w:i/>
          <w:szCs w:val="24"/>
          <w:vertAlign w:val="subscript"/>
          <w:lang w:val="en-CA"/>
        </w:rPr>
        <w:t>w</w:t>
      </w:r>
      <w:r w:rsidRPr="004F1665">
        <w:rPr>
          <w:rFonts w:eastAsia="Calibri"/>
          <w:szCs w:val="24"/>
          <w:vertAlign w:val="superscript"/>
          <w:lang w:val="en-CA"/>
        </w:rPr>
        <w:t>-1</w:t>
      </w:r>
      <w:proofErr w:type="gramStart"/>
      <w:r w:rsidRPr="004F1665">
        <w:rPr>
          <w:rFonts w:eastAsia="Calibri"/>
          <w:szCs w:val="24"/>
          <w:lang w:val="en-CA"/>
        </w:rPr>
        <w:t>R</w:t>
      </w:r>
      <w:r w:rsidRPr="004F1665">
        <w:rPr>
          <w:rFonts w:eastAsia="Calibri"/>
          <w:i/>
          <w:szCs w:val="24"/>
          <w:vertAlign w:val="subscript"/>
          <w:lang w:val="en-CA"/>
        </w:rPr>
        <w:t>b</w:t>
      </w:r>
      <w:r w:rsidRPr="004F1665">
        <w:rPr>
          <w:rFonts w:eastAsia="Calibri"/>
          <w:szCs w:val="24"/>
          <w:lang w:val="en-CA"/>
        </w:rPr>
        <w:t>)</w:t>
      </w:r>
      <w:proofErr w:type="spellStart"/>
      <w:r w:rsidRPr="004F1665">
        <w:rPr>
          <w:rFonts w:eastAsia="Calibri"/>
          <w:szCs w:val="24"/>
          <w:lang w:val="en-CA"/>
        </w:rPr>
        <w:t>w</w:t>
      </w:r>
      <w:r w:rsidRPr="004F1665">
        <w:rPr>
          <w:rFonts w:eastAsia="Calibri"/>
          <w:i/>
          <w:szCs w:val="24"/>
          <w:vertAlign w:val="subscript"/>
          <w:lang w:val="en-CA"/>
        </w:rPr>
        <w:t>i</w:t>
      </w:r>
      <w:proofErr w:type="spellEnd"/>
      <w:proofErr w:type="gramEnd"/>
      <w:r w:rsidRPr="004F1665">
        <w:rPr>
          <w:rFonts w:eastAsia="Calibri"/>
          <w:szCs w:val="24"/>
          <w:lang w:val="en-CA"/>
        </w:rPr>
        <w:t xml:space="preserve"> = </w:t>
      </w:r>
      <w:proofErr w:type="spellStart"/>
      <w:r w:rsidRPr="004F1665">
        <w:rPr>
          <w:rFonts w:eastAsia="Calibri"/>
          <w:szCs w:val="24"/>
          <w:lang w:val="en-CA"/>
        </w:rPr>
        <w:t>λ</w:t>
      </w:r>
      <w:r w:rsidRPr="004F1665">
        <w:rPr>
          <w:rFonts w:eastAsia="Calibri"/>
          <w:i/>
          <w:szCs w:val="24"/>
          <w:vertAlign w:val="subscript"/>
          <w:lang w:val="en-CA"/>
        </w:rPr>
        <w:t>i</w:t>
      </w:r>
      <w:r w:rsidRPr="004F1665">
        <w:rPr>
          <w:rFonts w:eastAsia="Calibri"/>
          <w:szCs w:val="24"/>
          <w:lang w:val="en-CA"/>
        </w:rPr>
        <w:t>w</w:t>
      </w:r>
      <w:r w:rsidRPr="004F1665">
        <w:rPr>
          <w:rFonts w:eastAsia="Calibri"/>
          <w:i/>
          <w:szCs w:val="24"/>
          <w:vertAlign w:val="subscript"/>
          <w:lang w:val="en-CA"/>
        </w:rPr>
        <w:t>i</w:t>
      </w:r>
      <w:proofErr w:type="spellEnd"/>
      <w:r w:rsidRPr="004F1665">
        <w:rPr>
          <w:rFonts w:eastAsia="Calibri"/>
          <w:szCs w:val="24"/>
          <w:lang w:val="en-CA"/>
        </w:rPr>
        <w:t xml:space="preserve"> are the components that maximize Pearson’s correlation between subjects in the data. Like the component ranking of PCA based on explained variance, components found using </w:t>
      </w:r>
      <w:proofErr w:type="spellStart"/>
      <w:r w:rsidRPr="004F1665">
        <w:rPr>
          <w:rFonts w:eastAsia="Calibri"/>
          <w:szCs w:val="24"/>
          <w:lang w:val="en-CA"/>
        </w:rPr>
        <w:t>rCA</w:t>
      </w:r>
      <w:proofErr w:type="spellEnd"/>
      <w:r w:rsidRPr="004F1665">
        <w:rPr>
          <w:rFonts w:eastAsia="Calibri"/>
          <w:szCs w:val="24"/>
          <w:lang w:val="en-CA"/>
        </w:rPr>
        <w:t xml:space="preserve"> are ranked-ordered by the magnitude of their correlation. The time courses and accompanying spatial weights of these correlated components represent patterns of evoked neural activity which are maximally correlated across all participants while listening to the “</w:t>
      </w:r>
      <w:r w:rsidRPr="004F1665">
        <w:rPr>
          <w:rFonts w:eastAsia="Calibri"/>
          <w:i/>
          <w:szCs w:val="24"/>
          <w:lang w:val="en-CA"/>
        </w:rPr>
        <w:t>Taken</w:t>
      </w:r>
      <w:r w:rsidRPr="004F1665">
        <w:rPr>
          <w:rFonts w:eastAsia="Calibri"/>
          <w:szCs w:val="24"/>
          <w:lang w:val="en-CA"/>
        </w:rPr>
        <w:t xml:space="preserve">” clip </w:t>
      </w:r>
      <w:r w:rsidRPr="004F1665">
        <w:rPr>
          <w:rFonts w:eastAsia="Calibri"/>
          <w:szCs w:val="24"/>
          <w:lang w:val="en-CA"/>
        </w:rPr>
        <w:fldChar w:fldCharType="begin" w:fldLock="1"/>
      </w:r>
      <w:r w:rsidRPr="004F1665">
        <w:rPr>
          <w:rFonts w:eastAsia="Calibri"/>
          <w:szCs w:val="24"/>
          <w:lang w:val="en-CA"/>
        </w:rPr>
        <w:instrText>ADDIN CSL_CITATION { "citationItems" : [ { "id" : "ITEM-1", "itemData" : { "DOI" : "10.1523/JNEUROSCI.2942-15.2016", "ISBN" : "0270-6474", "ISSN" : "0270-6474", "PMID" : "26961961", "abstract" : "UNLABELLED: Attentional engagement is a major determinant of how effectively we gather information through our senses. Alongside the sheer growth in the amount and variety of information content that we are presented with through modern media, there is increased variability in the degree to which we \"absorb\" that information. Traditional research on attention has illuminated the basic principles of sensory selection to isolated features or locations, but it provides little insight into the neural underpinnings of our attentional engagement with modern naturalistic content. Here, we show in human subjects that the reliability of an individual's neural responses with respect to a larger group provides a highly robust index of the level of attentional engagement with a naturalistic narrative stimulus. Specifically, fast electroencephalographic evoked responses were more strongly correlated across subjects when naturally attending to auditory or audiovisual narratives than when attention was directed inward to a mental arithmetic task during stimulus presentation. This effect was strongest for audiovisual stimuli with a cohesive narrative and greatly reduced for speech stimuli lacking meaning. For compelling audiovisual narratives, the effect is remarkably strong, allowing perfect discrimination between attentional state across individuals. Control experiments rule out possible confounds related to altered eye movement trajectories or order of presentation. We conclude that reliability of evoked activity reproduced across subjects viewing the same movie is highly sensitive to the attentional state of the viewer and listener, which is aided by a cohesive narrative.\\n\\nSIGNIFICANCE STATEMENT: Modern technology has brought about a monumental surge in the availability of information. There is a pressing need for ways to measure and characterize attentional engagement and understand the causes of its waxing and waning in natural settings. The present study demonstrates that the degree of an individual's attentional engagement with naturalistic narrative stimuli is strongly predicted by the degree of similarity of his/her neural responses to a wider group. The effect is so strong that it enables perfect classification of attentional state across individuals for some narrative stimuli. As modern information content continues to diversify, such direct neural metrics will become increasingly important to manage and evaluate its effects on both the healthy and disord\u2026", "author" : [ { "dropping-particle" : "", "family" : "Ki", "given" : "J.", "non-dropping-particle" : "", "parse-names" : false, "suffix" : "" }, { "dropping-particle" : "", "family" : "Kelly", "given" : "S.", "non-dropping-particle" : "", "parse-names" : false, "suffix" : "" }, { "dropping-particle" : "", "family" : "Parra", "given" : "Lucas C.", "non-dropping-particle" : "", "parse-names" : false, "suffix" : "" } ], "container-title" : "Journal of Neuroscience", "id" : "ITEM-1", "issue" : "10", "issued" : { "date-parts" : [ [ "2016" ] ] }, "page" : "3092-3101", "title" : "Attention strongly modulates reliability of neural responses to naturalistic narrative stimuli.", "type" : "article-journal", "volume" : "36" }, "uris" : [ "http://www.mendeley.com/documents/?uuid=43a34963-e97f-4a9e-a323-c98fcd5bdab8" ] } ], "mendeley" : { "formattedCitation" : "(Ki et al., 2016)", "plainTextFormattedCitation" : "(Ki et al., 2016)", "previouslyFormattedCitation" : "(Ki et al., 2016)" }, "properties" : { "noteIndex" : 0 }, "schema" : "https://github.com/citation-style-language/schema/raw/master/csl-citation.json" }</w:instrText>
      </w:r>
      <w:r w:rsidRPr="004F1665">
        <w:rPr>
          <w:rFonts w:eastAsia="Calibri"/>
          <w:szCs w:val="24"/>
          <w:lang w:val="en-CA"/>
        </w:rPr>
        <w:fldChar w:fldCharType="separate"/>
      </w:r>
      <w:r w:rsidRPr="004F1665">
        <w:rPr>
          <w:rFonts w:eastAsia="Calibri"/>
          <w:noProof/>
          <w:szCs w:val="24"/>
          <w:lang w:val="en-CA"/>
        </w:rPr>
        <w:t xml:space="preserve">(Ki </w:t>
      </w:r>
      <w:r w:rsidRPr="00A738B8">
        <w:rPr>
          <w:rFonts w:eastAsia="Calibri"/>
          <w:i/>
          <w:noProof/>
          <w:szCs w:val="24"/>
          <w:lang w:val="en-CA"/>
        </w:rPr>
        <w:t>et al</w:t>
      </w:r>
      <w:r w:rsidRPr="004F1665">
        <w:rPr>
          <w:rFonts w:eastAsia="Calibri"/>
          <w:noProof/>
          <w:szCs w:val="24"/>
          <w:lang w:val="en-CA"/>
        </w:rPr>
        <w:t>., 2016)</w:t>
      </w:r>
      <w:r w:rsidRPr="004F1665">
        <w:rPr>
          <w:rFonts w:eastAsia="Calibri"/>
          <w:szCs w:val="24"/>
          <w:lang w:val="en-CA"/>
        </w:rPr>
        <w:fldChar w:fldCharType="end"/>
      </w:r>
      <w:r w:rsidRPr="004F1665">
        <w:rPr>
          <w:rFonts w:eastAsia="Calibri"/>
          <w:szCs w:val="24"/>
          <w:lang w:val="en-CA"/>
        </w:rPr>
        <w:t xml:space="preserve">. In the current study, pooled within and between-subjects </w:t>
      </w:r>
      <w:proofErr w:type="spellStart"/>
      <w:r w:rsidRPr="004F1665">
        <w:rPr>
          <w:rFonts w:eastAsia="Calibri"/>
          <w:szCs w:val="24"/>
          <w:lang w:val="en-CA"/>
        </w:rPr>
        <w:t>covariances</w:t>
      </w:r>
      <w:proofErr w:type="spellEnd"/>
      <w:r w:rsidRPr="004F1665">
        <w:rPr>
          <w:rFonts w:eastAsia="Calibri"/>
          <w:szCs w:val="24"/>
          <w:lang w:val="en-CA"/>
        </w:rPr>
        <w:t xml:space="preserve"> were computed separately for the intact and scrambled audio conditions. Only the top component extracted from each condition (i.e., the spatial weights and time course which maximized Pearson’s correlation in the group-aggregate data) was considered for further analysis here. Although components </w:t>
      </w:r>
      <w:proofErr w:type="spellStart"/>
      <w:r w:rsidRPr="004F1665">
        <w:rPr>
          <w:rFonts w:eastAsia="Calibri"/>
          <w:i/>
          <w:szCs w:val="24"/>
          <w:lang w:val="en-CA"/>
        </w:rPr>
        <w:t>i</w:t>
      </w:r>
      <w:proofErr w:type="spellEnd"/>
      <w:r w:rsidRPr="004F1665">
        <w:rPr>
          <w:rFonts w:eastAsia="Calibri"/>
          <w:szCs w:val="24"/>
          <w:lang w:val="en-CA"/>
        </w:rPr>
        <w:t xml:space="preserve"> = 2…</w:t>
      </w:r>
      <w:r w:rsidRPr="004F1665">
        <w:rPr>
          <w:rFonts w:eastAsia="Calibri"/>
          <w:i/>
          <w:szCs w:val="24"/>
          <w:lang w:val="en-CA"/>
        </w:rPr>
        <w:t>n</w:t>
      </w:r>
      <w:r w:rsidRPr="004F1665">
        <w:rPr>
          <w:rFonts w:eastAsia="Calibri"/>
          <w:szCs w:val="24"/>
          <w:lang w:val="en-CA"/>
        </w:rPr>
        <w:t xml:space="preserve"> undoubtedly encompass various aspects of the experience </w:t>
      </w:r>
      <w:r w:rsidRPr="004F1665">
        <w:rPr>
          <w:rFonts w:eastAsia="Calibri"/>
          <w:szCs w:val="24"/>
          <w:lang w:val="en-CA"/>
        </w:rPr>
        <w:lastRenderedPageBreak/>
        <w:t>of listening to “</w:t>
      </w:r>
      <w:r w:rsidRPr="004F1665">
        <w:rPr>
          <w:rFonts w:eastAsia="Calibri"/>
          <w:i/>
          <w:szCs w:val="24"/>
          <w:lang w:val="en-CA"/>
        </w:rPr>
        <w:t>Taken</w:t>
      </w:r>
      <w:r w:rsidRPr="004F1665">
        <w:rPr>
          <w:rFonts w:eastAsia="Calibri"/>
          <w:szCs w:val="24"/>
          <w:lang w:val="en-CA"/>
        </w:rPr>
        <w:t xml:space="preserve">”, the top component reflects some neural processes that are most common across subjects and provides an optimal starting point to evaluate the utility of ISC as a means of capturing executive processing of the narrative. </w:t>
      </w:r>
    </w:p>
    <w:p w14:paraId="2455F2D8" w14:textId="77777777" w:rsidR="003408D8" w:rsidRPr="004F1665" w:rsidRDefault="003408D8" w:rsidP="003408D8">
      <w:pPr>
        <w:ind w:firstLine="720"/>
        <w:rPr>
          <w:rFonts w:eastAsia="Calibri"/>
          <w:szCs w:val="24"/>
          <w:lang w:val="en-CA"/>
        </w:rPr>
      </w:pPr>
      <w:r w:rsidRPr="004F1665">
        <w:rPr>
          <w:rStyle w:val="Heading4Char"/>
          <w:lang w:val="en-CA"/>
        </w:rPr>
        <w:t>Inter-subject correlation</w:t>
      </w:r>
      <w:r w:rsidRPr="004F1665">
        <w:rPr>
          <w:rFonts w:eastAsia="Calibri"/>
          <w:b/>
          <w:szCs w:val="24"/>
          <w:lang w:val="en-CA"/>
        </w:rPr>
        <w:t>.</w:t>
      </w:r>
      <w:r w:rsidRPr="004F1665">
        <w:rPr>
          <w:rFonts w:eastAsia="Calibri"/>
          <w:b/>
          <w:color w:val="FF0000"/>
          <w:szCs w:val="24"/>
          <w:lang w:val="en-CA"/>
        </w:rPr>
        <w:t xml:space="preserve"> </w:t>
      </w:r>
      <w:r w:rsidRPr="004F1665">
        <w:rPr>
          <w:rFonts w:eastAsia="Calibri"/>
          <w:szCs w:val="24"/>
          <w:lang w:val="en-CA"/>
        </w:rPr>
        <w:t xml:space="preserve">To assess the reliability of the correlated component at the single-subject level, time-resolved ISCs were computed by back projecting the component vectors </w:t>
      </w:r>
      <w:proofErr w:type="spellStart"/>
      <w:r w:rsidRPr="004F1665">
        <w:rPr>
          <w:rFonts w:eastAsia="Calibri"/>
          <w:szCs w:val="24"/>
          <w:lang w:val="en-CA"/>
        </w:rPr>
        <w:t>w</w:t>
      </w:r>
      <w:r w:rsidRPr="004F1665">
        <w:rPr>
          <w:rFonts w:eastAsia="Calibri"/>
          <w:i/>
          <w:szCs w:val="24"/>
          <w:vertAlign w:val="subscript"/>
          <w:lang w:val="en-CA"/>
        </w:rPr>
        <w:t>i</w:t>
      </w:r>
      <w:proofErr w:type="spellEnd"/>
      <w:r w:rsidRPr="004F1665">
        <w:rPr>
          <w:rFonts w:eastAsia="Calibri"/>
          <w:szCs w:val="24"/>
          <w:lang w:val="en-CA"/>
        </w:rPr>
        <w:t xml:space="preserve"> into the original subject data to derive a component time course for each participant. We did for each audio condition. With this per-subject time course, </w:t>
      </w:r>
      <w:r>
        <w:rPr>
          <w:rFonts w:eastAsia="Calibri"/>
          <w:szCs w:val="24"/>
          <w:lang w:val="en-CA"/>
        </w:rPr>
        <w:t xml:space="preserve">a </w:t>
      </w:r>
      <w:r w:rsidRPr="004F1665">
        <w:rPr>
          <w:rFonts w:eastAsia="Calibri"/>
          <w:szCs w:val="24"/>
          <w:lang w:val="en-CA"/>
        </w:rPr>
        <w:t xml:space="preserve">measure of ISC encompassing the entire duration of the clip was computed first to quantify the magnitude of the correlation between each individual participant and the group and establish a distribution of synchronization in healthy controls; this is similar to the ISC analysis computed by </w:t>
      </w:r>
      <w:proofErr w:type="spellStart"/>
      <w:r w:rsidRPr="004F1665">
        <w:rPr>
          <w:rFonts w:eastAsia="Calibri"/>
          <w:szCs w:val="24"/>
          <w:lang w:val="en-CA"/>
        </w:rPr>
        <w:t>Naci</w:t>
      </w:r>
      <w:proofErr w:type="spellEnd"/>
      <w:r w:rsidRPr="004F1665">
        <w:rPr>
          <w:rFonts w:eastAsia="Calibri"/>
          <w:szCs w:val="24"/>
          <w:lang w:val="en-CA"/>
        </w:rPr>
        <w:t xml:space="preserve"> </w:t>
      </w:r>
      <w:r w:rsidRPr="00A738B8">
        <w:rPr>
          <w:rFonts w:eastAsia="Calibri"/>
          <w:i/>
          <w:szCs w:val="24"/>
          <w:lang w:val="en-CA"/>
        </w:rPr>
        <w:t>et al</w:t>
      </w:r>
      <w:r w:rsidRPr="004F1665">
        <w:rPr>
          <w:rFonts w:eastAsia="Calibri"/>
          <w:szCs w:val="24"/>
          <w:lang w:val="en-CA"/>
        </w:rPr>
        <w:t>., 2015. To generate the distribution of ISCs, Pearson’s correlations were calculated between all possible pairs of subjects using a sliding window technique. A sliding window of five-seconds with a three-second overlap was used to generate a correlation coefficient between pairs at two-second intervals over the course of the audio</w:t>
      </w:r>
      <w:r w:rsidRPr="004F1665">
        <w:rPr>
          <w:szCs w:val="24"/>
          <w:lang w:val="en-CA"/>
        </w:rPr>
        <w:t>. This yielded 152 correlation coefficients for each of the 105 comparisons. The correlations computed for all subject pairs were then standardized using a Fisher’s Z transformation and averaged at each time point to produce a mean ISC time course for the intact and scrambled audio conditions.</w:t>
      </w:r>
    </w:p>
    <w:p w14:paraId="10521B7E" w14:textId="77777777" w:rsidR="003408D8" w:rsidRPr="004F1665" w:rsidRDefault="003408D8" w:rsidP="003408D8">
      <w:pPr>
        <w:ind w:firstLine="720"/>
        <w:rPr>
          <w:rFonts w:eastAsia="Calibri"/>
          <w:szCs w:val="24"/>
          <w:lang w:val="en-CA"/>
        </w:rPr>
      </w:pPr>
      <w:bookmarkStart w:id="0" w:name="_GoBack"/>
      <w:r w:rsidRPr="004F1665">
        <w:rPr>
          <w:rStyle w:val="Heading4Char"/>
          <w:lang w:val="en-CA"/>
        </w:rPr>
        <w:t>Statistical analyses</w:t>
      </w:r>
      <w:r w:rsidRPr="004F1665">
        <w:rPr>
          <w:rFonts w:eastAsia="Calibri"/>
          <w:b/>
          <w:szCs w:val="24"/>
          <w:lang w:val="en-CA"/>
        </w:rPr>
        <w:t>.</w:t>
      </w:r>
      <w:r w:rsidRPr="004F1665">
        <w:rPr>
          <w:rFonts w:eastAsia="Calibri"/>
          <w:szCs w:val="24"/>
          <w:lang w:val="en-CA"/>
        </w:rPr>
        <w:t xml:space="preserve"> Non-parametric permutation statistics were used to test the significance of the group-averaged component time course for each of the two audio conditions. Null distributions of correlation coefficients were created by iteratively phase-shifting the computed component time course for each participant and computing mean of the pairwise correlations with the rest of the group for each of the 152 time windows </w:t>
      </w:r>
      <w:r w:rsidRPr="004F1665">
        <w:rPr>
          <w:rFonts w:eastAsia="Calibri"/>
          <w:szCs w:val="24"/>
          <w:lang w:val="en-CA"/>
        </w:rPr>
        <w:fldChar w:fldCharType="begin" w:fldLock="1"/>
      </w:r>
      <w:r w:rsidRPr="004F1665">
        <w:rPr>
          <w:rFonts w:eastAsia="Calibri"/>
          <w:szCs w:val="24"/>
          <w:lang w:val="en-CA"/>
        </w:rPr>
        <w:instrText>ADDIN CSL_CITATION { "citationItems" : [ { "id" : "ITEM-1", "itemData" : { "DOI" : "10.1016/0167-2789(92)90102-S", "ISBN" : "0167-2789", "ISSN" : "01672789", "PMID" : "18696056", "abstract" : "We describe a statistical approach for identifying nonlinearity in time series. The method first specifies some linear process as a null hypothesis, then generates surrogate data sets which are consistent with this null hypothesis, and finally computes a discriminating statistic for the original and for each of the surrogate data sets. If the value computed for the original data is significantly different than the ensemble of values computed for the surrogate data, then the null hypothesis is rejected and nonlinearity is detected. We discuss various null hypotheses and discriminating statistics. The method is demonstrated for numerical data generated by known chaotic systems, and applied to a number of experimental time series which arise in the measurement of superfluids, brain waves, and sunspots; we evaluate the statistical significance of the evidence for nonlinear structure in each case, and illustrate aspects of the data which this approach identifies.", "author" : [ { "dropping-particle" : "", "family" : "Theiler", "given" : "J", "non-dropping-particle" : "", "parse-names" : false, "suffix" : "" }, { "dropping-particle" : "", "family" : "Eubank", "given" : "S", "non-dropping-particle" : "", "parse-names" : false, "suffix" : "" }, { "dropping-particle" : "", "family" : "Longtin", "given" : "A", "non-dropping-particle" : "", "parse-names" : false, "suffix" : "" }, { "dropping-particle" : "", "family" : "Galdrikian", "given" : "B", "non-dropping-particle" : "", "parse-names" : false, "suffix" : "" }, { "dropping-particle" : "", "family" : "Farmer", "given" : "J D", "non-dropping-particle" : "", "parse-names" : false, "suffix" : "" } ], "container-title" : "Physica D", "id" : "ITEM-1", "issue" : "1-4", "issued" : { "date-parts" : [ [ "1992" ] ] }, "page" : "77-94", "title" : "Testing for nonlinarity in time series: the method of surrogate data", "type" : "article-journal", "volume" : "58" }, "uris" : [ "http://www.mendeley.com/documents/?uuid=03d7ac5e-ebd7-4041-b574-a98e87bae538" ] } ], "mendeley" : { "formattedCitation" : "(Theiler, Eubank, Longtin, Galdrikian, &amp; Farmer, 1992)", "plainTextFormattedCitation" : "(Theiler, Eubank, Longtin, Galdrikian, &amp; Farmer, 1992)", "previouslyFormattedCitation" : "(Theiler, Eubank, Longtin, Galdrikian, &amp; Farmer, 1992)" }, "properties" : { "noteIndex" : 0 }, "schema" : "https://github.com/citation-style-language/schema/raw/master/csl-citation.json" }</w:instrText>
      </w:r>
      <w:r w:rsidRPr="004F1665">
        <w:rPr>
          <w:rFonts w:eastAsia="Calibri"/>
          <w:szCs w:val="24"/>
          <w:lang w:val="en-CA"/>
        </w:rPr>
        <w:fldChar w:fldCharType="separate"/>
      </w:r>
      <w:r w:rsidRPr="004F1665">
        <w:rPr>
          <w:rFonts w:eastAsia="Calibri"/>
          <w:noProof/>
          <w:szCs w:val="24"/>
          <w:lang w:val="en-CA"/>
        </w:rPr>
        <w:t>(Theiler, Eubank, Longtin, Galdrikian, &amp; Farmer, 1992)</w:t>
      </w:r>
      <w:r w:rsidRPr="004F1665">
        <w:rPr>
          <w:rFonts w:eastAsia="Calibri"/>
          <w:szCs w:val="24"/>
          <w:lang w:val="en-CA"/>
        </w:rPr>
        <w:fldChar w:fldCharType="end"/>
      </w:r>
      <w:r w:rsidRPr="004F1665">
        <w:rPr>
          <w:rFonts w:eastAsia="Calibri"/>
          <w:szCs w:val="24"/>
          <w:lang w:val="en-CA"/>
        </w:rPr>
        <w:t xml:space="preserve">. We did </w:t>
      </w:r>
      <w:r>
        <w:rPr>
          <w:rFonts w:eastAsia="Calibri"/>
          <w:szCs w:val="24"/>
          <w:lang w:val="en-CA"/>
        </w:rPr>
        <w:t xml:space="preserve">this </w:t>
      </w:r>
      <w:r w:rsidRPr="004F1665">
        <w:rPr>
          <w:rFonts w:eastAsia="Calibri"/>
          <w:szCs w:val="24"/>
          <w:lang w:val="en-CA"/>
        </w:rPr>
        <w:t>1000 times to generate a null distribution of potential correlation values. The upper 5% of each null distribution was used as the significance threshold for each time point. Significance levels were adjusted for multiple comparisons using a false discovery rate (FDR) correction. The number of significant two-second time windows was then compared between the intact and scrambled conditions using a Chi-square test of proport</w:t>
      </w:r>
      <w:r>
        <w:rPr>
          <w:rFonts w:eastAsia="Calibri"/>
          <w:szCs w:val="24"/>
          <w:lang w:val="en-CA"/>
        </w:rPr>
        <w:t xml:space="preserve">ion with an alpha level set to </w:t>
      </w:r>
      <w:r w:rsidRPr="004F1665">
        <w:rPr>
          <w:rFonts w:eastAsia="Calibri"/>
          <w:szCs w:val="24"/>
          <w:lang w:val="en-CA"/>
        </w:rPr>
        <w:t xml:space="preserve">.05. </w:t>
      </w:r>
    </w:p>
    <w:bookmarkEnd w:id="0"/>
    <w:p w14:paraId="38F56E24" w14:textId="77777777" w:rsidR="00572B29" w:rsidRDefault="00572B29"/>
    <w:sectPr w:rsidR="00572B2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7B3432"/>
    <w:multiLevelType w:val="multilevel"/>
    <w:tmpl w:val="1E68DC74"/>
    <w:lvl w:ilvl="0">
      <w:start w:val="1"/>
      <w:numFmt w:val="none"/>
      <w:pStyle w:val="Heading1"/>
      <w:lvlText w:val="%1"/>
      <w:lvlJc w:val="left"/>
      <w:pPr>
        <w:tabs>
          <w:tab w:val="num" w:pos="0"/>
        </w:tabs>
        <w:ind w:left="0" w:firstLine="0"/>
      </w:pPr>
      <w:rPr>
        <w:rFonts w:ascii="Times New Roman" w:hAnsi="Times New Roman" w:cs="Times New Roman" w:hint="default"/>
        <w:b w:val="0"/>
        <w:bCs w:val="0"/>
        <w:i w:val="0"/>
        <w:iCs w:val="0"/>
        <w:caps w:val="0"/>
        <w:smallCaps w:val="0"/>
        <w:strike w:val="0"/>
        <w:dstrike w:val="0"/>
        <w:vanish w:val="0"/>
        <w:color w:val="000000"/>
        <w:spacing w:val="0"/>
        <w:kern w:val="0"/>
        <w:position w:val="0"/>
        <w:sz w:val="36"/>
        <w:szCs w:val="36"/>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none"/>
      <w:pStyle w:val="Heading2"/>
      <w:lvlText w:val=""/>
      <w:lvlJc w:val="left"/>
      <w:pPr>
        <w:tabs>
          <w:tab w:val="num" w:pos="0"/>
        </w:tabs>
        <w:ind w:left="0" w:firstLine="0"/>
      </w:pPr>
      <w:rPr>
        <w:rFonts w:ascii="Times New Roman" w:hAnsi="Times New Roman" w:cs="Times New Roman" w:hint="default"/>
        <w:b w:val="0"/>
        <w:i w:val="0"/>
        <w:sz w:val="32"/>
        <w:szCs w:val="32"/>
      </w:rPr>
    </w:lvl>
    <w:lvl w:ilvl="2">
      <w:start w:val="1"/>
      <w:numFmt w:val="none"/>
      <w:pStyle w:val="Heading3"/>
      <w:lvlText w:val=""/>
      <w:lvlJc w:val="left"/>
      <w:pPr>
        <w:tabs>
          <w:tab w:val="num" w:pos="0"/>
        </w:tabs>
        <w:ind w:left="0" w:firstLine="0"/>
      </w:pPr>
      <w:rPr>
        <w:rFonts w:ascii="Times New Roman" w:hAnsi="Times New Roman" w:cs="Times New Roman" w:hint="default"/>
        <w:b w:val="0"/>
        <w:i w:val="0"/>
        <w:sz w:val="28"/>
        <w:szCs w:val="28"/>
      </w:rPr>
    </w:lvl>
    <w:lvl w:ilvl="3">
      <w:start w:val="1"/>
      <w:numFmt w:val="none"/>
      <w:pStyle w:val="Heading4"/>
      <w:lvlText w:val=""/>
      <w:lvlJc w:val="left"/>
      <w:pPr>
        <w:tabs>
          <w:tab w:val="num" w:pos="0"/>
        </w:tabs>
        <w:ind w:left="0" w:firstLine="0"/>
      </w:pPr>
      <w:rPr>
        <w:rFonts w:ascii="Times New Roman" w:hAnsi="Times New Roman" w:cs="Times New Roman" w:hint="default"/>
        <w:b w:val="0"/>
        <w:i w:val="0"/>
        <w:sz w:val="28"/>
        <w:szCs w:val="28"/>
      </w:rPr>
    </w:lvl>
    <w:lvl w:ilvl="4">
      <w:start w:val="1"/>
      <w:numFmt w:val="none"/>
      <w:pStyle w:val="Heading5"/>
      <w:lvlText w:val="%1"/>
      <w:lvlJc w:val="left"/>
      <w:pPr>
        <w:tabs>
          <w:tab w:val="num" w:pos="0"/>
        </w:tabs>
        <w:ind w:left="0" w:firstLine="0"/>
      </w:pPr>
      <w:rPr>
        <w:rFonts w:cs="Times New Roman" w:hint="default"/>
      </w:rPr>
    </w:lvl>
    <w:lvl w:ilvl="5">
      <w:start w:val="1"/>
      <w:numFmt w:val="decimal"/>
      <w:pStyle w:val="Heading6"/>
      <w:lvlText w:val="%1.%2.%3.%4.%5.%6"/>
      <w:lvlJc w:val="left"/>
      <w:pPr>
        <w:tabs>
          <w:tab w:val="num" w:pos="0"/>
        </w:tabs>
        <w:ind w:left="0" w:firstLine="0"/>
      </w:pPr>
      <w:rPr>
        <w:rFonts w:ascii="Arial" w:hAnsi="Arial" w:cs="Times New Roman" w:hint="default"/>
        <w:b w:val="0"/>
        <w:bCs w:val="0"/>
        <w:i w:val="0"/>
        <w:iCs w:val="0"/>
        <w:caps w:val="0"/>
        <w:smallCaps w:val="0"/>
        <w:strike w:val="0"/>
        <w:dstrike w:val="0"/>
        <w:vanish w:val="0"/>
        <w:color w:val="000000"/>
        <w:spacing w:val="0"/>
        <w:kern w:val="0"/>
        <w:position w:val="0"/>
        <w:sz w:val="28"/>
        <w:szCs w:val="28"/>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Heading7"/>
      <w:lvlText w:val="%1.%2.%3.%4.%5.%6.%7"/>
      <w:lvlJc w:val="left"/>
      <w:pPr>
        <w:tabs>
          <w:tab w:val="num" w:pos="0"/>
        </w:tabs>
        <w:ind w:left="0" w:firstLine="0"/>
      </w:pPr>
      <w:rPr>
        <w:rFonts w:cs="Times New Roman" w:hint="default"/>
      </w:rPr>
    </w:lvl>
    <w:lvl w:ilvl="7">
      <w:start w:val="1"/>
      <w:numFmt w:val="decimal"/>
      <w:pStyle w:val="Heading8"/>
      <w:lvlText w:val="%1.%2.%3.%4.%5.%6.%7.%8"/>
      <w:lvlJc w:val="left"/>
      <w:pPr>
        <w:tabs>
          <w:tab w:val="num" w:pos="0"/>
        </w:tabs>
        <w:ind w:left="0" w:firstLine="0"/>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pStyle w:val="Heading9"/>
      <w:lvlText w:val="%1.%2.%3.%4.%5.%6.%7.%8.%9"/>
      <w:lvlJc w:val="left"/>
      <w:pPr>
        <w:tabs>
          <w:tab w:val="num" w:pos="0"/>
        </w:tabs>
        <w:ind w:left="0" w:firstLine="0"/>
      </w:pPr>
      <w:rPr>
        <w:rFonts w:ascii="Arial" w:hAnsi="Arial" w:cs="Times New Roman" w:hint="default"/>
        <w:b w:val="0"/>
        <w:bCs w:val="0"/>
        <w:i w:val="0"/>
        <w:iCs w:val="0"/>
        <w:caps w:val="0"/>
        <w:smallCaps w:val="0"/>
        <w:strike w:val="0"/>
        <w:dstrike w:val="0"/>
        <w:vanish w:val="0"/>
        <w:color w:val="000000"/>
        <w:spacing w:val="0"/>
        <w:kern w:val="0"/>
        <w:position w:val="0"/>
        <w:sz w:val="28"/>
        <w:szCs w:val="28"/>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08D8"/>
    <w:rsid w:val="00043FD2"/>
    <w:rsid w:val="003408D8"/>
    <w:rsid w:val="00572B29"/>
    <w:rsid w:val="00702F46"/>
    <w:rsid w:val="007C1E42"/>
  </w:rsids>
  <m:mathPr>
    <m:mathFont m:val="Cambria Math"/>
    <m:brkBin m:val="before"/>
    <m:brkBinSub m:val="--"/>
    <m:smallFrac m:val="0"/>
    <m:dispDef/>
    <m:lMargin m:val="0"/>
    <m:rMargin m:val="0"/>
    <m:defJc m:val="centerGroup"/>
    <m:wrapIndent m:val="1440"/>
    <m:intLim m:val="subSup"/>
    <m:naryLim m:val="undOvr"/>
  </m:mathPr>
  <w:themeFontLang w:val="en-CA"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3282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408D8"/>
    <w:pPr>
      <w:spacing w:before="240" w:after="0" w:line="360" w:lineRule="auto"/>
    </w:pPr>
    <w:rPr>
      <w:rFonts w:ascii="Times New Roman" w:eastAsia="Times New Roman" w:hAnsi="Times New Roman" w:cs="Times New Roman"/>
      <w:sz w:val="24"/>
      <w:szCs w:val="20"/>
      <w:lang w:val="en-US" w:eastAsia="en-CA"/>
    </w:rPr>
  </w:style>
  <w:style w:type="paragraph" w:styleId="Heading1">
    <w:name w:val="heading 1"/>
    <w:basedOn w:val="Normal"/>
    <w:next w:val="BodyText"/>
    <w:link w:val="Heading1Char"/>
    <w:qFormat/>
    <w:rsid w:val="003408D8"/>
    <w:pPr>
      <w:keepNext/>
      <w:numPr>
        <w:numId w:val="1"/>
      </w:numPr>
      <w:tabs>
        <w:tab w:val="left" w:pos="720"/>
      </w:tabs>
      <w:spacing w:after="120" w:line="240" w:lineRule="auto"/>
      <w:outlineLvl w:val="0"/>
    </w:pPr>
    <w:rPr>
      <w:rFonts w:ascii="Arial" w:hAnsi="Arial" w:cs="Arial"/>
      <w:bCs/>
      <w:kern w:val="32"/>
      <w:sz w:val="32"/>
      <w:szCs w:val="36"/>
    </w:rPr>
  </w:style>
  <w:style w:type="paragraph" w:styleId="Heading2">
    <w:name w:val="heading 2"/>
    <w:basedOn w:val="Heading1"/>
    <w:next w:val="BodyText"/>
    <w:link w:val="Heading2Char"/>
    <w:qFormat/>
    <w:rsid w:val="003408D8"/>
    <w:pPr>
      <w:numPr>
        <w:ilvl w:val="1"/>
      </w:numPr>
      <w:tabs>
        <w:tab w:val="clear" w:pos="720"/>
      </w:tabs>
      <w:outlineLvl w:val="1"/>
    </w:pPr>
    <w:rPr>
      <w:rFonts w:ascii="Times New Roman" w:hAnsi="Times New Roman" w:cs="Times New Roman"/>
      <w:bCs w:val="0"/>
      <w:iCs/>
      <w:szCs w:val="28"/>
    </w:rPr>
  </w:style>
  <w:style w:type="paragraph" w:styleId="Heading3">
    <w:name w:val="heading 3"/>
    <w:basedOn w:val="Heading2"/>
    <w:next w:val="BodyText"/>
    <w:link w:val="Heading3Char"/>
    <w:qFormat/>
    <w:rsid w:val="003408D8"/>
    <w:pPr>
      <w:numPr>
        <w:ilvl w:val="2"/>
      </w:numPr>
      <w:tabs>
        <w:tab w:val="left" w:pos="1080"/>
      </w:tabs>
      <w:outlineLvl w:val="2"/>
    </w:pPr>
    <w:rPr>
      <w:rFonts w:eastAsia="Calibri"/>
      <w:b/>
      <w:bCs/>
      <w:sz w:val="24"/>
      <w:szCs w:val="24"/>
    </w:rPr>
  </w:style>
  <w:style w:type="paragraph" w:styleId="Heading4">
    <w:name w:val="heading 4"/>
    <w:basedOn w:val="Heading3"/>
    <w:next w:val="BodyText"/>
    <w:link w:val="Heading4Char"/>
    <w:qFormat/>
    <w:rsid w:val="003408D8"/>
    <w:pPr>
      <w:numPr>
        <w:ilvl w:val="3"/>
      </w:numPr>
      <w:tabs>
        <w:tab w:val="clear" w:pos="1080"/>
        <w:tab w:val="left" w:pos="1260"/>
      </w:tabs>
      <w:outlineLvl w:val="3"/>
    </w:pPr>
  </w:style>
  <w:style w:type="paragraph" w:styleId="Heading5">
    <w:name w:val="heading 5"/>
    <w:basedOn w:val="Heading4"/>
    <w:next w:val="Normal"/>
    <w:link w:val="Heading5Char"/>
    <w:qFormat/>
    <w:rsid w:val="003408D8"/>
    <w:pPr>
      <w:numPr>
        <w:ilvl w:val="4"/>
      </w:numPr>
      <w:tabs>
        <w:tab w:val="clear" w:pos="1260"/>
        <w:tab w:val="num" w:pos="1800"/>
      </w:tabs>
      <w:outlineLvl w:val="4"/>
    </w:pPr>
    <w:rPr>
      <w:bCs w:val="0"/>
      <w:iCs w:val="0"/>
    </w:rPr>
  </w:style>
  <w:style w:type="paragraph" w:styleId="Heading6">
    <w:name w:val="heading 6"/>
    <w:basedOn w:val="Heading5"/>
    <w:next w:val="Normal"/>
    <w:link w:val="Heading6Char"/>
    <w:qFormat/>
    <w:rsid w:val="003408D8"/>
    <w:pPr>
      <w:numPr>
        <w:ilvl w:val="5"/>
      </w:numPr>
      <w:tabs>
        <w:tab w:val="clear" w:pos="1800"/>
      </w:tabs>
      <w:spacing w:after="60"/>
      <w:outlineLvl w:val="5"/>
    </w:pPr>
    <w:rPr>
      <w:bCs/>
      <w:szCs w:val="22"/>
    </w:rPr>
  </w:style>
  <w:style w:type="paragraph" w:styleId="Heading7">
    <w:name w:val="heading 7"/>
    <w:basedOn w:val="Heading6"/>
    <w:next w:val="Normal"/>
    <w:link w:val="Heading7Char"/>
    <w:qFormat/>
    <w:rsid w:val="003408D8"/>
    <w:pPr>
      <w:numPr>
        <w:ilvl w:val="6"/>
      </w:numPr>
      <w:tabs>
        <w:tab w:val="num" w:pos="2160"/>
      </w:tabs>
      <w:outlineLvl w:val="6"/>
    </w:pPr>
    <w:rPr>
      <w:szCs w:val="24"/>
    </w:rPr>
  </w:style>
  <w:style w:type="paragraph" w:styleId="Heading8">
    <w:name w:val="heading 8"/>
    <w:basedOn w:val="Heading7"/>
    <w:next w:val="Normal"/>
    <w:link w:val="Heading8Char"/>
    <w:qFormat/>
    <w:rsid w:val="003408D8"/>
    <w:pPr>
      <w:numPr>
        <w:ilvl w:val="7"/>
      </w:numPr>
      <w:tabs>
        <w:tab w:val="clear" w:pos="2160"/>
        <w:tab w:val="num" w:pos="2520"/>
      </w:tabs>
      <w:outlineLvl w:val="7"/>
    </w:pPr>
    <w:rPr>
      <w:bCs w:val="0"/>
      <w:kern w:val="0"/>
      <w:szCs w:val="28"/>
    </w:rPr>
  </w:style>
  <w:style w:type="paragraph" w:styleId="Heading9">
    <w:name w:val="heading 9"/>
    <w:basedOn w:val="Heading8"/>
    <w:next w:val="Normal"/>
    <w:link w:val="Heading9Char"/>
    <w:qFormat/>
    <w:rsid w:val="003408D8"/>
    <w:pPr>
      <w:numPr>
        <w:ilvl w:val="8"/>
      </w:numPr>
      <w:tabs>
        <w:tab w:val="clear" w:pos="2520"/>
        <w:tab w:val="num" w:pos="2340"/>
        <w:tab w:val="num" w:pos="2880"/>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408D8"/>
    <w:rPr>
      <w:rFonts w:ascii="Arial" w:eastAsia="Times New Roman" w:hAnsi="Arial" w:cs="Arial"/>
      <w:bCs/>
      <w:kern w:val="32"/>
      <w:sz w:val="32"/>
      <w:szCs w:val="36"/>
      <w:lang w:val="en-US" w:eastAsia="en-CA"/>
    </w:rPr>
  </w:style>
  <w:style w:type="character" w:customStyle="1" w:styleId="Heading2Char">
    <w:name w:val="Heading 2 Char"/>
    <w:basedOn w:val="DefaultParagraphFont"/>
    <w:link w:val="Heading2"/>
    <w:rsid w:val="003408D8"/>
    <w:rPr>
      <w:rFonts w:ascii="Times New Roman" w:eastAsia="Times New Roman" w:hAnsi="Times New Roman" w:cs="Times New Roman"/>
      <w:iCs/>
      <w:kern w:val="32"/>
      <w:sz w:val="32"/>
      <w:szCs w:val="28"/>
      <w:lang w:val="en-US" w:eastAsia="en-CA"/>
    </w:rPr>
  </w:style>
  <w:style w:type="character" w:customStyle="1" w:styleId="Heading3Char">
    <w:name w:val="Heading 3 Char"/>
    <w:basedOn w:val="DefaultParagraphFont"/>
    <w:link w:val="Heading3"/>
    <w:rsid w:val="003408D8"/>
    <w:rPr>
      <w:rFonts w:ascii="Times New Roman" w:eastAsia="Calibri" w:hAnsi="Times New Roman" w:cs="Times New Roman"/>
      <w:b/>
      <w:bCs/>
      <w:iCs/>
      <w:kern w:val="32"/>
      <w:sz w:val="24"/>
      <w:szCs w:val="24"/>
      <w:lang w:val="en-US" w:eastAsia="en-CA"/>
    </w:rPr>
  </w:style>
  <w:style w:type="character" w:customStyle="1" w:styleId="Heading4Char">
    <w:name w:val="Heading 4 Char"/>
    <w:basedOn w:val="DefaultParagraphFont"/>
    <w:link w:val="Heading4"/>
    <w:rsid w:val="003408D8"/>
    <w:rPr>
      <w:rFonts w:ascii="Times New Roman" w:eastAsia="Calibri" w:hAnsi="Times New Roman" w:cs="Times New Roman"/>
      <w:b/>
      <w:bCs/>
      <w:iCs/>
      <w:kern w:val="32"/>
      <w:sz w:val="24"/>
      <w:szCs w:val="24"/>
      <w:lang w:val="en-US" w:eastAsia="en-CA"/>
    </w:rPr>
  </w:style>
  <w:style w:type="character" w:customStyle="1" w:styleId="Heading5Char">
    <w:name w:val="Heading 5 Char"/>
    <w:basedOn w:val="DefaultParagraphFont"/>
    <w:link w:val="Heading5"/>
    <w:rsid w:val="003408D8"/>
    <w:rPr>
      <w:rFonts w:ascii="Times New Roman" w:eastAsia="Calibri" w:hAnsi="Times New Roman" w:cs="Times New Roman"/>
      <w:b/>
      <w:kern w:val="32"/>
      <w:sz w:val="24"/>
      <w:szCs w:val="24"/>
      <w:lang w:val="en-US" w:eastAsia="en-CA"/>
    </w:rPr>
  </w:style>
  <w:style w:type="character" w:customStyle="1" w:styleId="Heading6Char">
    <w:name w:val="Heading 6 Char"/>
    <w:basedOn w:val="DefaultParagraphFont"/>
    <w:link w:val="Heading6"/>
    <w:rsid w:val="003408D8"/>
    <w:rPr>
      <w:rFonts w:ascii="Times New Roman" w:eastAsia="Calibri" w:hAnsi="Times New Roman" w:cs="Times New Roman"/>
      <w:b/>
      <w:bCs/>
      <w:kern w:val="32"/>
      <w:sz w:val="24"/>
      <w:lang w:val="en-US" w:eastAsia="en-CA"/>
    </w:rPr>
  </w:style>
  <w:style w:type="character" w:customStyle="1" w:styleId="Heading7Char">
    <w:name w:val="Heading 7 Char"/>
    <w:basedOn w:val="DefaultParagraphFont"/>
    <w:link w:val="Heading7"/>
    <w:rsid w:val="003408D8"/>
    <w:rPr>
      <w:rFonts w:ascii="Times New Roman" w:eastAsia="Calibri" w:hAnsi="Times New Roman" w:cs="Times New Roman"/>
      <w:b/>
      <w:bCs/>
      <w:kern w:val="32"/>
      <w:sz w:val="24"/>
      <w:szCs w:val="24"/>
      <w:lang w:val="en-US" w:eastAsia="en-CA"/>
    </w:rPr>
  </w:style>
  <w:style w:type="character" w:customStyle="1" w:styleId="Heading8Char">
    <w:name w:val="Heading 8 Char"/>
    <w:basedOn w:val="DefaultParagraphFont"/>
    <w:link w:val="Heading8"/>
    <w:rsid w:val="003408D8"/>
    <w:rPr>
      <w:rFonts w:ascii="Times New Roman" w:eastAsia="Calibri" w:hAnsi="Times New Roman" w:cs="Times New Roman"/>
      <w:b/>
      <w:sz w:val="24"/>
      <w:szCs w:val="28"/>
      <w:lang w:val="en-US" w:eastAsia="en-CA"/>
    </w:rPr>
  </w:style>
  <w:style w:type="character" w:customStyle="1" w:styleId="Heading9Char">
    <w:name w:val="Heading 9 Char"/>
    <w:basedOn w:val="DefaultParagraphFont"/>
    <w:link w:val="Heading9"/>
    <w:rsid w:val="003408D8"/>
    <w:rPr>
      <w:rFonts w:ascii="Times New Roman" w:eastAsia="Calibri" w:hAnsi="Times New Roman" w:cs="Times New Roman"/>
      <w:b/>
      <w:sz w:val="24"/>
      <w:szCs w:val="28"/>
      <w:lang w:val="en-US" w:eastAsia="en-CA"/>
    </w:rPr>
  </w:style>
  <w:style w:type="paragraph" w:styleId="BodyText">
    <w:name w:val="Body Text"/>
    <w:basedOn w:val="Normal"/>
    <w:link w:val="BodyTextChar"/>
    <w:uiPriority w:val="99"/>
    <w:semiHidden/>
    <w:unhideWhenUsed/>
    <w:rsid w:val="003408D8"/>
    <w:pPr>
      <w:spacing w:after="120"/>
    </w:pPr>
  </w:style>
  <w:style w:type="character" w:customStyle="1" w:styleId="BodyTextChar">
    <w:name w:val="Body Text Char"/>
    <w:basedOn w:val="DefaultParagraphFont"/>
    <w:link w:val="BodyText"/>
    <w:uiPriority w:val="99"/>
    <w:semiHidden/>
    <w:rsid w:val="003408D8"/>
    <w:rPr>
      <w:rFonts w:ascii="Times New Roman" w:eastAsia="Times New Roman" w:hAnsi="Times New Roman" w:cs="Times New Roman"/>
      <w:sz w:val="24"/>
      <w:szCs w:val="20"/>
      <w:lang w:val="en-US" w:eastAsia="en-CA"/>
    </w:rPr>
  </w:style>
  <w:style w:type="paragraph" w:styleId="BalloonText">
    <w:name w:val="Balloon Text"/>
    <w:basedOn w:val="Normal"/>
    <w:link w:val="BalloonTextChar"/>
    <w:uiPriority w:val="99"/>
    <w:semiHidden/>
    <w:unhideWhenUsed/>
    <w:rsid w:val="003408D8"/>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08D8"/>
    <w:rPr>
      <w:rFonts w:ascii="Tahoma" w:eastAsia="Times New Roman" w:hAnsi="Tahoma" w:cs="Tahoma"/>
      <w:sz w:val="16"/>
      <w:szCs w:val="16"/>
      <w:lang w:val="en-US"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4913</Words>
  <Characters>28010</Characters>
  <Application>Microsoft Macintosh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UWO SSC</Company>
  <LinksUpToDate>false</LinksUpToDate>
  <CharactersWithSpaces>32858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Geoffrey Laforge</dc:creator>
  <cp:lastModifiedBy>Avital Sternin</cp:lastModifiedBy>
  <cp:revision>2</cp:revision>
  <dcterms:created xsi:type="dcterms:W3CDTF">2017-09-12T14:54:00Z</dcterms:created>
  <dcterms:modified xsi:type="dcterms:W3CDTF">2017-09-12T17:17:00Z</dcterms:modified>
</cp:coreProperties>
</file>