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PII Redaction Tool — Evaluation Strategy and Metrics</w:t>
      </w:r>
    </w:p>
    <w:p>
      <w:pPr>
        <w:jc w:val="left"/>
      </w:pPr>
      <w:r>
        <w:t>This report documents the evaluation strategy and results for the supplied Red Herring Prospectus.</w:t>
      </w:r>
    </w:p>
    <w:p>
      <w:pPr>
        <w:pStyle w:val="Heading1"/>
      </w:pPr>
      <w:r>
        <w:t>1. Evaluation strategy</w:t>
      </w:r>
    </w:p>
    <w:p>
      <w:r>
        <w:t>Two complementary evaluations were used: a small labelled rule-level benchmark and a document-level reference-inventory coverage audit. The benchmark contains both positive and hard-negative examples.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92.59%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87.50%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100.00%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93.33%</w:t>
            </w:r>
          </w:p>
        </w:tc>
      </w:tr>
      <w:tr>
        <w:tc>
          <w:tcPr>
            <w:tcW w:type="dxa" w:w="4320"/>
          </w:tcPr>
          <w:p>
            <w:r>
              <w:t>True positives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True negatives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False positives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False negatives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Benchmark limitation: the 27-case suite is intentionally small and is not a statistical estimate of production performance.</w:t>
      </w:r>
    </w:p>
    <w:p>
      <w:pPr>
        <w:pStyle w:val="Heading1"/>
      </w:pPr>
      <w:r>
        <w:t>2. Document-level reference inventory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PII type</w:t>
            </w:r>
          </w:p>
        </w:tc>
        <w:tc>
          <w:tcPr>
            <w:tcW w:type="dxa" w:w="4320"/>
          </w:tcPr>
          <w:p>
            <w:r>
              <w:t>Unique reference instances</w:t>
            </w:r>
          </w:p>
        </w:tc>
      </w:tr>
      <w:tr>
        <w:tc>
          <w:tcPr>
            <w:tcW w:type="dxa" w:w="4320"/>
          </w:tcPr>
          <w:p>
            <w:r>
              <w:t>Full names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Company names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Email addresses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Phone numbers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Physical/mailing address spans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SSNs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Credit-card numbers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Dates of birth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IPv4 addresses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All reference names, companies, emails, phones and address strings were absent from the redacted output. The SSN, credit-card, DOB and IPv4 categories had no source instances in the supplied prospectus, so recall for those categories is reported as N/A rather than as an artificial 100%.</w:t>
      </w:r>
    </w:p>
    <w:p>
      <w:pPr>
        <w:pStyle w:val="Heading1"/>
      </w:pPr>
      <w:r>
        <w:t>3. Redaction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Replacements applied</w:t>
            </w:r>
          </w:p>
        </w:tc>
      </w:tr>
      <w:tr>
        <w:tc>
          <w:tcPr>
            <w:tcW w:type="dxa" w:w="4320"/>
          </w:tcPr>
          <w:p>
            <w:r>
              <w:t>Persons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Emails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Phones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Addresses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SSNs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Credit cards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DOBs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IP addresses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4. Tradeoffs and false-positive risks</w:t>
      </w:r>
    </w:p>
    <w:p>
      <w:pPr>
        <w:pStyle w:val="ListBullet"/>
      </w:pPr>
      <w:r>
        <w:t>Names and company names are ambiguous without NER; the document-specific inventory is used to improve recall.</w:t>
      </w:r>
    </w:p>
    <w:p>
      <w:pPr>
        <w:pStyle w:val="ListBullet"/>
      </w:pPr>
      <w:r>
        <w:t>Phone detection is deliberately conservative to avoid financial figures and registration numbers.</w:t>
      </w:r>
    </w:p>
    <w:p>
      <w:pPr>
        <w:pStyle w:val="ListBullet"/>
      </w:pPr>
      <w:r>
        <w:t>Credit-card detection uses the Luhn checksum.</w:t>
      </w:r>
    </w:p>
    <w:p>
      <w:pPr>
        <w:pStyle w:val="ListBullet"/>
      </w:pPr>
      <w:r>
        <w:t>DOB detection requires an explicit DOB/Date of Birth label so ordinary prospectus dates are not redacted.</w:t>
      </w:r>
    </w:p>
    <w:p>
      <w:pPr>
        <w:pStyle w:val="ListBullet"/>
      </w:pPr>
      <w:r>
        <w:t>Addresses are difficult because they are fragmented across tables and line breaks.</w:t>
      </w:r>
    </w:p>
    <w:p>
      <w:pPr>
        <w:pStyle w:val="ListBullet"/>
      </w:pPr>
      <w:r>
        <w:t>Paragraph-level replacement preserves document/table structure but may flatten some run-level font formatting.</w:t>
      </w:r>
    </w:p>
    <w:p>
      <w:pPr>
        <w:pStyle w:val="Heading1"/>
      </w:pPr>
      <w:r>
        <w:t>5. Reproduction</w:t>
      </w:r>
    </w:p>
    <w:p>
      <w:r>
        <w:t>python pii_redactor.py "Red Herring Prospectus.docx" redacted_prospectus.docx --entities entity_inventory.json --report redaction_run.json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