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A5F"/>
          <w:sz w:val="40"/>
          <w:szCs w:val="40"/>
        </w:rPr>
        <w:t xml:space="preserve">PROJECT BUNIYAAD</w:t>
      </w:r>
    </w:p>
    <w:p>
      <w:pPr>
        <w:spacing w:after="160" w:before="0" w:line="264"/>
      </w:pPr>
      <w:r>
        <w:rPr>
          <w:rFonts w:ascii="Calibri" w:cs="Calibri" w:eastAsia="Calibri" w:hAnsi="Calibri"/>
          <w:b/>
          <w:bCs/>
          <w:color w:val="2B5A9E"/>
          <w:sz w:val="23"/>
          <w:szCs w:val="23"/>
        </w:rPr>
        <w:t xml:space="preserve">Foundational Literacy &amp; Numeracy for First-Generation Learners in Maharashtra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20" w:line="248"/>
            </w:pPr>
            <w:r>
              <w:rPr>
                <w:rFonts w:ascii="Calibri" w:cs="Calibri" w:eastAsia="Calibri" w:hAnsi="Calibri"/>
                <w:b/>
                <w:bCs/>
                <w:color w:val="222222"/>
                <w:sz w:val="19"/>
                <w:szCs w:val="19"/>
              </w:rPr>
              <w:t xml:space="preserve">Submitted by</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Vidya Setu Charitable Trust</w:t>
            </w:r>
          </w:p>
        </w:tc>
      </w:tr>
      <w:t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20" w:line="248"/>
            </w:pPr>
            <w:r>
              <w:rPr>
                <w:rFonts w:ascii="Calibri" w:cs="Calibri" w:eastAsia="Calibri" w:hAnsi="Calibri"/>
                <w:b/>
                <w:bCs/>
                <w:color w:val="222222"/>
                <w:sz w:val="19"/>
                <w:szCs w:val="19"/>
              </w:rPr>
              <w:t xml:space="preserve">Submitted to</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Helios Technologies Ltd. — CSR (Education, Schedule VII)</w:t>
            </w:r>
          </w:p>
        </w:tc>
      </w:tr>
      <w:t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20" w:line="248"/>
            </w:pPr>
            <w:r>
              <w:rPr>
                <w:rFonts w:ascii="Calibri" w:cs="Calibri" w:eastAsia="Calibri" w:hAnsi="Calibri"/>
                <w:b/>
                <w:bCs/>
                <w:color w:val="222222"/>
                <w:sz w:val="19"/>
                <w:szCs w:val="19"/>
              </w:rPr>
              <w:t xml:space="preserve">Geography</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Nandurbar, Gadchiroli &amp; Osmanabad districts, Maharashtra (aspirational districts)</w:t>
            </w:r>
          </w:p>
        </w:tc>
      </w:tr>
      <w:t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20" w:line="248"/>
            </w:pPr>
            <w:r>
              <w:rPr>
                <w:rFonts w:ascii="Calibri" w:cs="Calibri" w:eastAsia="Calibri" w:hAnsi="Calibri"/>
                <w:b/>
                <w:bCs/>
                <w:color w:val="222222"/>
                <w:sz w:val="19"/>
                <w:szCs w:val="19"/>
              </w:rPr>
              <w:t xml:space="preserve">Duration</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3 years (April 2026 – March 2029)</w:t>
            </w:r>
          </w:p>
        </w:tc>
      </w:tr>
      <w:tr>
        <w:tc>
          <w:tcPr>
            <w:tcW w:type="dxa" w:w="2600"/>
            <w:tcBorders>
              <w:top w:val="single" w:color="BFBFBF" w:sz="1"/>
              <w:left w:val="single" w:color="BFBFBF" w:sz="1"/>
              <w:bottom w:val="single" w:color="BFBFBF" w:sz="1"/>
              <w:right w:val="single" w:color="BFBFBF" w:sz="1"/>
            </w:tcBorders>
            <w:shd w:fill="DCE6F1" w:val="clear"/>
            <w:tcMar>
              <w:top w:type="dxa" w:w="60"/>
              <w:left w:type="dxa" w:w="110"/>
              <w:bottom w:type="dxa" w:w="60"/>
              <w:right w:type="dxa" w:w="110"/>
            </w:tcMar>
          </w:tcPr>
          <w:p>
            <w:pPr>
              <w:spacing w:after="20" w:line="248"/>
            </w:pPr>
            <w:r>
              <w:rPr>
                <w:rFonts w:ascii="Calibri" w:cs="Calibri" w:eastAsia="Calibri" w:hAnsi="Calibri"/>
                <w:b/>
                <w:bCs/>
                <w:color w:val="222222"/>
                <w:sz w:val="19"/>
                <w:szCs w:val="19"/>
              </w:rPr>
              <w:t xml:space="preserve">Total grant requested</w:t>
            </w:r>
          </w:p>
        </w:tc>
        <w:tc>
          <w:tcPr>
            <w:tcW w:type="dxa" w:w="6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INR 2,85,00,000 (Rupees Two Crore Eighty-Five Lakh)</w:t>
            </w:r>
          </w:p>
        </w:tc>
      </w:tr>
    </w:tbl>
    <w:p>
      <w:pPr>
        <w:pStyle w:val="Heading1"/>
        <w:pBdr>
          <w:bottom w:val="single" w:color="2B5A9E" w:sz="6" w:space="3"/>
        </w:pBdr>
        <w:spacing w:after="100" w:before="200"/>
      </w:pPr>
      <w:r>
        <w:rPr>
          <w:rFonts w:ascii="Calibri" w:cs="Calibri" w:eastAsia="Calibri" w:hAnsi="Calibri"/>
          <w:b/>
          <w:bCs/>
          <w:color w:val="1F3A5F"/>
          <w:sz w:val="26"/>
          <w:szCs w:val="26"/>
        </w:rPr>
        <w:t xml:space="preserve">1. About Vidya Setu Charitable Trust</w:t>
      </w:r>
    </w:p>
    <w:p>Vidya Setu Charitable Trust is a Pune-based education organisation established in 2013 and registered under the Bombay Public Trusts Act. Our mission is to ensure that every first-generation learner attains strong foundational literacy and numeracy by Grade 3. We work inside the government school system, in partnership with teachers and the State Council of Educational Research and Training (SCERT).</w:p>
    <w:p>Our Padho-Badho programme (2018–2021) improved Grade 1–3 reading outcomes for 2,000 children across 40 government schools in Pune district. Project Buniyaad applies this validated model at greater scale, reaching 5,000 children across three aspirational districts, in alignment with NEP 2020 and the NIPUN Bharat mission.</w:p>
    <w:p>
      <w:pPr>
        <w:pStyle w:val="Heading1"/>
        <w:pBdr>
          <w:bottom w:val="single" w:color="2B5A9E" w:sz="6" w:space="3"/>
        </w:pBdr>
        <w:spacing w:after="100" w:before="200"/>
      </w:pPr>
      <w:r>
        <w:rPr>
          <w:rFonts w:ascii="Calibri" w:cs="Calibri" w:eastAsia="Calibri" w:hAnsi="Calibri"/>
          <w:b/>
          <w:bCs/>
          <w:color w:val="1F3A5F"/>
          <w:sz w:val="26"/>
          <w:szCs w:val="26"/>
        </w:rPr>
        <w:t xml:space="preserve">2. The Problem</w:t>
      </w:r>
    </w:p>
    <w:p>National and state ASER data show that a majority of children in rural Maharashtra cannot read a Grade-2 level text or perform basic arithmetic by the end of primary school. In aspirational districts the gap is wider still, driven by first-generation learners, multi-grade classrooms, and limited teacher support for foundational pedagogy. Without targeted foundational intervention in the early grades, these children fall progressively behind.</w:p>
    <w:p>
      <w:pPr>
        <w:pStyle w:val="Heading1"/>
        <w:pBdr>
          <w:bottom w:val="single" w:color="2B5A9E" w:sz="6" w:space="3"/>
        </w:pBdr>
        <w:spacing w:after="100" w:before="200"/>
      </w:pPr>
      <w:r>
        <w:rPr>
          <w:rFonts w:ascii="Calibri" w:cs="Calibri" w:eastAsia="Calibri" w:hAnsi="Calibri"/>
          <w:b/>
          <w:bCs/>
          <w:color w:val="1F3A5F"/>
          <w:sz w:val="26"/>
          <w:szCs w:val="26"/>
        </w:rPr>
        <w:t xml:space="preserve">3. Goal, Objectives &amp; Approach</w:t>
      </w:r>
    </w:p>
    <w:p>
      <w:pPr>
        <w:spacing w:after="120" w:before="0" w:line="264"/>
      </w:pPr>
      <w:r>
        <w:rPr>
          <w:rFonts w:ascii="Calibri" w:cs="Calibri" w:eastAsia="Calibri" w:hAnsi="Calibri"/>
          <w:b/>
          <w:bCs/>
          <w:color w:val="222222"/>
          <w:sz w:val="21"/>
          <w:szCs w:val="21"/>
        </w:rPr>
        <w:t xml:space="preserve">Goal: </w:t>
      </w:r>
      <w:r>
        <w:rPr>
          <w:rFonts w:ascii="Calibri" w:cs="Calibri" w:eastAsia="Calibri" w:hAnsi="Calibri"/>
          <w:color w:val="222222"/>
          <w:sz w:val="21"/>
          <w:szCs w:val="21"/>
        </w:rPr>
        <w:t xml:space="preserve">To ensure 5,000 first-generation learners attain grade-level foundational literacy and numeracy over three years.</w:t>
      </w:r>
    </w:p>
    <w:p>
      <w:pPr>
        <w:spacing w:after="120" w:before="0" w:line="264"/>
      </w:pPr>
      <w:r>
        <w:rPr>
          <w:rFonts w:ascii="Calibri" w:cs="Calibri" w:eastAsia="Calibri" w:hAnsi="Calibri"/>
          <w:b/>
          <w:bCs/>
          <w:color w:val="2B5A9E"/>
          <w:sz w:val="21"/>
          <w:szCs w:val="21"/>
        </w:rPr>
        <w:t xml:space="preserve">OBJ-1  </w:t>
      </w:r>
      <w:r>
        <w:rPr>
          <w:rFonts w:ascii="Calibri" w:cs="Calibri" w:eastAsia="Calibri" w:hAnsi="Calibri"/>
          <w:color w:val="222222"/>
          <w:sz w:val="21"/>
          <w:szCs w:val="21"/>
        </w:rPr>
        <w:t xml:space="preserve">Improve grade-level reading and numeracy among 5,000 children in 100 government schools.</w:t>
      </w:r>
    </w:p>
    <w:p>
      <w:pPr>
        <w:spacing w:after="120" w:before="0" w:line="264"/>
      </w:pPr>
      <w:r>
        <w:rPr>
          <w:rFonts w:ascii="Calibri" w:cs="Calibri" w:eastAsia="Calibri" w:hAnsi="Calibri"/>
          <w:b/>
          <w:bCs/>
          <w:color w:val="2B5A9E"/>
          <w:sz w:val="21"/>
          <w:szCs w:val="21"/>
        </w:rPr>
        <w:t xml:space="preserve">OBJ-2  </w:t>
      </w:r>
      <w:r>
        <w:rPr>
          <w:rFonts w:ascii="Calibri" w:cs="Calibri" w:eastAsia="Calibri" w:hAnsi="Calibri"/>
          <w:color w:val="222222"/>
          <w:sz w:val="21"/>
          <w:szCs w:val="21"/>
        </w:rPr>
        <w:t xml:space="preserve">Build the FLN teaching capacity of 270 government teachers (NIPUN-aligned methods).</w:t>
      </w:r>
    </w:p>
    <w:p>
      <w:pPr>
        <w:spacing w:after="120" w:before="0" w:line="264"/>
      </w:pPr>
      <w:r>
        <w:rPr>
          <w:rFonts w:ascii="Calibri" w:cs="Calibri" w:eastAsia="Calibri" w:hAnsi="Calibri"/>
          <w:b/>
          <w:bCs/>
          <w:color w:val="2B5A9E"/>
          <w:sz w:val="21"/>
          <w:szCs w:val="21"/>
        </w:rPr>
        <w:t xml:space="preserve">OBJ-3  </w:t>
      </w:r>
      <w:r>
        <w:rPr>
          <w:rFonts w:ascii="Calibri" w:cs="Calibri" w:eastAsia="Calibri" w:hAnsi="Calibri"/>
          <w:color w:val="222222"/>
          <w:sz w:val="21"/>
          <w:szCs w:val="21"/>
        </w:rPr>
        <w:t xml:space="preserve">Run remedial / catch-up camps for children identified as below grade level.</w:t>
      </w:r>
    </w:p>
    <w:p>
      <w:pPr>
        <w:spacing w:after="120" w:before="0" w:line="264"/>
      </w:pPr>
      <w:r>
        <w:rPr>
          <w:rFonts w:ascii="Calibri" w:cs="Calibri" w:eastAsia="Calibri" w:hAnsi="Calibri"/>
          <w:b/>
          <w:bCs/>
          <w:color w:val="2B5A9E"/>
          <w:sz w:val="21"/>
          <w:szCs w:val="21"/>
        </w:rPr>
        <w:t xml:space="preserve">OBJ-4  </w:t>
      </w:r>
      <w:r>
        <w:rPr>
          <w:rFonts w:ascii="Calibri" w:cs="Calibri" w:eastAsia="Calibri" w:hAnsi="Calibri"/>
          <w:color w:val="222222"/>
          <w:sz w:val="21"/>
          <w:szCs w:val="21"/>
        </w:rPr>
        <w:t xml:space="preserve">Engage parents and the community to sustain reading habits at home.</w:t>
      </w:r>
    </w:p>
    <w:p>
      <w:pPr>
        <w:pStyle w:val="Heading1"/>
        <w:pBdr>
          <w:bottom w:val="single" w:color="2B5A9E" w:sz="6" w:space="3"/>
        </w:pBdr>
        <w:spacing w:after="100" w:before="200"/>
      </w:pPr>
      <w:r>
        <w:rPr>
          <w:rFonts w:ascii="Calibri" w:cs="Calibri" w:eastAsia="Calibri" w:hAnsi="Calibri"/>
          <w:b/>
          <w:bCs/>
          <w:color w:val="1F3A5F"/>
          <w:sz w:val="26"/>
          <w:szCs w:val="26"/>
        </w:rPr>
        <w:t xml:space="preserve">4. Beneficiaries</w:t>
      </w:r>
    </w:p>
    <w:p>The project will directly benefit 5,000 children (Grades 1–3) across 100 government schools, alongside 270 teachers, with an estimated 10,000 indirect beneficiaries (parents and community members). Selection prioritises schools in aspirational blocks with the weakest baseline learning levels.</w:p>
    <w:p>
      <w:pPr>
        <w:pStyle w:val="Heading1"/>
        <w:pBdr>
          <w:bottom w:val="single" w:color="2B5A9E" w:sz="6" w:space="3"/>
        </w:pBdr>
        <w:spacing w:after="100" w:before="200"/>
      </w:pPr>
      <w:r>
        <w:rPr>
          <w:rFonts w:ascii="Calibri" w:cs="Calibri" w:eastAsia="Calibri" w:hAnsi="Calibri"/>
          <w:b/>
          <w:bCs/>
          <w:color w:val="1F3A5F"/>
          <w:sz w:val="26"/>
          <w:szCs w:val="26"/>
        </w:rPr>
        <w:t xml:space="preserve">5. Expected Outcomes &amp;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2300"/>
        <w:gridCol w:w="2300"/>
      </w:tblGrid>
      <w:tr>
        <w:tc>
          <w:tcPr>
            <w:tcW w:type="dxa" w:w="4426"/>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20" w:line="248"/>
              <w:jc w:val="center"/>
            </w:pPr>
            <w:r>
              <w:rPr>
                <w:rFonts w:ascii="Calibri" w:cs="Calibri" w:eastAsia="Calibri" w:hAnsi="Calibri"/>
                <w:b/>
                <w:bCs/>
                <w:color w:val="FFFFFF"/>
                <w:sz w:val="19"/>
                <w:szCs w:val="19"/>
              </w:rPr>
              <w:t xml:space="preserve">KPI / Indicator</w:t>
            </w:r>
          </w:p>
        </w:tc>
        <w:tc>
          <w:tcPr>
            <w:tcW w:type="dxa" w:w="230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20" w:line="248"/>
              <w:jc w:val="center"/>
            </w:pPr>
            <w:r>
              <w:rPr>
                <w:rFonts w:ascii="Calibri" w:cs="Calibri" w:eastAsia="Calibri" w:hAnsi="Calibri"/>
                <w:b/>
                <w:bCs/>
                <w:color w:val="FFFFFF"/>
                <w:sz w:val="19"/>
                <w:szCs w:val="19"/>
              </w:rPr>
              <w:t xml:space="preserve">Baseline</w:t>
            </w:r>
          </w:p>
        </w:tc>
        <w:tc>
          <w:tcPr>
            <w:tcW w:type="dxa" w:w="230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20" w:line="248"/>
              <w:jc w:val="center"/>
            </w:pPr>
            <w:r>
              <w:rPr>
                <w:rFonts w:ascii="Calibri" w:cs="Calibri" w:eastAsia="Calibri" w:hAnsi="Calibri"/>
                <w:b/>
                <w:bCs/>
                <w:color w:val="FFFFFF"/>
                <w:sz w:val="19"/>
                <w:szCs w:val="19"/>
              </w:rPr>
              <w:t xml:space="preserve">Year 3 Target</w:t>
            </w:r>
          </w:p>
        </w:tc>
      </w:tr>
      <w:tr>
        <w:tc>
          <w:tcPr>
            <w:tcW w:type="dxa" w:w="4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Children reading at grade level</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22%</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70%</w:t>
            </w:r>
          </w:p>
        </w:tc>
      </w:tr>
      <w:tr>
        <w:tc>
          <w:tcPr>
            <w:tcW w:type="dxa" w:w="4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Children at grade-level numeracy</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28%</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72%</w:t>
            </w:r>
          </w:p>
        </w:tc>
      </w:tr>
      <w:tr>
        <w:tc>
          <w:tcPr>
            <w:tcW w:type="dxa" w:w="4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Teachers using FLN methods (observed)</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15%</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85%</w:t>
            </w:r>
          </w:p>
        </w:tc>
      </w:tr>
      <w:tr>
        <w:tc>
          <w:tcPr>
            <w:tcW w:type="dxa" w:w="44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Girls' grade-level reading (of girls)</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19%</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jc w:val="center"/>
            </w:pPr>
            <w:r>
              <w:rPr>
                <w:rFonts w:ascii="Calibri" w:cs="Calibri" w:eastAsia="Calibri" w:hAnsi="Calibri"/>
                <w:color w:val="222222"/>
                <w:sz w:val="19"/>
                <w:szCs w:val="19"/>
              </w:rPr>
              <w:t xml:space="preserve">68%</w:t>
            </w:r>
          </w:p>
        </w:tc>
      </w:tr>
    </w:tbl>
    <w:p>
      <w:pPr>
        <w:pStyle w:val="Heading1"/>
        <w:pBdr>
          <w:bottom w:val="single" w:color="2B5A9E" w:sz="6" w:space="3"/>
        </w:pBdr>
        <w:spacing w:after="100" w:before="200"/>
      </w:pPr>
      <w:r>
        <w:rPr>
          <w:rFonts w:ascii="Calibri" w:cs="Calibri" w:eastAsia="Calibri" w:hAnsi="Calibri"/>
          <w:b/>
          <w:bCs/>
          <w:color w:val="1F3A5F"/>
          <w:sz w:val="26"/>
          <w:szCs w:val="26"/>
        </w:rPr>
        <w:t xml:space="preserve">6. SDG Alignment</w:t>
      </w:r>
    </w:p>
    <w:p>Project Buniyaad contributes to SDG 4 (Quality Education) through foundational learning gains (measured by the reading and numeracy indicators above), to SDG 5 (Gender Equality) through the girls' grade-level reading indicator, and to SDG 10 (Reduced Inequalities) by closing the learning gap for marginalised first-generation learners.</w:p>
    <w:p>
      <w:pPr>
        <w:pStyle w:val="Heading1"/>
        <w:pBdr>
          <w:bottom w:val="single" w:color="2B5A9E" w:sz="6" w:space="3"/>
        </w:pBdr>
        <w:spacing w:after="100" w:before="200"/>
      </w:pPr>
      <w:r>
        <w:rPr>
          <w:rFonts w:ascii="Calibri" w:cs="Calibri" w:eastAsia="Calibri" w:hAnsi="Calibri"/>
          <w:b/>
          <w:bCs/>
          <w:color w:val="1F3A5F"/>
          <w:sz w:val="26"/>
          <w:szCs w:val="26"/>
        </w:rPr>
        <w:t xml:space="preserve">7. Budget Summary</w:t>
      </w:r>
    </w:p>
    <w:p>The total grant requested is INR 2,85,00,000 across three years. Direct programme costs account for approximately 72% of the budget and administrative costs are held to about 12%, within the funder's cap. A detailed line-item budget is enclosed as a separate workbook.</w:p>
    <w:p>
      <w:pPr>
        <w:pStyle w:val="Heading1"/>
        <w:pBdr>
          <w:bottom w:val="single" w:color="2B5A9E" w:sz="6" w:space="3"/>
        </w:pBdr>
        <w:spacing w:after="100" w:before="200"/>
      </w:pPr>
      <w:r>
        <w:rPr>
          <w:rFonts w:ascii="Calibri" w:cs="Calibri" w:eastAsia="Calibri" w:hAnsi="Calibri"/>
          <w:b/>
          <w:bCs/>
          <w:color w:val="1F3A5F"/>
          <w:sz w:val="26"/>
          <w:szCs w:val="26"/>
        </w:rPr>
        <w:t xml:space="preserve">8. Sustainability</w:t>
      </w:r>
    </w:p>
    <w:p>Because the programme works through government teachers and the existing school system rather than parallel structures, the teaching capacity built remains after the grant ends. Alignment with the NIPUN Bharat mission and an MoU with SCERT institutionalise the approach within state systems, which is our exit strategy.</w:p>
    <w:p>
      <w:pPr>
        <w:pStyle w:val="Heading1"/>
        <w:pBdr>
          <w:bottom w:val="single" w:color="2B5A9E" w:sz="6" w:space="3"/>
        </w:pBdr>
        <w:spacing w:after="100" w:before="200"/>
      </w:pPr>
      <w:r>
        <w:rPr>
          <w:rFonts w:ascii="Calibri" w:cs="Calibri" w:eastAsia="Calibri" w:hAnsi="Calibri"/>
          <w:b/>
          <w:bCs/>
          <w:color w:val="1F3A5F"/>
          <w:sz w:val="26"/>
          <w:szCs w:val="26"/>
        </w:rPr>
        <w:t xml:space="preserve">9. Partnerships &amp; Safeguarding</w:t>
      </w:r>
    </w:p>
    <w:p>Vidya Setu has a Memorandum of Understanding with SCERT Maharashtra, works with the District Institutes of Education and Training (DIETs), and partners with a foundational-learning resource organisation for materials. The Trust maintains a Child Protection Policy; all field staff undergo background verification and safeguarding training before school placement.</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2026-06-05T04:02:18.056Z</dcterms:created>
  <dcterms:modified xsi:type="dcterms:W3CDTF">2026-06-05T04:02:18.065Z</dcterms:modified>
</cp:coreProperties>
</file>

<file path=docProps/custom.xml><?xml version="1.0" encoding="utf-8"?>
<Properties xmlns="http://schemas.openxmlformats.org/officeDocument/2006/custom-properties" xmlns:vt="http://schemas.openxmlformats.org/officeDocument/2006/docPropsVTypes"/>
</file>