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A5F"/>
          <w:sz w:val="28"/>
          <w:szCs w:val="28"/>
        </w:rPr>
        <w:t xml:space="preserve">DEED OF TRUST (EXTRACT)</w:t>
      </w:r>
    </w:p>
    <w:p>
      <w:pPr>
        <w:spacing w:after="160" w:before="0" w:line="264"/>
      </w:pPr>
      <w:r>
        <w:rPr>
          <w:rFonts w:ascii="Calibri" w:cs="Calibri" w:eastAsia="Calibri" w:hAnsi="Calibri"/>
          <w:b/>
          <w:bCs/>
          <w:color w:val="2B5A9E"/>
          <w:sz w:val="21"/>
          <w:szCs w:val="21"/>
        </w:rPr>
        <w:t xml:space="preserve">Vidya Setu Charitable Trust</w:t>
      </w:r>
    </w:p>
    <w:p>THIS INDENTURE OF TRUST is made at Pune on the 14th day of June, 2013, by Shri Madhav R. Kulkarni (the Settlor / Author of the Trust), and registered before the Sub-Registrar of Assurances, Pune, vide Document No. 4821/2013.</w:p>
    <w:p>
      <w:pPr>
        <w:pStyle w:val="Heading1"/>
        <w:pBdr>
          <w:bottom w:val="single" w:color="2B5A9E" w:sz="6" w:space="3"/>
        </w:pBdr>
        <w:spacing w:after="100" w:before="200"/>
      </w:pPr>
      <w:r>
        <w:rPr>
          <w:rFonts w:ascii="Calibri" w:cs="Calibri" w:eastAsia="Calibri" w:hAnsi="Calibri"/>
          <w:b/>
          <w:bCs/>
          <w:color w:val="1F3A5F"/>
          <w:sz w:val="26"/>
          <w:szCs w:val="26"/>
        </w:rPr>
        <w:t xml:space="preserve">1. Name &amp; Registered Office</w:t>
      </w:r>
    </w:p>
    <w:p>The Trust shall be known as VIDYA SETU CHARITABLE TRUST. Its registered office shall be situated at 14, Shantiniketan, Erandwane, Pune – 411004, Maharashtra.</w:p>
    <w:p>
      <w:pPr>
        <w:pStyle w:val="Heading1"/>
        <w:pBdr>
          <w:bottom w:val="single" w:color="2B5A9E" w:sz="6" w:space="3"/>
        </w:pBdr>
        <w:spacing w:after="100" w:before="200"/>
      </w:pPr>
      <w:r>
        <w:rPr>
          <w:rFonts w:ascii="Calibri" w:cs="Calibri" w:eastAsia="Calibri" w:hAnsi="Calibri"/>
          <w:b/>
          <w:bCs/>
          <w:color w:val="1F3A5F"/>
          <w:sz w:val="26"/>
          <w:szCs w:val="26"/>
        </w:rPr>
        <w:t xml:space="preserve">2. Objects of the Trust</w:t>
      </w:r>
    </w:p>
    <w:p>The Trust is established for the following charitable objects, all within the meaning of charitable purpose under applicable law:</w:p>
    <w:p>(a) To promote education, with emphasis on foundational literacy and numeracy among children of economically and socially disadvantaged communities.</w:p>
    <w:p>(b) To establish, support and run learning centres, remedial programmes and teacher-training initiatives, including in government schools.</w:p>
    <w:p>(c) To develop and distribute teaching-learning materials in regional languages.</w:p>
    <w:p>(d) To undertake research, assessment and advocacy in support of equitable, quality education.</w:p>
    <w:p>(e) To do all such lawful acts as are incidental or conducive to the attainment of the above objects.</w:p>
    <w:p>
      <w:pPr>
        <w:pStyle w:val="Heading1"/>
        <w:pBdr>
          <w:bottom w:val="single" w:color="2B5A9E" w:sz="6" w:space="3"/>
        </w:pBdr>
        <w:spacing w:after="100" w:before="200"/>
      </w:pPr>
      <w:r>
        <w:rPr>
          <w:rFonts w:ascii="Calibri" w:cs="Calibri" w:eastAsia="Calibri" w:hAnsi="Calibri"/>
          <w:b/>
          <w:bCs/>
          <w:color w:val="1F3A5F"/>
          <w:sz w:val="26"/>
          <w:szCs w:val="26"/>
        </w:rPr>
        <w:t xml:space="preserve">3. Board of Trustees</w:t>
      </w:r>
    </w:p>
    <w:p>The management of the Trust shall vest in a Board of Trustees of not fewer than three and not more than seven members. The present Trustees are:</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20" w:line="248"/>
              <w:jc w:val="center"/>
            </w:pPr>
            <w:r>
              <w:rPr>
                <w:rFonts w:ascii="Calibri" w:cs="Calibri" w:eastAsia="Calibri" w:hAnsi="Calibri"/>
                <w:b/>
                <w:bCs/>
                <w:color w:val="FFFFFF"/>
                <w:sz w:val="19"/>
                <w:szCs w:val="19"/>
              </w:rPr>
              <w:t xml:space="preserve">Name</w:t>
            </w:r>
          </w:p>
        </w:tc>
        <w:tc>
          <w:tcPr>
            <w:tcW w:type="dxa" w:w="3526"/>
            <w:tcBorders>
              <w:top w:val="single" w:color="BFBFBF" w:sz="1"/>
              <w:left w:val="single" w:color="BFBFBF" w:sz="1"/>
              <w:bottom w:val="single" w:color="BFBFBF" w:sz="1"/>
              <w:right w:val="single" w:color="BFBFBF" w:sz="1"/>
            </w:tcBorders>
            <w:shd w:fill="1F3A5F" w:val="clear"/>
            <w:tcMar>
              <w:top w:type="dxa" w:w="60"/>
              <w:left w:type="dxa" w:w="110"/>
              <w:bottom w:type="dxa" w:w="60"/>
              <w:right w:type="dxa" w:w="110"/>
            </w:tcMar>
          </w:tcPr>
          <w:p>
            <w:pPr>
              <w:spacing w:after="20" w:line="248"/>
              <w:jc w:val="center"/>
            </w:pPr>
            <w:r>
              <w:rPr>
                <w:rFonts w:ascii="Calibri" w:cs="Calibri" w:eastAsia="Calibri" w:hAnsi="Calibri"/>
                <w:b/>
                <w:bCs/>
                <w:color w:val="FFFFFF"/>
                <w:sz w:val="19"/>
                <w:szCs w:val="19"/>
              </w:rPr>
              <w:t xml:space="preserve">Role</w:t>
            </w:r>
          </w:p>
        </w:tc>
      </w:tr>
      <w:tr>
        <w:tc>
          <w:tcPr>
            <w:tcW w:type="dxa" w:w="5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Shri Madhav R. Kulkarni</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Managing Trustee</w:t>
            </w:r>
          </w:p>
        </w:tc>
      </w:tr>
      <w:tr>
        <w:tc>
          <w:tcPr>
            <w:tcW w:type="dxa" w:w="5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Dr. Sunita Deshpande</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Trustee (Education)</w:t>
            </w:r>
          </w:p>
        </w:tc>
      </w:tr>
      <w:tr>
        <w:tc>
          <w:tcPr>
            <w:tcW w:type="dxa" w:w="5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Smt. Rehana Shaikh</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Trustee</w:t>
            </w:r>
          </w:p>
        </w:tc>
      </w:tr>
      <w:tr>
        <w:tc>
          <w:tcPr>
            <w:tcW w:type="dxa" w:w="5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CA Anil Pawar</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Trustee (Finance)</w:t>
            </w:r>
          </w:p>
        </w:tc>
      </w:tr>
      <w:tr>
        <w:tc>
          <w:tcPr>
            <w:tcW w:type="dxa" w:w="5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Shri Joseph D'Souza</w:t>
            </w:r>
          </w:p>
        </w:tc>
        <w:tc>
          <w:tcPr>
            <w:tcW w:type="dxa" w:w="3526"/>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line="248"/>
            </w:pPr>
            <w:r>
              <w:rPr>
                <w:rFonts w:ascii="Calibri" w:cs="Calibri" w:eastAsia="Calibri" w:hAnsi="Calibri"/>
                <w:color w:val="222222"/>
                <w:sz w:val="19"/>
                <w:szCs w:val="19"/>
              </w:rPr>
              <w:t xml:space="preserve">Trustee</w:t>
            </w:r>
          </w:p>
        </w:tc>
      </w:tr>
    </w:tbl>
    <w:p>
      <w:pPr>
        <w:pStyle w:val="Heading1"/>
        <w:pBdr>
          <w:bottom w:val="single" w:color="2B5A9E" w:sz="6" w:space="3"/>
        </w:pBdr>
        <w:spacing w:after="100" w:before="200"/>
      </w:pPr>
      <w:r>
        <w:rPr>
          <w:rFonts w:ascii="Calibri" w:cs="Calibri" w:eastAsia="Calibri" w:hAnsi="Calibri"/>
          <w:b/>
          <w:bCs/>
          <w:color w:val="1F3A5F"/>
          <w:sz w:val="26"/>
          <w:szCs w:val="26"/>
        </w:rPr>
        <w:t xml:space="preserve">4. Governance &amp; Application of Income</w:t>
      </w:r>
    </w:p>
    <w:p>The Board shall meet not less than four times a year; the quorum shall be three Trustees. The income and property of the Trust shall be applied solely towards the objects set out herein, and no portion shall be paid by way of profit to any Trustee. The Trust is irrevocable. The accounts shall be audited annually by a Chartered Accountant.</w:p>
    <w:p>
      <w:pPr>
        <w:pStyle w:val="Heading1"/>
        <w:pBdr>
          <w:bottom w:val="single" w:color="2B5A9E" w:sz="6" w:space="3"/>
        </w:pBdr>
        <w:spacing w:after="100" w:before="200"/>
      </w:pPr>
      <w:r>
        <w:rPr>
          <w:rFonts w:ascii="Calibri" w:cs="Calibri" w:eastAsia="Calibri" w:hAnsi="Calibri"/>
          <w:b/>
          <w:bCs/>
          <w:color w:val="1F3A5F"/>
          <w:sz w:val="26"/>
          <w:szCs w:val="26"/>
        </w:rPr>
        <w:t xml:space="preserve">5. Dissolution</w:t>
      </w:r>
    </w:p>
    <w:p>Upon dissolution, the remaining assets shall not be distributed among the Trustees but shall be transferred to another trust or institution with similar charitable objects, as required by law.</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2026-06-05T04:02:18.183Z</dcterms:created>
  <dcterms:modified xsi:type="dcterms:W3CDTF">2026-06-05T04:02:18.183Z</dcterms:modified>
</cp:coreProperties>
</file>

<file path=docProps/custom.xml><?xml version="1.0" encoding="utf-8"?>
<Properties xmlns="http://schemas.openxmlformats.org/officeDocument/2006/custom-properties" xmlns:vt="http://schemas.openxmlformats.org/officeDocument/2006/docPropsVTypes"/>
</file>