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Portfolio: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Anomaly Detection: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Demand Risk &amp; Scenario Planning: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Seasonal &amp; Event Demand Planning: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S&amp;OP &amp; Cross-Functional Alignment: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End-to-End Fulfillment &amp; Capacity Planning: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Merchant Inventory &amp; Revenue Optimization: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Forecast Accuracy &amp; Model Improvement: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Global Supply Planning &amp; Availability: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Cross-Regional S&amp;OP &amp; Demand Intelligence: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NPI Launch &amp; Material Readiness: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11111"/>
          <w:sz w:val="18"/>
          <w:szCs w:val="18"/>
        </w:rPr>
        <w:t xml:space="preserve">Supplier Risk Management: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