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28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  <w:vAlign w:val="center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860-335-7134  ·  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asthaj12.github.io  ·  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github.com/asthaj12</w:t>
            </w:r>
          </w:p>
        </w:tc>
      </w:tr>
    </w:tbl>
    <w:p>
      <w:pPr>
        <w:spacing w:before="4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60" w:lineRule="exact"/>
      </w:pPr>
      <w:r>
        <w:rPr>
          <w:color w:val="1A1A1A"/>
          <w:sz w:val="18"/>
          <w:szCs w:val="18"/>
        </w:rPr>
        <w:t xml:space="preserve">Strategic demand planning leader with expertise in time series forecasting, causal inference, and ML-driven anomaly detection — spanning large-scale retail (Walmart US, 5-10B monthly units), e-commerce logistics (Shopify Logistics, $1.1B GMV), and global consumer electronics (Logitech Inc., $400M portfolio). MIT-credentialed in supply chain management; fluent in AI/LLM tools and advanced analytics for demand signal generation and inventory optimization.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line="240" w:lineRule="exact"/>
      </w:pPr>
      <w:r>
        <w:rPr>
          <w:b/>
          <w:color w:val="111111"/>
          <w:sz w:val="17"/>
          <w:szCs w:val="17"/>
        </w:rPr>
        <w:t xml:space="preserve">Analytics &amp; Modeling: </w:t>
      </w:r>
      <w:r>
        <w:rPr>
          <w:color w:val="444444"/>
          <w:sz w:val="17"/>
          <w:szCs w:val="17"/>
        </w:rPr>
        <w:t xml:space="preserve">Time Series Forecasting  ·  Causal Inference  ·  Anomaly Detection  ·  Ensemble Methods  ·  AI/LLM Tools</w:t>
      </w:r>
    </w:p>
    <w:p>
      <w:pPr>
        <w:spacing w:line="240" w:lineRule="exact"/>
      </w:pP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Demand Planning  ·  S&amp;OP / IBP  ·  NPI Launch Planning  ·  Inventory Optimization  ·  E&amp;O &amp; CTB Management</w:t>
      </w:r>
    </w:p>
    <w:p>
      <w:pPr>
        <w:spacing w:before="0" w:after="60" w:line="240" w:lineRule="exact"/>
      </w:pPr>
      <w:r>
        <w:rPr>
          <w:b/>
          <w:color w:val="111111"/>
          <w:sz w:val="17"/>
          <w:szCs w:val="17"/>
        </w:rPr>
        <w:t xml:space="preserve">Tools: </w:t>
      </w:r>
      <w:r>
        <w:rPr>
          <w:color w:val="444444"/>
          <w:sz w:val="17"/>
          <w:szCs w:val="17"/>
        </w:rPr>
        <w:t xml:space="preserve">Python  ·  SQL  ·  Excel  ·  Power BI  ·  BigQuery  ·  Kinaxis  ·  Git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Bias Correction &amp; Anomaly Detection:  </w:t>
      </w:r>
      <w:r>
        <w:rPr>
          <w:color w:val="1A1A1A"/>
          <w:sz w:val="18"/>
          <w:szCs w:val="18"/>
        </w:rPr>
        <w:t xml:space="preserve">Engineered a bias-correction and anomaly-detection pipeline across 5-10B monthly units (4,593 stores), triaging 50K+ weekly signals via automated ML scoring models and driving systematic forecast bias from -20% to near-neutral.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Demand Risk &amp; Scenario Planning:  </w:t>
      </w:r>
      <w:r>
        <w:rPr>
          <w:color w:val="1A1A1A"/>
          <w:sz w:val="18"/>
          <w:szCs w:val="18"/>
        </w:rPr>
        <w:t xml:space="preserve">Applied causal inference to size the impact of a 970M-unit SNAP policy change across 24 states — delivering inventory positioning signals 6+ weeks ahead and informing $400M+ in pre-emptive inventory decisions.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Event &amp; Seasonal Forecasting:  </w:t>
      </w:r>
      <w:r>
        <w:rPr>
          <w:color w:val="1A1A1A"/>
          <w:sz w:val="18"/>
          <w:szCs w:val="18"/>
        </w:rPr>
        <w:t xml:space="preserve">Built a statistical ensemble forecasting architecture spanning 14+ retail and seasonal events annually; achieved $292M reduction in forecast error and surfaced $7.6M in anomalous override exposure.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S&amp;OP &amp; Stakeholder Alignment:  </w:t>
      </w:r>
      <w:r>
        <w:rPr>
          <w:color w:val="1A1A1A"/>
          <w:sz w:val="18"/>
          <w:szCs w:val="18"/>
        </w:rPr>
        <w:t xml:space="preserve">Owned end-to-end weekly S&amp;OP / IBP program across Merchandising, Finance, and Operations; delivered executive forecast risk reporting and compressed time-to-decision from ~2 weeks to 3-4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Network Demand Forecasting:  </w:t>
      </w:r>
      <w:r>
        <w:rPr>
          <w:color w:val="1A1A1A"/>
          <w:sz w:val="18"/>
          <w:szCs w:val="18"/>
        </w:rPr>
        <w:t xml:space="preserve">Designed an ML-driven forecasting pipeline spanning 85 warehouses and 12 carriers ($1.1B GMV); automated re-estimation cut forecast cycle time 50%, enabling near-real-time demand signal updates.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Merchant Revenue &amp; Stockout Reduction:  </w:t>
      </w:r>
      <w:r>
        <w:rPr>
          <w:color w:val="1A1A1A"/>
          <w:sz w:val="18"/>
          <w:szCs w:val="18"/>
        </w:rPr>
        <w:t xml:space="preserve">Improved short-horizon accuracy on high-velocity SKUs; reduced merchant stockouts 15% and generated $2M in incremental sales.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Forecast Model Diagnostics:  </w:t>
      </w:r>
      <w:r>
        <w:rPr>
          <w:color w:val="1A1A1A"/>
          <w:sz w:val="18"/>
          <w:szCs w:val="18"/>
        </w:rPr>
        <w:t xml:space="preserve">Built retrospective accuracy analysis by SKU velocity decile to identify model failure modes; drove ensemble re-weighting that improved forecast accuracy 30% on high-velocity SKUs.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Global Supply Planning:  </w:t>
      </w:r>
      <w:r>
        <w:rPr>
          <w:color w:val="1A1A1A"/>
          <w:sz w:val="18"/>
          <w:szCs w:val="18"/>
        </w:rPr>
        <w:t xml:space="preserve">Managed supply planning for a ~$400M global consumer electronics portfolio (400+ SKUs); stochastic safety-stock models improved availability 40%, cut air freight ~$200K, and reduced E&amp;O costs ~$1M annually.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NPI-to-EOL Lifecycle:  </w:t>
      </w:r>
      <w:r>
        <w:rPr>
          <w:color w:val="1A1A1A"/>
          <w:sz w:val="18"/>
          <w:szCs w:val="18"/>
        </w:rPr>
        <w:t xml:space="preserve">Managed full product lifecycle from NPI through EOL across quarterly cycles with Asia-based ODM partners; led Apple Education Program launch — accelerating delivery 15% (~3 weeks ahead of schedule).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Cross-Regional S&amp;OP:  </w:t>
      </w:r>
      <w:r>
        <w:rPr>
          <w:color w:val="1A1A1A"/>
          <w:sz w:val="18"/>
          <w:szCs w:val="18"/>
        </w:rPr>
        <w:t xml:space="preserve">Built a demand signal pipeline across DCs in NA, EMEA, and APAC; reduced plan-revision cycles and improved cross-regional S&amp;OP alignment.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Supplier Risk Modeling:  </w:t>
      </w:r>
      <w:r>
        <w:rPr>
          <w:color w:val="1A1A1A"/>
          <w:sz w:val="18"/>
          <w:szCs w:val="18"/>
        </w:rPr>
        <w:t xml:space="preserve">Built risk models across 800+ global suppliers for 15+ engine lines; dual-sourcing analysis compressed disruption recovery time from 16 to 6 weeks.</w:t>
      </w:r>
    </w:p>
    <w:p>
      <w:r>
        <w:br w:type="page"/>
      </w:r>
    </w:p>
    <w:p>
      <w:pPr>
        <w:keepNext/>
        <w:spacing w:before="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6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6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6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6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12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p>
      <w:pPr>
        <w:spacing w:before="40" w:after="0" w:line="240" w:lineRule="exact"/>
      </w:pPr>
      <w:r>
        <w:rPr>
          <w:b/>
          <w:color w:val="111111"/>
          <w:sz w:val="17"/>
          <w:szCs w:val="17"/>
        </w:rPr>
        <w:t xml:space="preserve">Forecasting &amp; Accuracy:  </w:t>
      </w:r>
      <w:hyperlink r:id="rLnk1" w:history="1">
        <w:r>
          <w:rPr>
            <w:color w:val="2A78D6"/>
            <w:u w:val="single"/>
            <w:sz w:val="17"/>
            <w:szCs w:val="17"/>
          </w:rPr>
          <w:t>Forecast Governance &amp; Inventory Risk</w:t>
        </w:r>
      </w:hyperlink>
      <w:r>
        <w:rPr>
          <w:color w:val="444444"/>
          <w:sz w:val="17"/>
          <w:szCs w:val="17"/>
        </w:rPr>
        <w:t xml:space="preserve">  ·  </w:t>
      </w:r>
      <w:hyperlink r:id="rLnk2" w:history="1">
        <w:r>
          <w:rPr>
            <w:color w:val="2A78D6"/>
            <w:u w:val="single"/>
            <w:sz w:val="17"/>
            <w:szCs w:val="17"/>
          </w:rPr>
          <w:t>Forecast Accuracy Modeling</w:t>
        </w:r>
      </w:hyperlink>
      <w:r>
        <w:rPr>
          <w:color w:val="444444"/>
          <w:sz w:val="17"/>
          <w:szCs w:val="17"/>
        </w:rPr>
        <w:t xml:space="preserve">  ·  </w:t>
      </w:r>
      <w:hyperlink r:id="rLnk3" w:history="1">
        <w:r>
          <w:rPr>
            <w:color w:val="2A78D6"/>
            <w:u w:val="single"/>
            <w:sz w:val="17"/>
            <w:szCs w:val="17"/>
          </w:rPr>
          <w:t>Seasonal Planning System</w:t>
        </w:r>
      </w:hyperlink>
    </w:p>
    <w:p>
      <w:pPr>
        <w:spacing w:before="60" w:after="0" w:line="240" w:lineRule="exact"/>
      </w:pPr>
      <w:r>
        <w:rPr>
          <w:b/>
          <w:color w:val="111111"/>
          <w:sz w:val="17"/>
          <w:szCs w:val="17"/>
        </w:rPr>
        <w:t xml:space="preserve">Inventory &amp; Supply Planning:  </w:t>
      </w:r>
      <w:hyperlink r:id="rLnk4" w:history="1">
        <w:r>
          <w:rPr>
            <w:color w:val="2A78D6"/>
            <w:u w:val="single"/>
            <w:sz w:val="17"/>
            <w:szCs w:val="17"/>
          </w:rPr>
          <w:t>Replenishment Risk Analysis</w:t>
        </w:r>
      </w:hyperlink>
      <w:r>
        <w:rPr>
          <w:color w:val="444444"/>
          <w:sz w:val="17"/>
          <w:szCs w:val="17"/>
        </w:rPr>
        <w:t xml:space="preserve">  ·  </w:t>
      </w:r>
      <w:hyperlink r:id="rLnk5" w:history="1">
        <w:r>
          <w:rPr>
            <w:color w:val="2A78D6"/>
            <w:u w:val="single"/>
            <w:sz w:val="17"/>
            <w:szCs w:val="17"/>
          </w:rPr>
          <w:t>Global Supply Planning</w:t>
        </w:r>
      </w:hyperlink>
      <w:r>
        <w:rPr>
          <w:color w:val="444444"/>
          <w:sz w:val="17"/>
          <w:szCs w:val="17"/>
        </w:rPr>
        <w:t xml:space="preserve">  ·  </w:t>
      </w:r>
      <w:hyperlink r:id="rLnk6" w:history="1">
        <w:r>
          <w:rPr>
            <w:color w:val="2A78D6"/>
            <w:u w:val="single"/>
            <w:sz w:val="17"/>
            <w:szCs w:val="17"/>
          </w:rPr>
          <w:t>NPI Launch Planning</w:t>
        </w:r>
      </w:hyperlink>
    </w:p>
    <w:p>
      <w:pPr>
        <w:spacing w:before="60" w:after="0" w:line="240" w:lineRule="exact"/>
      </w:pPr>
      <w:r>
        <w:rPr>
          <w:b/>
          <w:color w:val="111111"/>
          <w:sz w:val="17"/>
          <w:szCs w:val="17"/>
        </w:rPr>
        <w:t xml:space="preserve">Network &amp; Transportation:  </w:t>
      </w:r>
      <w:hyperlink r:id="rLnk7" w:history="1">
        <w:r>
          <w:rPr>
            <w:color w:val="2A78D6"/>
            <w:u w:val="single"/>
            <w:sz w:val="17"/>
            <w:szCs w:val="17"/>
          </w:rPr>
          <w:t>Transportation Demand Forecasting</w:t>
        </w:r>
      </w:hyperlink>
    </w:p>
    <w:p>
      <w:pPr>
        <w:spacing w:before="60" w:after="0" w:line="240" w:lineRule="exact"/>
      </w:pPr>
      <w:r>
        <w:rPr>
          <w:b/>
          <w:color w:val="111111"/>
          <w:sz w:val="17"/>
          <w:szCs w:val="17"/>
        </w:rPr>
        <w:t xml:space="preserve">Pricing &amp; Demand Response:  </w:t>
      </w:r>
      <w:hyperlink r:id="rLnk8" w:history="1">
        <w:r>
          <w:rPr>
            <w:color w:val="2A78D6"/>
            <w:u w:val="single"/>
            <w:sz w:val="17"/>
            <w:szCs w:val="17"/>
          </w:rPr>
          <w:t>Pricing Demand Response</w:t>
        </w:r>
      </w:hyperlink>
    </w:p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cs="Arial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Arial" w:hAnsi="Arial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  <Relationship Id="rLnk1" Type="http://schemas.openxmlformats.org/officeDocument/2006/relationships/hyperlink" Target="https://github.com/asthaj12/forecast-governance" TargetMode="External"/>
  <Relationship Id="rLnk2" Type="http://schemas.openxmlformats.org/officeDocument/2006/relationships/hyperlink" Target="https://github.com/asthaj12/forecast-accuracy" TargetMode="External"/>
  <Relationship Id="rLnk3" Type="http://schemas.openxmlformats.org/officeDocument/2006/relationships/hyperlink" Target="https://github.com/asthaj12/seasonal-planning" TargetMode="External"/>
  <Relationship Id="rLnk4" Type="http://schemas.openxmlformats.org/officeDocument/2006/relationships/hyperlink" Target="https://github.com/asthaj12/replenishment-risk" TargetMode="External"/>
  <Relationship Id="rLnk5" Type="http://schemas.openxmlformats.org/officeDocument/2006/relationships/hyperlink" Target="https://github.com/asthaj12/logitech-supply-planning" TargetMode="External"/>
  <Relationship Id="rLnk6" Type="http://schemas.openxmlformats.org/officeDocument/2006/relationships/hyperlink" Target="https://github.com/asthaj12/npi-launch-planning" TargetMode="External"/>
  <Relationship Id="rLnk7" Type="http://schemas.openxmlformats.org/officeDocument/2006/relationships/hyperlink" Target="https://github.com/asthaj12/shopify-demand-forecasting" TargetMode="External"/>
  <Relationship Id="rLnk8" Type="http://schemas.openxmlformats.org/officeDocument/2006/relationships/hyperlink" Target="https://github.com/asthaj12/pricing-demand-response" TargetMode="External"/>
</Relationships>
</file>