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methods to isolate and size the demand impact of a 970M-unit SNAP policy change across 24 states, separating policy signal from seasonal confounders and directly informing $400M+ in inventory positioning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the full retail event calendar (14+ events annually — major holidays, seasonal surges, and promotional windows),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and bias-corrected forecast outputs into scenario analyses and diagnostic decision frameworks spanning 4,593 stores; surfaced strategy gaps and model failure modes for cross-functional review (Merchandising, Finance, Replenishment, Regional Operations),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weighting strategy and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portfolio; applied stochastic safety-stock models and lead-time distributions derived from supplier data,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to synthesize POS, sell-in, and backorder data across international DCs; facilitated weekly S&amp;OP cadence across supply chain, finance, and regional operations teams — translating demand-supply gaps into cross-regional inventory positioning decisions and contributing to 40% finished-goods availability improvement.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launch planning for custom tablet peripherals with ODM/contract manufacturing partners on material readiness, capacity ramp-up, and phase-in/phase-out planning, accelerating launch delivery by 15%.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