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portfolio). Proven across S&amp;OP cadence management, NPI launch planning, and translating demand signals into cross-functional inventory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Gradient Boosting (XGBoost / LightGBM) · Time Series Forecasting · Causal Inference · Anomaly Detection · Ensemble Methods · Probabilistic Forecasting    </w:t>
      </w: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Demand Sensing · Replenishment · Inventory Optimization · E&amp;O &amp; CTB Management    </w:t>
      </w: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Forecast Accuracy &amp; Anomaly Detection: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Demand Risk &amp; Scenario Planning: </w:t>
      </w:r>
      <w:r>
        <w:rPr>
          <w:color w:val="1A1A1A"/>
          <w:sz w:val="18"/>
          <w:szCs w:val="18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Seasonal &amp; Event Demand Planning: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S&amp;OP &amp; Cross-Functional Alignment: </w:t>
      </w:r>
      <w:r>
        <w:rPr>
          <w:color w:val="1A1A1A"/>
          <w:sz w:val="18"/>
          <w:szCs w:val="18"/>
        </w:rPr>
        <w:t xml:space="preserve">Partnered with merchandising, finance, and supply chain on weekly S&amp;OP cadence; translated model outputs into actionable inventory signals for cross-functional stakeholders,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End-to-End Fulfillment &amp; Capacity Planning: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Merchant Inventory &amp; Revenue Optimization: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Forecast Accuracy &amp; Model Improvement: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Global Supply Planning &amp; Availability: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units/year); applied stochastic safety-stock models with supplier-derived lead-time distributions,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Cross-Regional S&amp;OP &amp; Demand Intelligence: </w:t>
      </w:r>
      <w:r>
        <w:rPr>
          <w:color w:val="1A1A1A"/>
          <w:sz w:val="18"/>
          <w:szCs w:val="18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NPI Launch &amp; Material Readiness: </w:t>
      </w:r>
      <w:r>
        <w:rPr>
          <w:color w:val="1A1A1A"/>
          <w:sz w:val="18"/>
          <w:szCs w:val="18"/>
        </w:rPr>
        <w:t xml:space="preserve">Led Apple Education Program tablet peripheral launch with Asia-based ODM partners on material readiness and capacity ramp-up, accelerating delivery by 15% (~3 weeks ahead of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111111"/>
          <w:sz w:val="18"/>
          <w:szCs w:val="18"/>
        </w:rPr>
        <w:t xml:space="preserve">Supplier Risk Management: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