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  <w:vAlign w:val="center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asthaj12.github.io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github.com/asthaj12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50" w:lineRule="exact"/>
      </w:pPr>
      <w:r>
        <w:rPr>
          <w:color w:val="1A1A1A"/>
          <w:sz w:val="18"/>
          <w:szCs w:val="18"/>
        </w:rPr>
        <w:t xml:space="preserve">Strategic demand planning leader bridging predictive analytics, forecasting systems, and S&amp;OP execution at $1B+ scale — spanning large-scale retail (Walmart US, 5–10B monthly units across 4,593 stores), e-commerce logistics (Shopify Logistics, $1.1B GMV), and global consumer electronics (Logitech Inc., $400M portfolio, NPI hardware programs). Proven across NPI launch execution, S&amp;OP governance, and cross-functional demand-to-inventory translation in ambiguous, fast-moving environments — combining a mechanical engineering foundation (Penn State) with MIT-credentialed supply chain expertise.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Languages &amp; Tools: </w:t>
      </w:r>
      <w:r>
        <w:rPr>
          <w:color w:val="444444"/>
          <w:sz w:val="17"/>
          <w:szCs w:val="17"/>
        </w:rPr>
        <w:t xml:space="preserve">Python · SQL · Excel · Power BI · BigQuery · Git · Kinaxis · AI/LLM Tools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Analytics &amp; Data Science: </w:t>
      </w:r>
      <w:r>
        <w:rPr>
          <w:color w:val="444444"/>
          <w:sz w:val="17"/>
          <w:szCs w:val="17"/>
        </w:rPr>
        <w:t xml:space="preserve">Time Series Forecasting · Causal Inference · Anomaly Detection · Ensemble Methods</w:t>
      </w:r>
    </w:p>
    <w:p>
      <w:pPr>
        <w:spacing w:line="23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S&amp;OP / IBP · NPI Launch Planning · Replenishment · Inventory Optimization · E&amp;O &amp; CTB Management</w:t>
      </w:r>
    </w:p>
    <w:p>
      <w:pPr>
        <w:spacing w:before="0" w:after="60" w:line="230" w:lineRule="exact"/>
      </w:pPr>
      <w:r>
        <w:rPr>
          <w:b/>
          <w:color w:val="111111"/>
          <w:sz w:val="17"/>
          <w:szCs w:val="17"/>
        </w:rPr>
        <w:t xml:space="preserve">Commercial Analytics: </w:t>
      </w:r>
      <w:r>
        <w:rPr>
          <w:color w:val="444444"/>
          <w:sz w:val="17"/>
          <w:szCs w:val="17"/>
        </w:rPr>
        <w:t xml:space="preserve">Promotional Demand Modeling · Pricing Impact Analysis · Safety Stock Strategy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Bias Correction: </w:t>
      </w:r>
      <w:r>
        <w:rPr>
          <w:color w:val="1A1A1A"/>
          <w:sz w:val="17"/>
          <w:szCs w:val="17"/>
        </w:rPr>
        <w:t xml:space="preserve">Developed an Empirical Bayes demand correction model to address systematic under-forecasting during government benefit cycles — operating across 16.5M store-item combinations, improving forecast accuracy by 2.03pp wMAPE, and recovering ~$254M in annualized under-forecasted demand; built AI-assisted anomaly triage pipeline triaging 50K+ weekly signals and driving systematic forecast bias from −20% to near-neutral.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Demand Risk &amp; Scenario Planning: </w:t>
      </w:r>
      <w:r>
        <w:rPr>
          <w:color w:val="1A1A1A"/>
          <w:sz w:val="17"/>
          <w:szCs w:val="17"/>
        </w:rPr>
        <w:t xml:space="preserve">Applied causal inference to isolate the demand impact of a 970M-unit SNAP policy change across 24 states — navigating policy uncertainty with no prior playbook, delivering inventory positioning signals 6+ weeks ahead of impact windows and informing $400M+ in pre-emptive decisions.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Seasonal &amp; Event Demand Planning: </w:t>
      </w:r>
      <w:r>
        <w:rPr>
          <w:color w:val="1A1A1A"/>
          <w:sz w:val="17"/>
          <w:szCs w:val="17"/>
        </w:rPr>
        <w:t xml:space="preserve">Built a statistical ensemble forecasting architecture spanning 14+ retail and seasonal events annually, achieving $292M reduction in forecast error; surfaced $7.6M in anomalous manual overrides through override-audit rules.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S&amp;OP &amp; Cross-Functional Alignment: </w:t>
      </w:r>
      <w:r>
        <w:rPr>
          <w:color w:val="1A1A1A"/>
          <w:sz w:val="17"/>
          <w:szCs w:val="17"/>
        </w:rPr>
        <w:t xml:space="preserve">Owned end-to-end weekly S&amp;OP program across merchandising, finance, and supply chain; translated model outputs into actionable inventory signals and delivered executive-facing status reporting on forecast risk, compressing time-to-decision from ~2 weeks to 3–4 days.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New Store Launch Planning: </w:t>
      </w:r>
      <w:r>
        <w:rPr>
          <w:color w:val="1A1A1A"/>
          <w:sz w:val="17"/>
          <w:szCs w:val="17"/>
        </w:rPr>
        <w:t xml:space="preserve">Developed demand forecasts and inventory positioning recommendations for 10+ new store openings; partnered with merchandising to align category-level demand signals and ensure shelf readiness at launch.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End-to-End Fulfillment &amp; Capacity Planning: </w:t>
      </w:r>
      <w:r>
        <w:rPr>
          <w:color w:val="1A1A1A"/>
          <w:sz w:val="17"/>
          <w:szCs w:val="17"/>
        </w:rPr>
        <w:t xml:space="preserve">Designed an ML-driven demand forecasting pipeline spanning 85 warehouses and 12 carriers (~1M+ monthly orders, $1.1B GMV); drove capacity planning decisions across the fulfillment network; automated model re-estimation cut forecast processing time by 50%, enabling near-real-time demand signal updates.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Merchant Inventory &amp; Revenue Optimization: </w:t>
      </w:r>
      <w:r>
        <w:rPr>
          <w:color w:val="1A1A1A"/>
          <w:sz w:val="17"/>
          <w:szCs w:val="17"/>
        </w:rPr>
        <w:t xml:space="preserve">Reduced merchant stockout rates 15% and generated $2M in incremental sales by improving short-horizon demand accuracy for high-velocity SKUs; collaborated with engineering on data pipeline infrastructure.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Forecast Accuracy &amp; Model Improvement: </w:t>
      </w:r>
      <w:r>
        <w:rPr>
          <w:color w:val="1A1A1A"/>
          <w:sz w:val="17"/>
          <w:szCs w:val="17"/>
        </w:rPr>
        <w:t xml:space="preserve">Built retrospective accuracy analysis by SKU velocity decile to identify systematic model failure modes; applied kNN and moving average ensemble re-weighting, improving forecast accuracy by 30% on high-velocity SKUs.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Global Supply Planning &amp; Availability: </w:t>
      </w:r>
      <w:r>
        <w:rPr>
          <w:color w:val="1A1A1A"/>
          <w:sz w:val="17"/>
          <w:szCs w:val="17"/>
        </w:rPr>
        <w:t xml:space="preserve">Managed supply planning for a ~$400M global consumer electronics portfolio (400+ SKUs, 20+ product lines); applied stochastic safety-stock models with supplier-derived lead-time distributions, improving finished-goods availability 40%, reducing air freight expedite costs ~$200K, and cutting E&amp;O costs by ~$1M annually through structured scenario planning.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NPI-to-EOL Lifecycle Management: </w:t>
      </w:r>
      <w:r>
        <w:rPr>
          <w:color w:val="1A1A1A"/>
          <w:sz w:val="17"/>
          <w:szCs w:val="17"/>
        </w:rPr>
        <w:t xml:space="preserve">Managed full NPI-to-EOL lifecycle across multiple product lines on a quarterly cadence with Asia-based ODM partners; led Apple Education Program launch managing CTB readiness, material readiness, and capacity ramp-up — accelerating delivery by 15% (~3 weeks ahead of schedule).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Cross-Regional S&amp;OP &amp; Demand Intelligence: </w:t>
      </w:r>
      <w:r>
        <w:rPr>
          <w:color w:val="1A1A1A"/>
          <w:sz w:val="17"/>
          <w:szCs w:val="17"/>
        </w:rPr>
        <w:t xml:space="preserve">Built a demand signal pipeline synthesizing POS, sell-in, and backorder data across DCs in NA, EMEA, and APAC; reduced plan-revision cycles and improved cross-regional S&amp;OP alignment.</w:t>
      </w:r>
    </w:p>
    <w:p>
      <w:pPr>
        <w:spacing w:before="4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30" w:lineRule="exact"/>
        <w:ind w:left="120" w:hanging="120"/>
      </w:pPr>
      <w:r>
        <w:rPr>
          <w:color w:val="1A1A1A"/>
          <w:sz w:val="17"/>
          <w:szCs w:val="17"/>
        </w:rPr>
        <w:t xml:space="preserve">•  </w:t>
      </w:r>
      <w:r>
        <w:rPr>
          <w:color w:val="111111"/>
          <w:sz w:val="17"/>
          <w:szCs w:val="17"/>
        </w:rPr>
        <w:t xml:space="preserve">Supplier Risk Management: </w:t>
      </w:r>
      <w:r>
        <w:rPr>
          <w:color w:val="1A1A1A"/>
          <w:sz w:val="17"/>
          <w:szCs w:val="17"/>
        </w:rPr>
        <w:t xml:space="preserve">Built supplier risk models across 800+ global suppliers for 15+ engine lines; data-driven dual-sourcing analysis compressed average supply-disruption recovery time from 16 to 6 weeks.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4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4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4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Forecasting &amp; Accuracy: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Forecast Governance &amp; Inventory Risk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github.com/asthaj12/forecast-governance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Forecast Accuracy Modeling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github.com/asthaj12/forecast-accuracy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Seasonal Planning System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github.com/asthaj12/seasonal-planning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Inventory &amp; Supply Planning: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Replenishment Risk Analysis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github.com/asthaj12/replenishment-risk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Global Supply Planning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github.com/asthaj12/logitech-supply-planning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NPI Launch Planning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github.com/asthaj12/npi-launch-planning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Network &amp; Transportation: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Transportation Demand Forecasting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github.com/asthaj12/shopify-demand-forecasting</w:t>
            </w:r>
          </w:p>
        </w:tc>
      </w:tr>
    </w:tbl>
    <w:p>
      <w:pPr>
        <w:spacing w:before="20" w:after="0" w:line="220" w:lineRule="exact"/>
      </w:pPr>
      <w:r>
        <w:rPr>
          <w:b/>
          <w:color w:val="2A78D6"/>
          <w:sz w:val="17"/>
          <w:szCs w:val="17"/>
        </w:rPr>
        <w:t xml:space="preserve">Pricing &amp; Demand Response: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3875"/>
        <w:gridCol w:w="5353"/>
      </w:tblGrid>
      <w:tr>
        <w:trPr>
          <w:trH w:val="0" w:hRule="auto"/>
        </w:trPr>
        <w:tc>
          <w:tcPr>
            <w:tcW w:w="3875" w:type="dxa"/>
          </w:tcPr>
          <w:p>
            <w:pPr>
              <w:spacing w:line="220" w:lineRule="exact"/>
            </w:pPr>
            <w:r>
              <w:rPr>
                <w:color w:val="111111"/>
                <w:sz w:val="16"/>
                <w:szCs w:val="16"/>
              </w:rPr>
              <w:t xml:space="preserve">Pricing Demand Response</w:t>
            </w:r>
          </w:p>
        </w:tc>
        <w:tc>
          <w:tcPr>
            <w:tcW w:w="5353" w:type="dxa"/>
          </w:tcPr>
          <w:p>
            <w:pPr>
              <w:jc w:val="right"/>
              <w:spacing w:line="220" w:lineRule="exact"/>
            </w:pPr>
            <w:r>
              <w:rPr>
                <w:color w:val="444444"/>
                <w:sz w:val="15"/>
                <w:szCs w:val="15"/>
              </w:rPr>
              <w:t xml:space="preserve">github.com/asthaj12/pricing-demand-response</w:t>
            </w:r>
          </w:p>
        </w:tc>
      </w:tr>
    </w:tbl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