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the full retail event calendar (14+ events annually — major holidays, seasonal surges, and promotional windows),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 and shaping the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portfolio; applied stochastic safety-stock models and lead-time distributions derived from supplier data,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to synthesize POS, sell-in, and backorder data across DCs in NA, EMEA, and APAC; facilitated weekly S&amp;OP cadence across supply chain, finance, and regional operations teams — translating demand-supply gaps into cross-regional inventory positioning decisions and contributing to 40% finished-goods availability improvement.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Apple Education Program tablet peripherals with Asia-based ODM/contract manufacturing partners on material readiness, capacity ramp-up, and phase-in/phase-out planning, accelerating launch delivery by 15% (~3 weeks ahead of original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