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into scenario analyses and diagnostic frameworks across 4,593 stores; surfaced strategy gaps for cross-functional stakeholders (Merchandising, Finance, Replenishment, Regional Operations), compressing time-to-decision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drove production leveling and proactive safety stock build, improving finished-goods availability 40%.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