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upstream supply planning at $1B+ scale — with cross-industry experience spanning large-scale retail (Walmart US, 5–10B monthly units across 4,593 stores), e-commerce logistics (Shopify Logistics, $1.1B GMV), and global consumer electronics (Logitech Inc., $400M portfolio). Translates statistical ensemble modeling, causal inference, and anomaly detection pipelines into executable commercial strategies driving $1B+ in inventory, production, and replenishment decisions.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ML/Modeling: </w:t>
      </w:r>
      <w:r>
        <w:rPr>
          <w:color w:val="444444"/>
          <w:sz w:val="17"/>
          <w:szCs w:val="17"/>
        </w:rPr>
        <w:t xml:space="preserve">XGBoost / LightGBM · Time Series Forecasting · Causal Inference · Anomaly Detection · Ensemble Methods    </w:t>
      </w:r>
      <w:r>
        <w:rPr>
          <w:b/>
          <w:color w:val="111111"/>
          <w:sz w:val="17"/>
          <w:szCs w:val="17"/>
        </w:rPr>
        <w:t xml:space="preserve">Domain: </w:t>
      </w:r>
      <w:r>
        <w:rPr>
          <w:color w:val="444444"/>
          <w:sz w:val="17"/>
          <w:szCs w:val="17"/>
        </w:rPr>
        <w:t xml:space="preserve">Demand Planning · S&amp;OP · Inventory Optimization · Supply Chain Analytics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Applied causal inference to isolate the demand impact of a 970M-unit SNAP policy change across 24 states — delivering inventory positioning signals 6+ weeks ahead of policy impact windows and informing $400M+ in pre-emptive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Synthesized 50K+ weekly anomaly signals into scenario analyses and diagnostic frameworks across 4,593 stores; surfaced strategy gaps for cross-functional stakeholders (Merchandising, Finance, Replenishment, Regional Operations), compressing time-to-decision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re-weighting strategy, driving ~18% MAPE improvement on high-velocity SKUs (D1–D3) and shaping the feature engineering roadmap.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Managed supply planning for a ~$400M global consumer electronics portfolio (~6M units/year); applied stochastic safety-stock models with supplier-derived lead-time distributions,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SQL-based demand signal pipeline synthesizing POS, sell-in, and backorder data across DCs in NA, EMEA, and APAC; drove production leveling and proactive safety stock build, improving finished-goods availability 40%.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Led Apple Education Program tablet peripheral launch with Asia-based ODM partners on material readiness and capacity ramp-up, accelerating delivery by 15% (~3 weeks ahead of schedule).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