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pStyle w:val="Heading2"/>
        <w:jc w:val="center"/>
      </w:pPr>
      <w:r>
        <w:t>Module 7 Portfolio Project Report</w:t>
      </w:r>
    </w:p>
    <w:p>
      <w:pPr>
        <w:jc w:val="center"/>
      </w:pPr>
      <w:r>
        <w:rPr>
          <w:b/>
        </w:rPr>
        <w:t xml:space="preserve">Student: </w:t>
      </w:r>
      <w:r>
        <w:t>Astha Malviya</w:t>
      </w:r>
    </w:p>
    <w:p>
      <w:pPr>
        <w:jc w:val="center"/>
      </w:pPr>
      <w:r>
        <w:rPr>
          <w:b/>
        </w:rPr>
        <w:t xml:space="preserve">Repository: </w:t>
      </w:r>
      <w:r>
        <w:rPr>
          <w:u w:val="single"/>
        </w:rPr>
        <w:t>github.com/asthamalviya/pricing-service-clean-architecture</w:t>
      </w:r>
    </w:p>
    <w:tbl>
      <w:tblPr>
        <w:tblStyle w:val="TableGrid"/>
        <w:tblW w:type="auto" w:w="0"/>
        <w:tblLook w:firstColumn="1" w:firstRow="1" w:lastColumn="0" w:lastRow="0" w:noHBand="0" w:noVBand="1" w:val="04A0"/>
      </w:tblPr>
      <w:tblGrid>
        <w:gridCol w:w="9360"/>
      </w:tblGrid>
      <w:tr>
        <w:tc>
          <w:tcPr>
            <w:tcW w:type="dxa" w:w="9360"/>
            <w:shd w:fill="D4EDDA"/>
          </w:tcPr>
          <w:p>
            <w:pPr>
              <w:jc w:val="center"/>
            </w:pPr>
            <w:r>
              <w:t>🔗 View Full Project: github.com/asthamalviya/pricing-service-clean-architecture</w:t>
            </w:r>
          </w:p>
        </w:tc>
      </w:tr>
    </w:tbl>
    <w:p/>
    <w:p>
      <w:pPr>
        <w:pStyle w:val="Heading2"/>
      </w:pPr>
      <w:r>
        <w:t>Executive Summary</w:t>
      </w:r>
    </w:p>
    <w:p>
      <w:r>
        <w:t>This portfolio demonstrates a systematic refactoring of a pricing service from monolithic architecture to clean, layered design. The original v0 implementation—a 90-line HTTP handler coupling six distinct responsibilities—contained seven quality gaps creating financial mispricing risk, weak testability, and high maintenance cost. Through deliberate architectural decisions (Service Layer, Repository Pattern, Strategy Pattern, and Dependency Injection), the refactored v1 achieves 99% code coverage across 90 tests, established clear architectural boundaries, and made business rules independently modifiable. The project illustrates how quality improvement stems not from pattern proliferation but from precise diagnosis of coupling, followed by minimal architectural intervention. All evidence—design decisions, test suite, architectural diagrams, and the pricing anomaly evidence—is present in the accompanying repository and embedded figures, providing reproducible proof of the refactoring's effectiveness.</w:t>
      </w:r>
    </w:p>
    <w:p/>
    <w:p>
      <w:pPr>
        <w:pStyle w:val="Heading2"/>
      </w:pPr>
      <w:r>
        <w:t>1. Quality Diagnosis (550 words)</w:t>
      </w:r>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t>Gap 1: High Coupling. Pricing logic intertwined with HTTP and persistence code. Changing a discount rule requires modifying the HTTP handler, multiplying regression risk. Business logic cannot be reused independently of the API framework.</w:t>
      </w:r>
    </w:p>
    <w:p>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r>
        <w:t>Gap 6: Weak Input Validation. Raw request data accepted directly; invalid inputs return error objects rather than HTTP error statuses. Incorrect or missing values reach calculations unexpectedly, permitting defective quotations.</w:t>
      </w:r>
    </w:p>
    <w:p>
      <w:r>
        <w:t>Gap 7: Magic Numbers. Discount rates (5%, 10%, 15%, 20%) and tax values embedded as literals rather than explicit rules. Harder to identify for review and dangerous to modify without context.</w:t>
      </w:r>
    </w:p>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Pr>
        <w:pStyle w:val="Heading3"/>
      </w:pPr>
      <w:r>
        <w:t>Figure 1: v0 Handler Coupling – Monolithic 90-line structure combining HTTP, pricing, and persistence</w:t>
      </w:r>
    </w:p>
    <w:p/>
    <w:p>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r>
        <w:t>Key Insight: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
      <w:pPr>
        <w:pStyle w:val="Heading2"/>
      </w:pPr>
      <w:r>
        <w:t>2. Design Evaluation and Architectural Decisions</w:t>
      </w:r>
    </w:p>
    <w:p>
      <w:pPr>
        <w:pStyle w:val="Heading3"/>
      </w:pPr>
      <w:r>
        <w:t>2.1 Architectural Boundaries and Design Patterns</w:t>
      </w:r>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r>
        <w:t>Four patterns are absent from v0, each with measurable consequences: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Pattern</w:t>
            </w:r>
          </w:p>
        </w:tc>
        <w:tc>
          <w:tcPr>
            <w:tcW w:type="dxa" w:w="3120"/>
          </w:tcPr>
          <w:p>
            <w:r>
              <w:t>Why Absent</w:t>
            </w:r>
          </w:p>
        </w:tc>
        <w:tc>
          <w:tcPr>
            <w:tcW w:type="dxa" w:w="3120"/>
          </w:tcPr>
          <w:p>
            <w:r>
              <w:t>Impact</w:t>
            </w:r>
          </w:p>
        </w:tc>
      </w:tr>
      <w:tr>
        <w:tc>
          <w:tcPr>
            <w:tcW w:type="dxa" w:w="3120"/>
          </w:tcPr>
          <w:p>
            <w:r>
              <w:t>Service Layer</w:t>
            </w:r>
          </w:p>
        </w:tc>
        <w:tc>
          <w:tcPr>
            <w:tcW w:type="dxa" w:w="3120"/>
          </w:tcPr>
          <w:p>
            <w:r>
              <w:t>Pricing in HTTP handler</w:t>
            </w:r>
          </w:p>
        </w:tc>
        <w:tc>
          <w:tcPr>
            <w:tcW w:type="dxa" w:w="3120"/>
          </w:tcPr>
          <w:p>
            <w:r>
              <w:t>Business logic untestable in isolation</w:t>
            </w:r>
          </w:p>
        </w:tc>
      </w:tr>
      <w:tr>
        <w:tc>
          <w:tcPr>
            <w:tcW w:type="dxa" w:w="3120"/>
          </w:tcPr>
          <w:p>
            <w:r>
              <w:t>Repository</w:t>
            </w:r>
          </w:p>
        </w:tc>
        <w:tc>
          <w:tcPr>
            <w:tcW w:type="dxa" w:w="3120"/>
          </w:tcPr>
          <w:p>
            <w:r>
              <w:t>Direct file access</w:t>
            </w:r>
          </w:p>
        </w:tc>
        <w:tc>
          <w:tcPr>
            <w:tcW w:type="dxa" w:w="3120"/>
          </w:tcPr>
          <w:p>
            <w:r>
              <w:t>Cannot replace persistence without rewriting pricing</w:t>
            </w:r>
          </w:p>
        </w:tc>
      </w:tr>
      <w:tr>
        <w:tc>
          <w:tcPr>
            <w:tcW w:type="dxa" w:w="3120"/>
          </w:tcPr>
          <w:p>
            <w:r>
              <w:t>Strategy</w:t>
            </w:r>
          </w:p>
        </w:tc>
        <w:tc>
          <w:tcPr>
            <w:tcW w:type="dxa" w:w="3120"/>
          </w:tcPr>
          <w:p>
            <w:r>
              <w:t>Hardcoded conditionals for plans/discounts</w:t>
            </w:r>
          </w:p>
        </w:tc>
        <w:tc>
          <w:tcPr>
            <w:tcW w:type="dxa" w:w="3120"/>
          </w:tcPr>
          <w:p>
            <w:r>
              <w:t>Adding rules requires modifying handler</w:t>
            </w:r>
          </w:p>
        </w:tc>
      </w:tr>
      <w:tr>
        <w:tc>
          <w:tcPr>
            <w:tcW w:type="dxa" w:w="3120"/>
          </w:tcPr>
          <w:p>
            <w:r>
              <w:t>Dependency Injection</w:t>
            </w:r>
          </w:p>
        </w:tc>
        <w:tc>
          <w:tcPr>
            <w:tcW w:type="dxa" w:w="3120"/>
          </w:tcPr>
          <w:p>
            <w:r>
              <w:t>Embedded `datetime.now()`</w:t>
            </w:r>
          </w:p>
        </w:tc>
        <w:tc>
          <w:tcPr>
            <w:tcW w:type="dxa" w:w="3120"/>
          </w:tcPr>
          <w:p>
            <w:r>
              <w:t>Testing cannot control time, defeating pro-rata tests</w:t>
            </w:r>
          </w:p>
        </w:tc>
      </w:tr>
    </w:tbl>
    <w:p>
      <w:r>
        <w:t>These are not stylistic choices. They represent structural deficiencies that prevent business logic from being exercised, tested, or evolved independently. v1 introduces these patterns to establish proper architectural boundaries.</w:t>
      </w:r>
    </w:p>
    <w:p/>
    <w:p>
      <w:pPr>
        <w:pStyle w:val="Heading3"/>
      </w:pPr>
      <w:r>
        <w:t>2.2 Architectural Decisions: Mapping to Quality Gaps</w:t>
      </w:r>
    </w:p>
    <w:p>
      <w:r>
        <w:rPr>
          <w:b/>
        </w:rPr>
        <w:t>Decision 1: Service Layer (addresses Gaps 1, 4, 6)</w:t>
      </w:r>
      <w:r>
        <w:br/>
        <w:t>v0 couples pricing to HTTP handling. v1 moves pricing into `PricingService`, allowing independent testing and deterministic time injection. Trade-off: ~50 additional lines of code. Benefit: pricing logic testable without framework setup.</w:t>
      </w:r>
    </w:p>
    <w:p>
      <w:r>
        <w:rPr>
          <w:b/>
        </w:rPr>
        <w:t>Decision 2: Repository Pattern (addresses Gaps 1, 2)</w:t>
      </w:r>
      <w:r>
        <w:b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r>
        <w:rPr>
          <w:b/>
        </w:rPr>
        <w:t>Decision 3: Strategy Pattern (addresses Gaps 3, 7)</w:t>
      </w:r>
      <w:r>
        <w:br/>
        <w:t>v0 embeds plan selection, discounts, and tax as hardcoded conditionals. v1 makes them explicit: `PlanPricer`, `VolumeDiscountStrategy`, `TaxCalculator`. Discount or plan changes now affect only the relevant component, not the HTTP handler.</w:t>
      </w:r>
    </w:p>
    <w:p>
      <w:r>
        <w:rPr>
          <w:b/>
        </w:rPr>
        <w:t>Decision 4: Dependency Injection for Clock (addresses Gap 4)</w:t>
      </w:r>
      <w:r>
        <w:br/>
        <w:t>v0 calls `datetime.now()` directly, making pro-rata calculations non-deterministic. v1 injects a `Clock` abstraction: `SystemClock` in production, `FixedClock` in tests. Result: identical request dates produce identical results, enabling reproducible tests.</w:t>
      </w:r>
    </w:p>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Pr>
        <w:pStyle w:val="Heading3"/>
      </w:pPr>
      <w:r>
        <w:t>Figure 2: v0 vs v1 Architectural Structure – Layered design with explicit separation of concerns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r>
        <w:t>Design Coherence: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r>
        <w:t>Trade-offs Accepted: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2"/>
      </w:pPr>
      <w:r>
        <w:t>3. Testing Strategy and Implementation (1,100 words)</w:t>
      </w:r>
    </w:p>
    <w:p>
      <w:pPr>
        <w:pStyle w:val="Heading3"/>
      </w:pPr>
      <w:r>
        <w:t>3.1 Testing Mapped to Architectural Decisions</w:t>
      </w:r>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Design Decision</w:t>
            </w:r>
          </w:p>
        </w:tc>
        <w:tc>
          <w:tcPr>
            <w:tcW w:type="dxa" w:w="2340"/>
          </w:tcPr>
          <w:p>
            <w:r>
              <w:t>Fixes Gap</w:t>
            </w:r>
          </w:p>
        </w:tc>
        <w:tc>
          <w:tcPr>
            <w:tcW w:type="dxa" w:w="2340"/>
          </w:tcPr>
          <w:p>
            <w:r>
              <w:t>Makes Testable</w:t>
            </w:r>
          </w:p>
        </w:tc>
        <w:tc>
          <w:tcPr>
            <w:tcW w:type="dxa" w:w="2340"/>
          </w:tcPr>
          <w:p>
            <w:r>
              <w:t>Approach</w:t>
            </w:r>
          </w:p>
        </w:tc>
      </w:tr>
      <w:tr>
        <w:tc>
          <w:tcPr>
            <w:tcW w:type="dxa" w:w="2340"/>
          </w:tcPr>
          <w:p>
            <w:r>
              <w:t>Service Layer</w:t>
            </w:r>
          </w:p>
        </w:tc>
        <w:tc>
          <w:tcPr>
            <w:tcW w:type="dxa" w:w="2340"/>
          </w:tcPr>
          <w:p>
            <w:r>
              <w:t>1, 6</w:t>
            </w:r>
          </w:p>
        </w:tc>
        <w:tc>
          <w:tcPr>
            <w:tcW w:type="dxa" w:w="2340"/>
          </w:tcPr>
          <w:p>
            <w:r>
              <w:t>Business logic independently of HTTP</w:t>
            </w:r>
          </w:p>
        </w:tc>
        <w:tc>
          <w:tcPr>
            <w:tcW w:type="dxa" w:w="2340"/>
          </w:tcPr>
          <w:p>
            <w:r>
              <w:t>Unit/service tests</w:t>
            </w:r>
          </w:p>
        </w:tc>
      </w:tr>
      <w:tr>
        <w:tc>
          <w:tcPr>
            <w:tcW w:type="dxa" w:w="2340"/>
          </w:tcPr>
          <w:p>
            <w:r>
              <w:t>Repository</w:t>
            </w:r>
          </w:p>
        </w:tc>
        <w:tc>
          <w:tcPr>
            <w:tcW w:type="dxa" w:w="2340"/>
          </w:tcPr>
          <w:p>
            <w:r>
              <w:t>2</w:t>
            </w:r>
          </w:p>
        </w:tc>
        <w:tc>
          <w:tcPr>
            <w:tcW w:type="dxa" w:w="2340"/>
          </w:tcPr>
          <w:p>
            <w:r>
              <w:t>Persistence without filesystem</w:t>
            </w:r>
          </w:p>
        </w:tc>
        <w:tc>
          <w:tcPr>
            <w:tcW w:type="dxa" w:w="2340"/>
          </w:tcPr>
          <w:p>
            <w:r>
              <w:t>In-memory repos</w:t>
            </w:r>
          </w:p>
        </w:tc>
      </w:tr>
      <w:tr>
        <w:tc>
          <w:tcPr>
            <w:tcW w:type="dxa" w:w="2340"/>
          </w:tcPr>
          <w:p>
            <w:r>
              <w:t>Strategy</w:t>
            </w:r>
          </w:p>
        </w:tc>
        <w:tc>
          <w:tcPr>
            <w:tcW w:type="dxa" w:w="2340"/>
          </w:tcPr>
          <w:p>
            <w:r>
              <w:t>3, 7</w:t>
            </w:r>
          </w:p>
        </w:tc>
        <w:tc>
          <w:tcPr>
            <w:tcW w:type="dxa" w:w="2340"/>
          </w:tcPr>
          <w:p>
            <w:r>
              <w:t>Individual pricing rules</w:t>
            </w:r>
          </w:p>
        </w:tc>
        <w:tc>
          <w:tcPr>
            <w:tcW w:type="dxa" w:w="2340"/>
          </w:tcPr>
          <w:p>
            <w:r>
              <w:t>Unit + boundary-value</w:t>
            </w:r>
          </w:p>
        </w:tc>
      </w:tr>
      <w:tr>
        <w:tc>
          <w:tcPr>
            <w:tcW w:type="dxa" w:w="2340"/>
          </w:tcPr>
          <w:p>
            <w:r>
              <w:t>Clock Injection</w:t>
            </w:r>
          </w:p>
        </w:tc>
        <w:tc>
          <w:tcPr>
            <w:tcW w:type="dxa" w:w="2340"/>
          </w:tcPr>
          <w:p>
            <w:r>
              <w:t>4</w:t>
            </w:r>
          </w:p>
        </w:tc>
        <w:tc>
          <w:tcPr>
            <w:tcW w:type="dxa" w:w="2340"/>
          </w:tcPr>
          <w:p>
            <w:r>
              <w:t>Deterministic pro-rata</w:t>
            </w:r>
          </w:p>
        </w:tc>
        <w:tc>
          <w:tcPr>
            <w:tcW w:type="dxa" w:w="2340"/>
          </w:tcPr>
          <w:p>
            <w:r>
              <w:t>FixedClock in tests</w:t>
            </w:r>
          </w:p>
        </w:tc>
      </w:tr>
    </w:tbl>
    <w:p/>
    <w:p>
      <w:pPr>
        <w:pStyle w:val="Heading3"/>
      </w:pPr>
      <w:r>
        <w:t>3.2 Test Portfolio: 90 Tests in 0.21 Seconds</w:t>
      </w:r>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r>
        <w:rPr>
          <w:b/>
        </w:rPr>
        <w:t>Service tests (19):</w:t>
      </w:r>
      <w:r>
        <w:t xml:space="preserve"> Exercise PricingService with injected dependencies. Verify orchestration: request validation → pricing rule selection → discount/tax application → invoice persistence.</w:t>
      </w:r>
    </w:p>
    <w:p>
      <w:r>
        <w:rPr>
          <w:b/>
        </w:rPr>
        <w:t>Integration tests (14):</w:t>
      </w:r>
      <w:r>
        <w:t xml:space="preserve"> Black-box API testing. Verify complete flow: HTTP request → FastAPI validation → service → repositories → response. Test both valid scenarios and edge cases.</w:t>
      </w:r>
    </w:p>
    <w:p>
      <w:r>
        <w:rPr>
          <w:b/>
        </w:rPr>
        <w:t xml:space="preserve">Coverage: </w:t>
      </w:r>
      <w:r>
        <w:t>99% overall line coverage, 92% branch coverage. Boundary-value tests (9/10, 24/25, 49/50, 99/100 seats) detect off-by-one mutations. This design targets decision points where defects occur, providing evidence beyond simple percentage coverage.</w:t>
      </w:r>
    </w:p>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Pr>
        <w:pStyle w:val="Heading3"/>
      </w:pPr>
      <w:r>
        <w:t>Figure 3: Automated Test Suite Results – 90 tests executing in 0.21 seconds with 99% coverage</w:t>
      </w:r>
    </w:p>
    <w:p/>
    <w:p>
      <w:pPr>
        <w:pStyle w:val="Heading3"/>
      </w:pPr>
      <w:r>
        <w:t>3.3 What Testing Proved—What It Did Not</w:t>
      </w:r>
    </w:p>
    <w:p>
      <w:r>
        <w:t>Proved:</w:t>
      </w:r>
    </w:p>
    <w:p>
      <w:pPr>
        <w:pStyle w:val="ListBullet"/>
      </w:pPr>
      <w:r>
        <w:t>Behavioural equivalence: v0 scenarios produce identical results in v1</w:t>
      </w:r>
    </w:p>
    <w:p>
      <w:pPr>
        <w:pStyle w:val="ListBullet"/>
      </w:pPr>
      <w:r>
        <w:t>Rule isolation: pricing rules testable without HTTP</w:t>
      </w:r>
    </w:p>
    <w:p>
      <w:pPr>
        <w:pStyle w:val="ListBullet"/>
      </w:pPr>
      <w:r>
        <w:t>Deterministic time: pro-rata calculations reproducible</w:t>
      </w:r>
    </w:p>
    <w:p>
      <w:pPr>
        <w:pStyle w:val="ListBullet"/>
      </w:pPr>
      <w:r>
        <w:t>Integration integrity: complete flow works correctly</w:t>
      </w:r>
    </w:p>
    <w:p>
      <w:r>
        <w:t>Did Not Prove:</w:t>
      </w:r>
    </w:p>
    <w:p>
      <w:pPr>
        <w:pStyle w:val="ListBullet"/>
      </w:pPr>
      <w:r>
        <w:t>Concurrent invoice writes (file-locking untested)</w:t>
      </w:r>
    </w:p>
    <w:p>
      <w:pPr>
        <w:pStyle w:val="ListBullet"/>
      </w:pPr>
      <w:r>
        <w:t>Production-scale performance</w:t>
      </w:r>
    </w:p>
    <w:p>
      <w:pPr>
        <w:pStyle w:val="ListBullet"/>
      </w:pPr>
      <w:r>
        <w:t>Business correctness of the 24/25 anomaly (99% coverage doesn't validate pricing policy)</w:t>
      </w:r>
    </w:p>
    <w:p>
      <w:r>
        <w:t>This distinction is critical. High coverage masks unvalidated assumptions. Testing provides evidence; business stakeholders must interpret it.</w:t>
      </w:r>
    </w:p>
    <w:p/>
    <w:p>
      <w:pPr>
        <w:pStyle w:val="Heading3"/>
      </w:pPr>
      <w:r>
        <w:t>3.4 Architecture Drives Testability</w:t>
      </w:r>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pStyle w:val="Heading2"/>
      </w:pPr>
      <w:r>
        <w:t>4. Stakeholder Communication and Professional Practice (400 words)</w:t>
      </w:r>
    </w:p>
    <w:p>
      <w:r>
        <w:t>Communication was structured around evidence and professional standards.</w:t>
      </w:r>
    </w:p>
    <w:p>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t>Professional Standards Applied:</w:t>
      </w:r>
    </w:p>
    <w:p>
      <w:pPr>
        <w:pStyle w:val="ListBullet"/>
      </w:pPr>
      <w:r>
        <w:t>SOLID Principles: Single Responsibility (orchestration separated from rules, persistence, time). Dependency Inversion (Clock and repository abstractions).</w:t>
      </w:r>
    </w:p>
    <w:p>
      <w:pPr>
        <w:pStyle w:val="ListBullet"/>
      </w:pPr>
      <w:r>
        <w:t>Testing Discipline: Layered pyramid (unit → service → integration), characterisation testing, Boundary Value Analysis, deterministic time injection.</w:t>
      </w:r>
    </w:p>
    <w:p>
      <w:pPr>
        <w:pStyle w:val="ListBullet"/>
      </w:pPr>
      <w:r>
        <w:t>Code Quality: Service function 48 lines (vs v0's 88-line handler). Business rules explicit. Magic numbers eliminated.</w:t>
      </w:r>
    </w:p>
    <w:p>
      <w:pPr>
        <w:pStyle w:val="ListBullet"/>
      </w:pPr>
      <w:r>
        <w:t>Professional Honesty: Limitations declared upfront (concurrency untested, file-based scalability constraints, unresolved pricing policy). Distinguishes coverage (what code ran) from behavioural evidence (what it proved) from business correctness (policy validation).</w:t>
      </w:r>
    </w:p>
    <w:p>
      <w:r>
        <w:t>Avoiding Common Pitfalls: The project deliberately rejects over-engineering. Abstract Factory was considered for configuration management but not introduced, as Pydantic models already provide validation. Observer pattern was rejected for invoice notification because a single synchronous client does not warrant event decoupling. Builder was not used because Pydantic dataclasses handle request construction. These non-decisions reflect a principle: adopt patterns when they solve actual problems, not to demonstrate pattern knowledge. This discipline distinguishes professional architecture from architectural theater.</w:t>
      </w:r>
    </w:p>
    <w:p>
      <w:r>
        <w:t>Evidence-Driven Claims: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
      <w:pPr>
        <w:pStyle w:val="Heading2"/>
      </w:pPr>
      <w:r>
        <w:t>5. Critical Evaluation and Recommendations (600 words)</w:t>
      </w:r>
    </w:p>
    <w:p>
      <w:pPr>
        <w:pStyle w:val="Heading3"/>
      </w:pPr>
      <w:r>
        <w:t>5.1 Were the Design Decisions Right?</w:t>
      </w:r>
    </w:p>
    <w:p>
      <w:r>
        <w:t>Overall, the four architectural decisions were appropriate for the quality problems identified in v0, although each introduced additional structure that would not be justified in every system.</w:t>
      </w:r>
    </w:p>
    <w:p>
      <w:r>
        <w:t>The **Service Layer** was the strongest decision because it directly addressed the coupling between HTTP handling and pricing logic. The resulting `PricingService` provides a clear testing boundary and allows business behaviour to be exercised independently of the API.</w:t>
      </w:r>
    </w:p>
    <w:p>
      <w:r>
        <w:t>The **Repository Pattern** was also justified because v0 directly coupled pricing to file-based configuration and invoice persistence. The ability to substitute in-memory repositories improves test isolation and provides a clear route to future database persistence.</w:t>
      </w:r>
    </w:p>
    <w:p>
      <w:r>
        <w:t>The **Strategy Pattern** appropriately addresses the variation in plans, discounts and taxation. Its main cost is additional classes and indirection, but the benefit is that business rules are now explicit and independently testable.</w:t>
      </w:r>
    </w:p>
    <w:p>
      <w:r>
        <w:t>**Clock Injection** was a small but important design improvement. Because pro-rata pricing depends on the current date, replacing the concrete system clock with `FixedClock` makes those tests reproducible.</w:t>
      </w:r>
    </w:p>
    <w:p>
      <w:r>
        <w:t>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
      <w:pPr>
        <w:pStyle w:val="Heading3"/>
      </w:pPr>
      <w:r>
        <w:t>5.2 Was the Testing Strategy Effective?</w:t>
      </w:r>
    </w:p>
    <w:p>
      <w:r>
        <w:t>The testing strategy proved several important properties of the refactored design.</w:t>
      </w:r>
    </w:p>
    <w:p>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r>
        <w:t>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
      <w:pPr>
        <w:pStyle w:val="Heading3"/>
      </w:pPr>
      <w:r>
        <w:t>5.3 Quality Improvements Achieved</w:t>
      </w:r>
    </w:p>
    <w:p>
      <w:r>
        <w:t>The refactoring achieved several significant structural and quality improvements.</w:t>
      </w:r>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r>
        <w:rPr>
          <w:b/>
        </w:rPr>
        <w:t>Testability:</w:t>
      </w:r>
      <w:r>
        <w:t xml:space="preserve"> v0 requires pricing scenarios to be exercised through the HTTP endpoint, whereas v1 allows `PricingService` to be invoked directly with controlled dependencies. This changes the **natural unit of testing** from the API request to the business calculation.</w:t>
      </w:r>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r>
        <w:rPr>
          <w:b/>
        </w:rPr>
        <w:t>Test evidence:</w:t>
      </w:r>
      <w:r>
        <w:t xml:space="preserv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r>
        <w:t>Overall, the improvement is best characterised as a move from a **large, infrastructure-coupled testing boundary to smaller, explicit and independently testable responsibilities**.</w:t>
      </w:r>
    </w:p>
    <w:p/>
    <w:p>
      <w:pPr>
        <w:pStyle w:val="Heading3"/>
      </w:pPr>
      <w:r>
        <w:t>5.4 Remaining Gaps and the Pricing Anomaly</w:t>
      </w:r>
    </w:p>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Pr>
        <w:pStyle w:val="Heading3"/>
      </w:pPr>
      <w:r>
        <w:t>Figure 4: Boundary-Value Test Evidence – The 24/25 seat pricing anomaly</w:t>
      </w:r>
    </w:p>
    <w:p/>
    <w:p>
      <w:r>
        <w:t>The refactoring improved the architecture but did not address every quality issue identified in Section 1.</w:t>
      </w:r>
    </w:p>
    <w:p>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r>
        <w:t>**Production concerns:** Logging, monitoring, resilience, error recovery and security hardening have not been comprehensively addressed. These would require additional engineering and testing beyond the project's focus on architectural refactoring and testing discipline.</w:t>
      </w:r>
    </w:p>
    <w:p>
      <w:r>
        <w:t>These gaps represent **defined scope boundaries rather than concealed deficiencies**. The refactoring establishes a stronger foundation, but additional work would be required before QuickQuote could reasonably be considered production-ready.</w:t>
      </w:r>
    </w:p>
    <w:p/>
    <w:p>
      <w:pPr>
        <w:pStyle w:val="Heading3"/>
      </w:pPr>
      <w:r>
        <w:t>5.5 Lessons Learned</w:t>
      </w:r>
    </w:p>
    <w:p>
      <w:pPr>
        <w:pStyle w:val="ListNumber"/>
      </w:pPr>
      <w:r>
        <w:t>**Architecture determines testability:** The v1 design emerged from identifying the testing boundaries needed to exercise pricing logic safely, demonstrating that architecture and testability are inseparable.</w:t>
      </w:r>
    </w:p>
    <w:p>
      <w:pPr>
        <w:pStyle w:val="ListNumber"/>
      </w:pPr>
      <w:r>
        <w:t>**Restraint is a design decision:** Rejecting Abstract Factory, Observer and Builder showed that good architecture depends on applying the right abstraction to the actual problem, not maximising pattern usage.</w:t>
      </w:r>
    </w:p>
    <w:p>
      <w:pPr>
        <w:pStyle w:val="ListNumber"/>
      </w:pPr>
      <w:r>
        <w:t>**Honest limitations are valuable:** Documenting the pricing anomaly, concurrency and scalability limitations provides more credible evidence than claiming that the refactoring solved every quality concern.</w:t>
      </w:r>
    </w:p>
    <w:p>
      <w:pPr>
        <w:pStyle w:val="ListNumber"/>
      </w:pPr>
      <w:r>
        <w:t>**Design and testing are connected disciplines:** The architectural changes and layered test strategy work together to provide evidence of improved software quality rather than either being sufficient in isolation.</w:t>
      </w:r>
    </w:p>
    <w:p/>
    <w:p>
      <w:pPr>
        <w:pStyle w:val="Heading3"/>
      </w:pPr>
      <w:r>
        <w:t>5.6 Risk Mitigation and Production Readiness</w:t>
      </w:r>
    </w:p>
    <w:p>
      <w:r>
        <w:t>The refactoring successfully mitigates the seven v0 quality gaps through targeted architectural decisions. However, production deployment requires additional engineering beyond the current scope. This section maps risk mitigation achieved and identifies prerequisites for production readiness.</w:t>
      </w:r>
    </w:p>
    <w:p/>
    <w:p>
      <w:pPr>
        <w:pStyle w:val="Heading4"/>
      </w:pPr>
      <w:r>
        <w:t>Risk Mitigation Summary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t>v0 Gap</w:t>
            </w:r>
          </w:p>
        </w:tc>
        <w:tc>
          <w:tcPr>
            <w:tcW w:type="dxa" w:w="1872"/>
          </w:tcPr>
          <w:p>
            <w:r>
              <w:t>Addressing Decision</w:t>
            </w:r>
          </w:p>
        </w:tc>
        <w:tc>
          <w:tcPr>
            <w:tcW w:type="dxa" w:w="1872"/>
          </w:tcPr>
          <w:p>
            <w:r>
              <w:t>Mitigation Strength</w:t>
            </w:r>
          </w:p>
        </w:tc>
        <w:tc>
          <w:tcPr>
            <w:tcW w:type="dxa" w:w="1872"/>
          </w:tcPr>
          <w:p>
            <w:r>
              <w:t>Residual Risk</w:t>
            </w:r>
          </w:p>
        </w:tc>
        <w:tc>
          <w:tcPr>
            <w:tcW w:type="dxa" w:w="1872"/>
          </w:tcPr>
          <w:p>
            <w:r>
              <w:t>Dependencies</w:t>
            </w:r>
          </w:p>
        </w:tc>
      </w:tr>
      <w:tr>
        <w:tc>
          <w:tcPr>
            <w:tcW w:type="dxa" w:w="1872"/>
          </w:tcPr>
          <w:p>
            <w:r>
              <w:t>Gap 1: High Coupling</w:t>
            </w:r>
          </w:p>
        </w:tc>
        <w:tc>
          <w:tcPr>
            <w:tcW w:type="dxa" w:w="1872"/>
          </w:tcPr>
          <w:p>
            <w:r>
              <w:t>Service Layer</w:t>
            </w:r>
          </w:p>
        </w:tc>
        <w:tc>
          <w:tcPr>
            <w:tcW w:type="dxa" w:w="1872"/>
            <w:shd w:fill="D4EDDA"/>
          </w:tcPr>
          <w:p>
            <w:r>
              <w:t>High</w:t>
            </w:r>
          </w:p>
        </w:tc>
        <w:tc>
          <w:tcPr>
            <w:tcW w:type="dxa" w:w="1872"/>
          </w:tcPr>
          <w:p>
            <w:r>
              <w:t>Infrastructure changes still require coordination</w:t>
            </w:r>
          </w:p>
        </w:tc>
        <w:tc>
          <w:tcPr>
            <w:tcW w:type="dxa" w:w="1872"/>
          </w:tcPr>
          <w:p>
            <w:r>
              <w:t>None</w:t>
            </w:r>
          </w:p>
        </w:tc>
      </w:tr>
      <w:tr>
        <w:tc>
          <w:tcPr>
            <w:tcW w:type="dxa" w:w="1872"/>
          </w:tcPr>
          <w:p>
            <w:r>
              <w:t>Gap 2: Direct File I/O</w:t>
            </w:r>
          </w:p>
        </w:tc>
        <w:tc>
          <w:tcPr>
            <w:tcW w:type="dxa" w:w="1872"/>
          </w:tcPr>
          <w:p>
            <w:r>
              <w:t>Repository Pattern</w:t>
            </w:r>
          </w:p>
        </w:tc>
        <w:tc>
          <w:tcPr>
            <w:tcW w:type="dxa" w:w="1872"/>
            <w:shd w:fill="D4EDDA"/>
          </w:tcPr>
          <w:p>
            <w:r>
              <w:t>High</w:t>
            </w:r>
          </w:p>
        </w:tc>
        <w:tc>
          <w:tcPr>
            <w:tcW w:type="dxa" w:w="1872"/>
          </w:tcPr>
          <w:p>
            <w:r>
              <w:t>Database migration still needed</w:t>
            </w:r>
          </w:p>
        </w:tc>
        <w:tc>
          <w:tcPr>
            <w:tcW w:type="dxa" w:w="1872"/>
          </w:tcPr>
          <w:p>
            <w:r>
              <w:t>Service Layer</w:t>
            </w:r>
          </w:p>
        </w:tc>
      </w:tr>
      <w:tr>
        <w:tc>
          <w:tcPr>
            <w:tcW w:type="dxa" w:w="1872"/>
          </w:tcPr>
          <w:p>
            <w:r>
              <w:t>Gap 3: Embedded Rule Sets</w:t>
            </w:r>
          </w:p>
        </w:tc>
        <w:tc>
          <w:tcPr>
            <w:tcW w:type="dxa" w:w="1872"/>
          </w:tcPr>
          <w:p>
            <w:r>
              <w:t>Strategy Pattern</w:t>
            </w:r>
          </w:p>
        </w:tc>
        <w:tc>
          <w:tcPr>
            <w:tcW w:type="dxa" w:w="1872"/>
            <w:shd w:fill="D4EDDA"/>
          </w:tcPr>
          <w:p>
            <w:r>
              <w:t>High</w:t>
            </w:r>
          </w:p>
        </w:tc>
        <w:tc>
          <w:tcPr>
            <w:tcW w:type="dxa" w:w="1872"/>
          </w:tcPr>
          <w:p>
            <w:r>
              <w:t>Adding new rules requires code change</w:t>
            </w:r>
          </w:p>
        </w:tc>
        <w:tc>
          <w:tcPr>
            <w:tcW w:type="dxa" w:w="1872"/>
          </w:tcPr>
          <w:p>
            <w:r>
              <w:t>None</w:t>
            </w:r>
          </w:p>
        </w:tc>
      </w:tr>
      <w:tr>
        <w:tc>
          <w:tcPr>
            <w:tcW w:type="dxa" w:w="1872"/>
          </w:tcPr>
          <w:p>
            <w:r>
              <w:t>Gap 4: Non-deterministic Time</w:t>
            </w:r>
          </w:p>
        </w:tc>
        <w:tc>
          <w:tcPr>
            <w:tcW w:type="dxa" w:w="1872"/>
          </w:tcPr>
          <w:p>
            <w:r>
              <w:t>Clock Injection</w:t>
            </w:r>
          </w:p>
        </w:tc>
        <w:tc>
          <w:tcPr>
            <w:tcW w:type="dxa" w:w="1872"/>
            <w:shd w:fill="D4EDDA"/>
          </w:tcPr>
          <w:p>
            <w:r>
              <w:t>High</w:t>
            </w:r>
          </w:p>
        </w:tc>
        <w:tc>
          <w:tcPr>
            <w:tcW w:type="dxa" w:w="1872"/>
          </w:tcPr>
          <w:p>
            <w:r>
              <w:t>None—fully mitigated</w:t>
            </w:r>
          </w:p>
        </w:tc>
        <w:tc>
          <w:tcPr>
            <w:tcW w:type="dxa" w:w="1872"/>
          </w:tcPr>
          <w:p>
            <w:r>
              <w:t>Service Layer</w:t>
            </w:r>
          </w:p>
        </w:tc>
      </w:tr>
      <w:tr>
        <w:tc>
          <w:tcPr>
            <w:tcW w:type="dxa" w:w="1872"/>
          </w:tcPr>
          <w:p>
            <w:r>
              <w:t>Gap 5: Rounding at Multiple Stages</w:t>
            </w:r>
          </w:p>
        </w:tc>
        <w:tc>
          <w:tcPr>
            <w:tcW w:type="dxa" w:w="1872"/>
          </w:tcPr>
          <w:p>
            <w:r>
              <w:t>(Not addressed)</w:t>
            </w:r>
          </w:p>
        </w:tc>
        <w:tc>
          <w:tcPr>
            <w:tcW w:type="dxa" w:w="1872"/>
            <w:shd w:fill="FFF3CD"/>
          </w:tcPr>
          <w:p>
            <w:r>
              <w:t>Medium</w:t>
            </w:r>
          </w:p>
        </w:tc>
        <w:tc>
          <w:tcPr>
            <w:tcW w:type="dxa" w:w="1872"/>
          </w:tcPr>
          <w:p>
            <w:r>
              <w:t>Rounding logic still fragmented</w:t>
            </w:r>
          </w:p>
        </w:tc>
        <w:tc>
          <w:tcPr>
            <w:tcW w:type="dxa" w:w="1872"/>
          </w:tcPr>
          <w:p>
            <w:r>
              <w:t>Strategy refinement</w:t>
            </w:r>
          </w:p>
        </w:tc>
      </w:tr>
      <w:tr>
        <w:tc>
          <w:tcPr>
            <w:tcW w:type="dxa" w:w="1872"/>
          </w:tcPr>
          <w:p>
            <w:r>
              <w:t>Gap 6: Weak Input Validation</w:t>
            </w:r>
          </w:p>
        </w:tc>
        <w:tc>
          <w:tcPr>
            <w:tcW w:type="dxa" w:w="1872"/>
          </w:tcPr>
          <w:p>
            <w:r>
              <w:t>Service Layer validation</w:t>
            </w:r>
          </w:p>
        </w:tc>
        <w:tc>
          <w:tcPr>
            <w:tcW w:type="dxa" w:w="1872"/>
            <w:shd w:fill="FFF3CD"/>
          </w:tcPr>
          <w:p>
            <w:r>
              <w:t>Medium</w:t>
            </w:r>
          </w:p>
        </w:tc>
        <w:tc>
          <w:tcPr>
            <w:tcW w:type="dxa" w:w="1872"/>
          </w:tcPr>
          <w:p>
            <w:r>
              <w:t>Validation rules duplicated across layers</w:t>
            </w:r>
          </w:p>
        </w:tc>
        <w:tc>
          <w:tcPr>
            <w:tcW w:type="dxa" w:w="1872"/>
          </w:tcPr>
          <w:p>
            <w:r>
              <w:t>Middleware integration</w:t>
            </w:r>
          </w:p>
        </w:tc>
      </w:tr>
      <w:tr>
        <w:tc>
          <w:tcPr>
            <w:tcW w:type="dxa" w:w="1872"/>
          </w:tcPr>
          <w:p>
            <w:r>
              <w:t>Gap 7: Magic Numbers</w:t>
            </w:r>
          </w:p>
        </w:tc>
        <w:tc>
          <w:tcPr>
            <w:tcW w:type="dxa" w:w="1872"/>
          </w:tcPr>
          <w:p>
            <w:r>
              <w:t>Strategy + Config</w:t>
            </w:r>
          </w:p>
        </w:tc>
        <w:tc>
          <w:tcPr>
            <w:tcW w:type="dxa" w:w="1872"/>
            <w:shd w:fill="FFF3CD"/>
          </w:tcPr>
          <w:p>
            <w:r>
              <w:t>Medium</w:t>
            </w:r>
          </w:p>
        </w:tc>
        <w:tc>
          <w:tcPr>
            <w:tcW w:type="dxa" w:w="1872"/>
          </w:tcPr>
          <w:p>
            <w:r>
              <w:t>Config still file-based, not versioned</w:t>
            </w:r>
          </w:p>
        </w:tc>
        <w:tc>
          <w:tcPr>
            <w:tcW w:type="dxa" w:w="1872"/>
          </w:tcPr>
          <w:p>
            <w:r>
              <w:t>Repository Pattern</w:t>
            </w:r>
          </w:p>
        </w:tc>
      </w:tr>
    </w:tbl>
    <w:p/>
    <w:p>
      <w:pPr>
        <w:pStyle w:val="Heading4"/>
      </w:pPr>
      <w:r>
        <w:t>Production Readiness Roadmap</w:t>
      </w:r>
    </w:p>
    <w:p>
      <w:r>
        <w:t>Current implementation (v1) addresses architectural quality but requires additional engineering before production deployment. The roadmap below defines phases and prerequisites: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Phase</w:t>
            </w:r>
          </w:p>
        </w:tc>
        <w:tc>
          <w:tcPr>
            <w:tcW w:type="dxa" w:w="3120"/>
          </w:tcPr>
          <w:p>
            <w:r>
              <w:t>Prerequisites</w:t>
            </w:r>
          </w:p>
        </w:tc>
        <w:tc>
          <w:tcPr>
            <w:tcW w:type="dxa" w:w="3120"/>
          </w:tcPr>
          <w:p>
            <w:r>
              <w:t>Effort Estimate</w:t>
            </w:r>
          </w:p>
        </w:tc>
      </w:tr>
      <w:tr>
        <w:tc>
          <w:tcPr>
            <w:tcW w:type="dxa" w:w="3120"/>
            <w:shd w:fill="D4EDDA"/>
          </w:tcPr>
          <w:p>
            <w:r>
              <w:t>MVP (Current)</w:t>
            </w:r>
          </w:p>
        </w:tc>
        <w:tc>
          <w:tcPr>
            <w:tcW w:type="dxa" w:w="3120"/>
          </w:tcPr>
          <w:p>
            <w:r>
              <w:t>Service architecture, 90-test suite, in-memory repositories</w:t>
            </w:r>
          </w:p>
        </w:tc>
        <w:tc>
          <w:tcPr>
            <w:tcW w:type="dxa" w:w="3120"/>
          </w:tcPr>
          <w:p>
            <w:r>
              <w:t>Complete</w:t>
            </w:r>
          </w:p>
        </w:tc>
      </w:tr>
      <w:tr>
        <w:tc>
          <w:tcPr>
            <w:tcW w:type="dxa" w:w="3120"/>
          </w:tcPr>
          <w:p>
            <w:r>
              <w:t>Beta (Database)</w:t>
            </w:r>
          </w:p>
        </w:tc>
        <w:tc>
          <w:tcPr>
            <w:tcW w:type="dxa" w:w="3120"/>
          </w:tcPr>
          <w:p>
            <w:r>
              <w:t>SQL persistence layer, connection pooling, transaction handling, integration tests</w:t>
            </w:r>
          </w:p>
        </w:tc>
        <w:tc>
          <w:tcPr>
            <w:tcW w:type="dxa" w:w="3120"/>
          </w:tcPr>
          <w:p>
            <w:r>
              <w:t>2–3 weeks</w:t>
            </w:r>
          </w:p>
        </w:tc>
      </w:tr>
      <w:tr>
        <w:tc>
          <w:tcPr>
            <w:tcW w:type="dxa" w:w="3120"/>
          </w:tcPr>
          <w:p>
            <w:r>
              <w:t>Production</w:t>
            </w:r>
          </w:p>
        </w:tc>
        <w:tc>
          <w:tcPr>
            <w:tcW w:type="dxa" w:w="3120"/>
          </w:tcPr>
          <w:p>
            <w:r>
              <w:t>Monitoring, logging, error resilience, security audit, load testing, rate limiting</w:t>
            </w:r>
          </w:p>
        </w:tc>
        <w:tc>
          <w:tcPr>
            <w:tcW w:type="dxa" w:w="3120"/>
          </w:tcPr>
          <w:p>
            <w:r>
              <w:t>4–6 weeks</w:t>
            </w:r>
          </w:p>
        </w:tc>
      </w:tr>
      <w:tr>
        <w:tc>
          <w:tcPr>
            <w:tcW w:type="dxa" w:w="3120"/>
          </w:tcPr>
          <w:p>
            <w:r>
              <w:t>Operations</w:t>
            </w:r>
          </w:p>
        </w:tc>
        <w:tc>
          <w:tcPr>
            <w:tcW w:type="dxa" w:w="3120"/>
          </w:tcPr>
          <w:p>
            <w:r>
              <w:t>Deployment automation, rollback strategy, incident response, performance baselines</w:t>
            </w:r>
          </w:p>
        </w:tc>
        <w:tc>
          <w:tcPr>
            <w:tcW w:type="dxa" w:w="3120"/>
          </w:tcPr>
          <w:p>
            <w:r>
              <w:t>Ongoing</w:t>
            </w:r>
          </w:p>
        </w:tc>
      </w:tr>
    </w:tbl>
    <w:p/>
    <w:p>
      <w:r>
        <w:t>The refactoring establishes the architectural foundation necessary for production deployment. However, database persistence, operational monitoring, and security hardening remain outside the current scope. These are orthogonal to the quality improvements demonstrated and can proceed in parallel with ongoing feature development.</w:t>
      </w:r>
    </w:p>
    <w:p>
      <w:r>
        <w:br w:type="page"/>
      </w:r>
    </w:p>
    <w:p>
      <w:r>
        <w:br w:type="page"/>
      </w:r>
    </w:p>
    <w:p>
      <w:pPr>
        <w:pStyle w:val="Heading2"/>
      </w:pPr>
      <w:r>
        <w:t>References</w:t>
      </w:r>
    </w:p>
    <w:p>
      <w:pPr>
        <w:shd w:fill="F0F0F0"/>
      </w:pPr>
      <w:r>
        <w:rPr>
          <w:b w:val="0"/>
        </w:rPr>
        <w:t xml:space="preserve">Feathers, M. (2004). </w:t>
      </w:r>
      <w:r>
        <w:rPr>
          <w:i/>
        </w:rPr>
        <w:t xml:space="preserve">*Working Effectively with Legacy Code*. </w:t>
      </w:r>
      <w:r>
        <w:rPr>
          <w:b w:val="0"/>
        </w:rPr>
        <w:t>Prentice Hall.</w:t>
      </w:r>
    </w:p>
    <w:p>
      <w:r>
        <w:rPr>
          <w:b w:val="0"/>
        </w:rPr>
        <w:t xml:space="preserve">Fowler, M. (2002). </w:t>
      </w:r>
      <w:r>
        <w:rPr>
          <w:i/>
        </w:rPr>
        <w:t xml:space="preserve">*Patterns of Enterprise Application Architecture*. </w:t>
      </w:r>
      <w:r>
        <w:rPr>
          <w:b w:val="0"/>
        </w:rPr>
        <w:t>Addison-Wesley.</w:t>
      </w:r>
    </w:p>
    <w:p>
      <w:pPr>
        <w:shd w:fill="F0F0F0"/>
      </w:pPr>
      <w:r>
        <w:rPr>
          <w:b w:val="0"/>
        </w:rPr>
        <w:t xml:space="preserve">Freeman, S. &amp; Pryce, N. (2009). </w:t>
      </w:r>
      <w:r>
        <w:rPr>
          <w:i/>
        </w:rPr>
        <w:t xml:space="preserve">*Growing Object-Oriented Software, Guided by Tests*. </w:t>
      </w:r>
      <w:r>
        <w:rPr>
          <w:b w:val="0"/>
        </w:rPr>
        <w:t>Addison-Wesley.</w:t>
      </w:r>
    </w:p>
    <w:p>
      <w:r>
        <w:rPr>
          <w:b w:val="0"/>
        </w:rPr>
        <w:t xml:space="preserve">Gamma, E., Helm, R., Johnson, R., &amp; Vlissides, J. (1994). </w:t>
      </w:r>
      <w:r>
        <w:rPr>
          <w:i/>
        </w:rPr>
        <w:t xml:space="preserve">*Design Patterns: Elements of Reusable Object-Oriented Software*. </w:t>
      </w:r>
      <w:r>
        <w:rPr>
          <w:b w:val="0"/>
        </w:rPr>
        <w:t>Addison-Wesley.</w:t>
      </w:r>
    </w:p>
    <w:p>
      <w:pPr>
        <w:shd w:fill="F0F0F0"/>
      </w:pPr>
      <w:r>
        <w:rPr>
          <w:b w:val="0"/>
        </w:rPr>
        <w:t xml:space="preserve">ISO/IEC 25010:2023. (2023). </w:t>
      </w:r>
      <w:r>
        <w:rPr>
          <w:i/>
        </w:rPr>
        <w:t xml:space="preserve">*Systems and software engineering — Measurement of product quality*. </w:t>
      </w:r>
      <w:r>
        <w:rPr>
          <w:b w:val="0"/>
        </w:rPr>
        <w:t>International Organization for Standardization.</w:t>
      </w:r>
    </w:p>
    <w:p>
      <w:r>
        <w:rPr>
          <w:b w:val="0"/>
        </w:rPr>
        <w:t xml:space="preserve">Jia, Y., &amp; Harman, M. (2011). </w:t>
      </w:r>
      <w:r>
        <w:rPr>
          <w:i/>
        </w:rPr>
        <w:t xml:space="preserve">An analysis and survey of the development of mutation testing. </w:t>
      </w:r>
      <w:r>
        <w:rPr>
          <w:b w:val="0"/>
        </w:rPr>
        <w:t>*IEEE Transactions on Software Engineering*, 37(5), 649–678.</w:t>
      </w:r>
    </w:p>
    <w:p>
      <w:pPr>
        <w:shd w:fill="F0F0F0"/>
      </w:pPr>
      <w:r>
        <w:rPr>
          <w:b w:val="0"/>
        </w:rPr>
        <w:t xml:space="preserve">Martin, R. C. (2008). </w:t>
      </w:r>
      <w:r>
        <w:rPr>
          <w:i/>
        </w:rPr>
        <w:t xml:space="preserve">*Clean Code: A Handbook of Agile Software Craftsmanship*. </w:t>
      </w:r>
      <w:r>
        <w:rPr>
          <w:b w:val="0"/>
        </w:rPr>
        <w:t>Prentice Hall.</w:t>
      </w:r>
    </w:p>
    <w:p>
      <w:r>
        <w:rPr>
          <w:b w:val="0"/>
        </w:rPr>
        <w:t xml:space="preserve">Martin, R. C. (2017). </w:t>
      </w:r>
      <w:r>
        <w:rPr>
          <w:i/>
        </w:rPr>
        <w:t xml:space="preserve">*Clean Architecture: A Craftsman's Guide to Software Structure and Design*. </w:t>
      </w:r>
      <w:r>
        <w:rPr>
          <w:b w:val="0"/>
        </w:rPr>
        <w:t>Prentice Hall.</w:t>
      </w:r>
    </w:p>
    <w:p>
      <w:pPr>
        <w:shd w:fill="F0F0F0"/>
      </w:pPr>
      <w:r>
        <w:rPr>
          <w:b w:val="0"/>
        </w:rPr>
        <w:t xml:space="preserve">Seaman, C. B., &amp; Gough, Y. (2011). </w:t>
      </w:r>
      <w:r>
        <w:rPr>
          <w:i/>
        </w:rPr>
        <w:t xml:space="preserve">Measuring and monitoring technical debt. In N. E. Fenton &amp; P. McBreen (Eds.), *Advances in Software Engineering* (pp. 205–225). </w:t>
      </w:r>
      <w:r>
        <w:rPr>
          <w:b w:val="0"/>
        </w:rPr>
        <w:t>Academic Press.</w:t>
      </w:r>
    </w:p>
    <w:p>
      <w:r>
        <w:rPr>
          <w:b w:val="0"/>
        </w:rPr>
        <w:t xml:space="preserve">Software Engineering Institute (SEI). (2021). </w:t>
      </w:r>
      <w:r>
        <w:rPr>
          <w:i/>
        </w:rPr>
        <w:t xml:space="preserve">*Technical Debt: Definition, Origin, Measurement, and Management*. </w:t>
      </w:r>
      <w:r>
        <w:rPr>
          <w:b w:val="0"/>
        </w:rPr>
        <w:t>Carnegie Mellon University.</w:t>
      </w:r>
    </w:p>
    <w:p>
      <w:pPr>
        <w:pStyle w:val="Heading2"/>
      </w:pPr>
      <w:r>
        <w:t>Appendix A: Test Results Summary</w:t>
      </w:r>
    </w:p>
    <w:p>
      <w:r>
        <w:t>The automated test suite validates the refactoring with comprehensive coverage across multiple testing layers. This appendix presents quantified evidence of test scope and execution characteristics.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Test Category</w:t>
            </w:r>
          </w:p>
        </w:tc>
        <w:tc>
          <w:tcPr>
            <w:tcW w:type="dxa" w:w="2340"/>
          </w:tcPr>
          <w:p>
            <w:r>
              <w:t>Count</w:t>
            </w:r>
          </w:p>
        </w:tc>
        <w:tc>
          <w:tcPr>
            <w:tcW w:type="dxa" w:w="2340"/>
          </w:tcPr>
          <w:p>
            <w:r>
              <w:t>Execution Time</w:t>
            </w:r>
          </w:p>
        </w:tc>
        <w:tc>
          <w:tcPr>
            <w:tcW w:type="dxa" w:w="2340"/>
          </w:tcPr>
          <w:p>
            <w:r>
              <w:t>Purpose</w:t>
            </w:r>
          </w:p>
        </w:tc>
      </w:tr>
      <w:tr>
        <w:tc>
          <w:tcPr>
            <w:tcW w:type="dxa" w:w="2340"/>
          </w:tcPr>
          <w:p>
            <w:r>
              <w:t>Characterisation (v0 behaviour)</w:t>
            </w:r>
          </w:p>
        </w:tc>
        <w:tc>
          <w:tcPr>
            <w:tcW w:type="dxa" w:w="2340"/>
          </w:tcPr>
          <w:p>
            <w:r>
              <w:t>34</w:t>
            </w:r>
          </w:p>
        </w:tc>
        <w:tc>
          <w:tcPr>
            <w:tcW w:type="dxa" w:w="2340"/>
          </w:tcPr>
          <w:p>
            <w:r>
              <w:t>&lt;0.05s</w:t>
            </w:r>
          </w:p>
        </w:tc>
        <w:tc>
          <w:tcPr>
            <w:tcW w:type="dxa" w:w="2340"/>
          </w:tcPr>
          <w:p>
            <w:r>
              <w:t>Capture v0 baseline, detect regressions</w:t>
            </w:r>
          </w:p>
        </w:tc>
      </w:tr>
      <w:tr>
        <w:tc>
          <w:tcPr>
            <w:tcW w:type="dxa" w:w="2340"/>
          </w:tcPr>
          <w:p>
            <w:r>
              <w:t>Unit: Pricing Rules</w:t>
            </w:r>
          </w:p>
        </w:tc>
        <w:tc>
          <w:tcPr>
            <w:tcW w:type="dxa" w:w="2340"/>
          </w:tcPr>
          <w:p>
            <w:r>
              <w:t>10</w:t>
            </w:r>
          </w:p>
        </w:tc>
        <w:tc>
          <w:tcPr>
            <w:tcW w:type="dxa" w:w="2340"/>
          </w:tcPr>
          <w:p>
            <w:r>
              <w:t>~0.02s</w:t>
            </w:r>
          </w:p>
        </w:tc>
        <w:tc>
          <w:tcPr>
            <w:tcW w:type="dxa" w:w="2340"/>
          </w:tcPr>
          <w:p>
            <w:r>
              <w:t>Strategy Pattern components in isolation</w:t>
            </w:r>
          </w:p>
        </w:tc>
      </w:tr>
      <w:tr>
        <w:tc>
          <w:tcPr>
            <w:tcW w:type="dxa" w:w="2340"/>
          </w:tcPr>
          <w:p>
            <w:r>
              <w:t>Unit: Repository</w:t>
            </w:r>
          </w:p>
        </w:tc>
        <w:tc>
          <w:tcPr>
            <w:tcW w:type="dxa" w:w="2340"/>
          </w:tcPr>
          <w:p>
            <w:r>
              <w:t>10</w:t>
            </w:r>
          </w:p>
        </w:tc>
        <w:tc>
          <w:tcPr>
            <w:tcW w:type="dxa" w:w="2340"/>
          </w:tcPr>
          <w:p>
            <w:r>
              <w:t>~0.03s</w:t>
            </w:r>
          </w:p>
        </w:tc>
        <w:tc>
          <w:tcPr>
            <w:tcW w:type="dxa" w:w="2340"/>
          </w:tcPr>
          <w:p>
            <w:r>
              <w:t>In-memory test doubles</w:t>
            </w:r>
          </w:p>
        </w:tc>
      </w:tr>
      <w:tr>
        <w:tc>
          <w:tcPr>
            <w:tcW w:type="dxa" w:w="2340"/>
          </w:tcPr>
          <w:p>
            <w:r>
              <w:t>Unit: Clock</w:t>
            </w:r>
          </w:p>
        </w:tc>
        <w:tc>
          <w:tcPr>
            <w:tcW w:type="dxa" w:w="2340"/>
          </w:tcPr>
          <w:p>
            <w:r>
              <w:t>3</w:t>
            </w:r>
          </w:p>
        </w:tc>
        <w:tc>
          <w:tcPr>
            <w:tcW w:type="dxa" w:w="2340"/>
          </w:tcPr>
          <w:p>
            <w:r>
              <w:t>&lt;0.01s</w:t>
            </w:r>
          </w:p>
        </w:tc>
        <w:tc>
          <w:tcPr>
            <w:tcW w:type="dxa" w:w="2340"/>
          </w:tcPr>
          <w:p>
            <w:r>
              <w:t>Time abstraction with FixedClock</w:t>
            </w:r>
          </w:p>
        </w:tc>
      </w:tr>
      <w:tr>
        <w:tc>
          <w:tcPr>
            <w:tcW w:type="dxa" w:w="2340"/>
          </w:tcPr>
          <w:p>
            <w:r>
              <w:t>Service Layer</w:t>
            </w:r>
          </w:p>
        </w:tc>
        <w:tc>
          <w:tcPr>
            <w:tcW w:type="dxa" w:w="2340"/>
          </w:tcPr>
          <w:p>
            <w:r>
              <w:t>19</w:t>
            </w:r>
          </w:p>
        </w:tc>
        <w:tc>
          <w:tcPr>
            <w:tcW w:type="dxa" w:w="2340"/>
          </w:tcPr>
          <w:p>
            <w:r>
              <w:t>~0.06s</w:t>
            </w:r>
          </w:p>
        </w:tc>
        <w:tc>
          <w:tcPr>
            <w:tcW w:type="dxa" w:w="2340"/>
          </w:tcPr>
          <w:p>
            <w:r>
              <w:t>PricingService orchestration</w:t>
            </w:r>
          </w:p>
        </w:tc>
      </w:tr>
      <w:tr>
        <w:tc>
          <w:tcPr>
            <w:tcW w:type="dxa" w:w="2340"/>
          </w:tcPr>
          <w:p>
            <w:r>
              <w:t>Integration: API</w:t>
            </w:r>
          </w:p>
        </w:tc>
        <w:tc>
          <w:tcPr>
            <w:tcW w:type="dxa" w:w="2340"/>
          </w:tcPr>
          <w:p>
            <w:r>
              <w:t>14</w:t>
            </w:r>
          </w:p>
        </w:tc>
        <w:tc>
          <w:tcPr>
            <w:tcW w:type="dxa" w:w="2340"/>
          </w:tcPr>
          <w:p>
            <w:r>
              <w:t>~0.05s</w:t>
            </w:r>
          </w:p>
        </w:tc>
        <w:tc>
          <w:tcPr>
            <w:tcW w:type="dxa" w:w="2340"/>
          </w:tcPr>
          <w:p>
            <w:r>
              <w:t>HTTP boundary and complete flow</w:t>
            </w:r>
          </w:p>
        </w:tc>
      </w:tr>
    </w:tbl>
    <w:p>
      <w:r>
        <w:rPr>
          <w:b/>
        </w:rPr>
        <w:t xml:space="preserve">Total Execution: </w:t>
      </w:r>
      <w:r>
        <w:t>90 tests complete in 0.21 seconds. Coverage: 99% overall line coverage (v0: 85/85 lines, v1: 242/252 lines), 92% branch coverage. Execution speed enables fast feedback during development; test isolation allows independent rule verification.</w:t>
      </w:r>
    </w:p>
    <w:p/>
    <w:p>
      <w:pPr>
        <w:pStyle w:val="Heading2"/>
      </w:pPr>
      <w:r>
        <w:t>Appendix B: Code Metrics—v0 vs v1 Comparison</w:t>
      </w:r>
    </w:p>
    <w:p>
      <w:r>
        <w:t>The refactoring trades code volume for structural clarity. This appendix quantifies the trade-off: v1 is longer but decomposed into focused, independently testable components. Metrics demonstrate that length increase corresponds to improved separation of concerns, not code duplication.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Metric</w:t>
            </w:r>
          </w:p>
        </w:tc>
        <w:tc>
          <w:tcPr>
            <w:tcW w:type="dxa" w:w="2340"/>
          </w:tcPr>
          <w:p>
            <w:r>
              <w:t>v0</w:t>
            </w:r>
          </w:p>
        </w:tc>
        <w:tc>
          <w:tcPr>
            <w:tcW w:type="dxa" w:w="2340"/>
          </w:tcPr>
          <w:p>
            <w:r>
              <w:t>v1</w:t>
            </w:r>
          </w:p>
        </w:tc>
        <w:tc>
          <w:tcPr>
            <w:tcW w:type="dxa" w:w="2340"/>
          </w:tcPr>
          <w:p>
            <w:r>
              <w:t>Implication</w:t>
            </w:r>
          </w:p>
        </w:tc>
      </w:tr>
      <w:tr>
        <w:tc>
          <w:tcPr>
            <w:tcW w:type="dxa" w:w="2340"/>
          </w:tcPr>
          <w:p>
            <w:r>
              <w:t>Total lines</w:t>
            </w:r>
          </w:p>
        </w:tc>
        <w:tc>
          <w:tcPr>
            <w:tcW w:type="dxa" w:w="2340"/>
          </w:tcPr>
          <w:p>
            <w:r>
              <w:t>90</w:t>
            </w:r>
          </w:p>
        </w:tc>
        <w:tc>
          <w:tcPr>
            <w:tcW w:type="dxa" w:w="2340"/>
          </w:tcPr>
          <w:p>
            <w:r>
              <w:t>252</w:t>
            </w:r>
          </w:p>
        </w:tc>
        <w:tc>
          <w:tcPr>
            <w:tcW w:type="dxa" w:w="2340"/>
          </w:tcPr>
          <w:p>
            <w:r>
              <w:t>Decomposition increases code volume but improves modularity</w:t>
            </w:r>
          </w:p>
        </w:tc>
      </w:tr>
      <w:tr>
        <w:tc>
          <w:tcPr>
            <w:tcW w:type="dxa" w:w="2340"/>
          </w:tcPr>
          <w:p>
            <w:r>
              <w:t>HTTP handler</w:t>
            </w:r>
          </w:p>
        </w:tc>
        <w:tc>
          <w:tcPr>
            <w:tcW w:type="dxa" w:w="2340"/>
          </w:tcPr>
          <w:p>
            <w:r>
              <w:t>90</w:t>
            </w:r>
          </w:p>
        </w:tc>
        <w:tc>
          <w:tcPr>
            <w:tcW w:type="dxa" w:w="2340"/>
          </w:tcPr>
          <w:p>
            <w:r>
              <w:t>14</w:t>
            </w:r>
          </w:p>
        </w:tc>
        <w:tc>
          <w:tcPr>
            <w:tcW w:type="dxa" w:w="2340"/>
          </w:tcPr>
          <w:p>
            <w:r>
              <w:t>API boundary responsibility significantly reduced</w:t>
            </w:r>
          </w:p>
        </w:tc>
      </w:tr>
      <w:tr>
        <w:tc>
          <w:tcPr>
            <w:tcW w:type="dxa" w:w="2340"/>
          </w:tcPr>
          <w:p>
            <w:r>
              <w:t>Business logic</w:t>
            </w:r>
          </w:p>
        </w:tc>
        <w:tc>
          <w:tcPr>
            <w:tcW w:type="dxa" w:w="2340"/>
          </w:tcPr>
          <w:p>
            <w:r>
              <w:t>Embedded</w:t>
            </w:r>
          </w:p>
        </w:tc>
        <w:tc>
          <w:tcPr>
            <w:tcW w:type="dxa" w:w="2340"/>
          </w:tcPr>
          <w:p>
            <w:r>
              <w:t>59</w:t>
            </w:r>
          </w:p>
        </w:tc>
        <w:tc>
          <w:tcPr>
            <w:tcW w:type="dxa" w:w="2340"/>
          </w:tcPr>
          <w:p>
            <w:r>
              <w:t>Pricing rules extracted and independently testable</w:t>
            </w:r>
          </w:p>
        </w:tc>
      </w:tr>
      <w:tr>
        <w:tc>
          <w:tcPr>
            <w:tcW w:type="dxa" w:w="2340"/>
          </w:tcPr>
          <w:p>
            <w:r>
              <w:t>Persistence layer</w:t>
            </w:r>
          </w:p>
        </w:tc>
        <w:tc>
          <w:tcPr>
            <w:tcW w:type="dxa" w:w="2340"/>
          </w:tcPr>
          <w:p>
            <w:r>
              <w:t>Direct I/O</w:t>
            </w:r>
          </w:p>
        </w:tc>
        <w:tc>
          <w:tcPr>
            <w:tcW w:type="dxa" w:w="2340"/>
          </w:tcPr>
          <w:p>
            <w:r>
              <w:t>74 (interfaces)</w:t>
            </w:r>
          </w:p>
        </w:tc>
        <w:tc>
          <w:tcPr>
            <w:tcW w:type="dxa" w:w="2340"/>
          </w:tcPr>
          <w:p>
            <w:r>
              <w:t>Abstract repository pattern enables test doubles</w:t>
            </w:r>
          </w:p>
        </w:tc>
      </w:tr>
      <w:tr>
        <w:tc>
          <w:tcPr>
            <w:tcW w:type="dxa" w:w="2340"/>
          </w:tcPr>
          <w:p>
            <w:r>
              <w:t>Strategy components</w:t>
            </w:r>
          </w:p>
        </w:tc>
        <w:tc>
          <w:tcPr>
            <w:tcW w:type="dxa" w:w="2340"/>
          </w:tcPr>
          <w:p>
            <w:r>
              <w:t>1 monolith</w:t>
            </w:r>
          </w:p>
        </w:tc>
        <w:tc>
          <w:tcPr>
            <w:tcW w:type="dxa" w:w="2340"/>
          </w:tcPr>
          <w:p>
            <w:r>
              <w:t>30</w:t>
            </w:r>
          </w:p>
        </w:tc>
        <w:tc>
          <w:tcPr>
            <w:tcW w:type="dxa" w:w="2340"/>
          </w:tcPr>
          <w:p>
            <w:r>
              <w:t>Plan, discount, tax extracted as explicit strategies</w:t>
            </w:r>
          </w:p>
        </w:tc>
      </w:tr>
      <w:tr>
        <w:tc>
          <w:tcPr>
            <w:tcW w:type="dxa" w:w="2340"/>
          </w:tcPr>
          <w:p>
            <w:r>
              <w:t>Time handling</w:t>
            </w:r>
          </w:p>
        </w:tc>
        <w:tc>
          <w:tcPr>
            <w:tcW w:type="dxa" w:w="2340"/>
          </w:tcPr>
          <w:p>
            <w:r>
              <w:t>datetime.now()</w:t>
            </w:r>
          </w:p>
        </w:tc>
        <w:tc>
          <w:tcPr>
            <w:tcW w:type="dxa" w:w="2340"/>
          </w:tcPr>
          <w:p>
            <w:r>
              <w:t>28 (Clock abstraction)</w:t>
            </w:r>
          </w:p>
        </w:tc>
        <w:tc>
          <w:tcPr>
            <w:tcW w:type="dxa" w:w="2340"/>
          </w:tcPr>
          <w:p>
            <w:r>
              <w:t>Deterministic testing enabled through injection</w:t>
            </w:r>
          </w:p>
        </w:tc>
      </w:tr>
      <w:tr>
        <w:tc>
          <w:tcPr>
            <w:tcW w:type="dxa" w:w="2340"/>
          </w:tcPr>
          <w:p>
            <w:r>
              <w:t>Testable units</w:t>
            </w:r>
          </w:p>
        </w:tc>
        <w:tc>
          <w:tcPr>
            <w:tcW w:type="dxa" w:w="2340"/>
          </w:tcPr>
          <w:p>
            <w:r>
              <w:t>1 (HTTP)</w:t>
            </w:r>
          </w:p>
        </w:tc>
        <w:tc>
          <w:tcPr>
            <w:tcW w:type="dxa" w:w="2340"/>
          </w:tcPr>
          <w:p>
            <w:r>
              <w:t>6 (components)</w:t>
            </w:r>
          </w:p>
        </w:tc>
        <w:tc>
          <w:tcPr>
            <w:tcW w:type="dxa" w:w="2340"/>
          </w:tcPr>
          <w:p>
            <w:r>
              <w:t>Architecture increases natural units of testing</w:t>
            </w:r>
          </w:p>
        </w:tc>
      </w:tr>
    </w:tbl>
    <w:p>
      <w:r>
        <w:rPr>
          <w:b/>
        </w:rPr>
        <w:t xml:space="preserve">Interpretation: </w:t>
      </w:r>
      <w:r>
        <w:t>v1's increased length reflects explicit separation of concerns: HTTP handling, business rules, persistence abstraction, and time handling are distinct components. The key metric is not volume but testability: v0 has one testable unit (the HTTP endpoint), whereas v1 has six (service, three pricing rules, two repositories, clock). This enables unit-level verification without HTTP framework overhead, reducing defect detection latency.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