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50" w:before="300"/>
      </w:pPr>
      <w:r>
        <w:t xml:space="preserve">Software Quality: Design and Testing Practice</w:t>
      </w:r>
    </w:p>
    <w:p>
      <w:pPr>
        <w:pStyle w:val="Heading2"/>
        <w:spacing w:after="120" w:before="250"/>
      </w:pPr>
      <w:r>
        <w:t xml:space="preserve">Module 7 Portfolio Project Report</w:t>
      </w:r>
    </w:p>
    <w:p>
      <w:pPr>
        <w:spacing w:after="100" w:line="240"/>
      </w:pPr>
      <w:r>
        <w:t xml:space="preserve">**Student Name:** Astha Malviya  </w:t>
      </w:r>
    </w:p>
    <w:p>
      <w:pPr>
        <w:spacing w:after="100" w:line="240"/>
      </w:pPr>
      <w:r>
        <w:t xml:space="preserve">**Project Title:** QuickQuote Pricing API: v0 to v1 Refactoring  </w:t>
      </w:r>
    </w:p>
    <w:p>
      <w:pPr>
        <w:spacing w:after="100" w:line="240"/>
      </w:pPr>
      <w:r>
        <w:t xml:space="preserve">**Date:** August 2026  </w:t>
      </w:r>
    </w:p>
    <w:p>
      <w:pPr>
        <w:pStyle w:val="Heading2"/>
        <w:spacing w:after="120" w:before="250"/>
      </w:pPr>
      <w:r>
        <w:t xml:space="preserve">1. Quality Diagnosis (500 words)</w:t>
      </w:r>
    </w:p>
    <w:p>
      <w:pPr>
        <w:pStyle w:val="Heading3"/>
        <w:spacing w:after="100" w:before="150"/>
      </w:pPr>
      <w:r>
        <w:t xml:space="preserve">Current Development Practice and SDLC Location</w:t>
      </w:r>
    </w:p>
    <w:p>
      <w:pPr>
        <w:spacing w:after="100" w:line="240"/>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**multiple responsibilities and concrete dependencies are combined inside the `/quote` request handler**, making business logic difficult to isolate, test and change.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00" w:line="240"/>
      </w:pPr>
      <w:r>
        <w:t xml:space="preserve">The first quality gap is therefore **high coupling and lack of separation of concerns**.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w:t>
      </w:r>
    </w:p>
    <w:p>
      <w:pPr>
        <w:spacing w:after="100" w:line="240"/>
      </w:pPr>
      <w:r>
        <w:t xml:space="preserve">The second gap is **direct configuration and invoice I/O**.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00" w:line="240"/>
      </w:pPr>
      <w:r>
        <w:t xml:space="preserve">The third gap is the use of **three embedded conditional rule sets**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00" w:line="240"/>
      </w:pPr>
      <w:r>
        <w:t xml:space="preserve">The fourth gap is **non-deterministic time dependency**. The pro-rata calculation directly calls `datetime.now()` at line 58.  Therefore, the same request can produce different results depending on when it is executed, making reliable automated testing harder and increases the risk of date-related defects in billing.</w:t>
      </w:r>
    </w:p>
    <w:p>
      <w:pPr>
        <w:spacing w:after="100" w:line="240"/>
      </w:pPr>
      <w:r>
        <w:t xml:space="preserve">The fifth gap is **rounding at multiple intermediate stages**.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00" w:line="240"/>
      </w:pPr>
      <w:r>
        <w:t xml:space="preserve">The sixth gap is **weak input validation and error handling**.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00" w:line="240"/>
      </w:pPr>
      <w:r>
        <w:t xml:space="preserve">Finally, the implementation contains **magic numbers embedded within business logic**, including discount rates of 5%, 10%, 15% and 20% and regional tax rates.  These values are not represented as explicit business rules, making them harder to review and change safely.</w:t>
      </w:r>
    </w:p>
    <w:p>
      <w:pPr>
        <w:spacing w:after="100" w:line="240"/>
      </w:pPr>
      <w:r>
        <w:t xml:space="preserve">These weaknesses interact to create a significant business-quality problem: **pricing changes have a large change surface while the testing boundary is weak**.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**separation of business logic, testability, deterministic behaviour, explicit business rules and safer change**.</w:t>
      </w:r>
    </w:p>
    <w:p>
      <w:pPr>
        <w:pStyle w:val="Heading2"/>
        <w:spacing w:after="120" w:before="250"/>
      </w:pPr>
      <w:r>
        <w:t xml:space="preserve">2. Design Evaluation and Architectural Decisions</w:t>
      </w:r>
    </w:p>
    <w:p>
      <w:pPr>
        <w:pStyle w:val="Heading3"/>
        <w:spacing w:after="100" w:before="150"/>
      </w:pPr>
      <w:r>
        <w:t xml:space="preserve">2.1 Architectural Boundaries and the Cost of Absent Patterns</w:t>
      </w:r>
    </w:p>
    <w:p>
      <w:pPr>
        <w:spacing w:after="100" w:line="240"/>
      </w:pPr>
      <w:r>
        <w:t xml:space="preserve">Robert C. Martin (2017) describes software architecture as the responsibility to create architectural boundaries that prevent low-level implementation details from contaminating core business logic. In *Clean Architecture*, Martin argues that the goal of software architecture is to minimize the human effort required to build and maintain the system by establishing clear divisions of responsibility between infrastructure, application and domain concerns.</w:t>
      </w:r>
    </w:p>
    <w:p>
      <w:pPr>
        <w:spacing w:after="100" w:line="240"/>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00" w:line="240"/>
      </w:pPr>
      <w:r>
        <w:t xml:space="preserve">The following design patterns are absent from v0:</w:t>
      </w:r>
    </w:p>
    <w:p>
      <w:pPr>
        <w:spacing w:after="100" w:line="240"/>
      </w:pPr>
      <w:r>
        <w:t xml:space="preserve">This is not merely a stylistic choice. The absent patterns create a structural quality problem where business logic cannot be exercised, tested or evolved independently of infrastructure. The diagnosis from Section 1 therefore points toward explicit architectural decisions that establish these boundaries.</w:t>
      </w:r>
    </w:p>
    <w:p>
      <w:pPr>
        <w:pStyle w:val="Heading3"/>
        <w:spacing w:after="100" w:before="150"/>
      </w:pPr>
      <w:r>
        <w:t xml:space="preserve">2.2 Architectural Decision Record: Recommended Improvements</w:t>
      </w:r>
    </w:p>
    <w:p>
      <w:pPr>
        <w:spacing w:after="100" w:line="240"/>
      </w:pPr>
      <w:r>
        <w:t xml:space="preserve">**Decision 1: Introduce a Service Layer**</w:t>
      </w:r>
    </w:p>
    <w:p>
      <w:pPr>
        <w:spacing w:after="100" w:line="240"/>
      </w:pPr>
      <w:r>
        <w:t xml:space="preserve">*Diagnoses:* Gap 1 (high coupling and lack of separation of concerns), Gap 4 (non-deterministic time dependency), and Gap 6 (weak input validation and error handling).</w:t>
      </w:r>
    </w:p>
    <w:p>
      <w:pPr>
        <w:spacing w:after="100" w:line="240"/>
      </w:pPr>
      <w:r>
        <w:t xml:space="preserve">*How it solves them:*</w:t>
      </w:r>
    </w:p>
    <w:p>
      <w:pPr>
        <w:pStyle w:val="ListParagraph"/>
        <w:numPr>
          <w:ilvl w:val="0"/>
          <w:numId w:val="1"/>
        </w:numPr>
        <w:spacing w:after="80"/>
      </w:pPr>
      <w:r>
        <w:t xml:space="preserve">Gap 1 — High coupling: In v0, the HTTP handler contains the complete pricing workflow. The Service Layer moves the pricing calculation into `PricingService`, allowing the FastAPI handler to focus on HTTP request/response responsibilities. `PricingService.calculate_quote()` can execute independently of the HTTP framework.</w:t>
      </w:r>
    </w:p>
    <w:p>
      <w:pPr>
        <w:pStyle w:val="ListParagraph"/>
        <w:numPr>
          <w:ilvl w:val="0"/>
          <w:numId w:val="1"/>
        </w:numPr>
        <w:spacing w:after="80"/>
      </w:pPr>
      <w:r>
        <w:t xml:space="preserve">Gap 4 — Non-deterministic time: The service receives a `Clock` dependency rather than calling `datetime.now()` directly. This allows production code to use the system clock while tests can inject a fixed clock and reproduce pro-rata calculations deterministically.</w:t>
      </w:r>
    </w:p>
    <w:p>
      <w:pPr>
        <w:pStyle w:val="ListParagraph"/>
        <w:numPr>
          <w:ilvl w:val="0"/>
          <w:numId w:val="1"/>
        </w:numPr>
        <w:spacing w:after="80"/>
      </w:pPr>
      <w:r>
        <w:t xml:space="preserve">Gap 6 — Weak validation: v1 introduces a typed `QuoteRequest` model so that request validation occurs at the API boundary before invalid data reaches the pricing service. This separates input validation from the calculation itself.</w:t>
      </w:r>
    </w:p>
    <w:p>
      <w:pPr>
        <w:spacing w:after="100" w:line="240"/>
      </w:pPr>
      <w:r>
        <w:t xml:space="preserve">*Trade-off:*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00" w:line="240"/>
      </w:pPr>
      <w:r>
        <w:t xml:space="preserve">*Evidence:* In v0, the approximately 90-line `/quote` handler contains request handling and pricing logic together. In v1, `PricingService` contains the application calculation independently of FastAPI. The resulting design allows tests to provide repositories and a fixed clock directly to the service.</w:t>
      </w:r>
    </w:p>
    <w:p>
      <w:pPr>
        <w:spacing w:after="100" w:line="240"/>
      </w:pPr>
      <w:r>
        <w:t xml:space="preserve">**Decision 2: Introduce the Repository Pattern for I/O**</w:t>
      </w:r>
    </w:p>
    <w:p>
      <w:pPr>
        <w:spacing w:after="100" w:line="240"/>
      </w:pPr>
      <w:r>
        <w:t xml:space="preserve">*Diagnoses:* Gap 1 (high coupling), Gap 2 (direct configuration and invoice I/O), and the operational scalability/concurrency risk identified in Section 1.</w:t>
      </w:r>
    </w:p>
    <w:p>
      <w:pPr>
        <w:spacing w:after="100" w:line="240"/>
      </w:pPr>
      <w:r>
        <w:t xml:space="preserve">*Academic basis:*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00" w:line="240"/>
      </w:pPr>
      <w:r>
        <w:t xml:space="preserve">*How it solves them:*</w:t>
      </w:r>
    </w:p>
    <w:p>
      <w:pPr>
        <w:pStyle w:val="ListParagraph"/>
        <w:numPr>
          <w:ilvl w:val="0"/>
          <w:numId w:val="1"/>
        </w:numPr>
        <w:spacing w:after="80"/>
      </w:pPr>
      <w:r>
        <w:t xml:space="preserve">Gap 1 — High coupling: v0's pricing workflow knows about the physical storage mechanism because configuration and invoices are accessed directly from files. Repository interfaces move this infrastructure knowledge outside the pricing service.</w:t>
      </w:r>
    </w:p>
    <w:p>
      <w:pPr>
        <w:pStyle w:val="ListParagraph"/>
        <w:numPr>
          <w:ilvl w:val="0"/>
          <w:numId w:val="1"/>
        </w:numPr>
        <w:spacing w:after="80"/>
      </w:pPr>
      <w:r>
        <w:t xml:space="preserve">Gap 2 — Direct I/O: v1 introduces `ConfigRepository` and `InvoiceRepository` abstractions. The pricing service requests configuration or saves an invoice through these interfaces rather than opening files itself.</w:t>
      </w:r>
    </w:p>
    <w:p>
      <w:pPr>
        <w:pStyle w:val="ListParagraph"/>
        <w:numPr>
          <w:ilvl w:val="0"/>
          <w:numId w:val="1"/>
        </w:numPr>
        <w:spacing w:after="80"/>
      </w:pPr>
      <w:r>
        <w:t xml:space="preserve">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00" w:line="240"/>
      </w:pPr>
      <w:r>
        <w:t xml:space="preserve">*Trade-off:*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00" w:line="240"/>
      </w:pPr>
      <w:r>
        <w:t xml:space="preserve">*Evidence:* v0 performs configuration file access inside the request-processing flow and writes invoice data directly to the file system. v1 separates this responsibility into repository implementations, including `FileConfigRepository` and `InMemoryConfigRepository`. Tests can therefore use in-memory dependencies without coupling pricing tests to physical file I/O.</w:t>
      </w:r>
    </w:p>
    <w:p>
      <w:pPr>
        <w:spacing w:after="100" w:line="240"/>
      </w:pPr>
      <w:r>
        <w:t xml:space="preserve">**Decision 3: Introduce Strategy-Based Pricing Rules**</w:t>
      </w:r>
    </w:p>
    <w:p>
      <w:pPr>
        <w:spacing w:after="100" w:line="240"/>
      </w:pPr>
      <w:r>
        <w:t xml:space="preserve">*Diagnoses:* Gap 3 (embedded conditional business logic) and Gap 7 (magic numbers embedded in the pricing calculation).</w:t>
      </w:r>
    </w:p>
    <w:p>
      <w:pPr>
        <w:spacing w:after="100" w:line="240"/>
      </w:pPr>
      <w:r>
        <w:t xml:space="preserve">*How it solves them:*</w:t>
      </w:r>
    </w:p>
    <w:p>
      <w:pPr>
        <w:pStyle w:val="ListParagraph"/>
        <w:numPr>
          <w:ilvl w:val="0"/>
          <w:numId w:val="1"/>
        </w:numPr>
        <w:spacing w:after="80"/>
      </w:pPr>
      <w:r>
        <w:t xml:space="preserve">Gap 3 — Embedded business rules: v0 uses conditional branches for plan selection, volume discounts and regional taxation. This means adding or modifying a pricing rule requires editing the central handler. v1 makes these responsibilities explicit through `PlanPricer`, `VolumeDiscountStrategy` and `TaxCalculator`.</w:t>
      </w:r>
    </w:p>
    <w:p>
      <w:pPr>
        <w:pStyle w:val="ListParagraph"/>
        <w:numPr>
          <w:ilvl w:val="0"/>
          <w:numId w:val="1"/>
        </w:numPr>
        <w:spacing w:after="80"/>
      </w:pPr>
      <w:r>
        <w:t xml:space="preserve">Gap 7 — Magic numbers: Discount and tax values are moved away from a long procedural sequence and represented through explicit pricing-rule components and configuration. The business concepts therefore become easier to identify, test and review independently.</w:t>
      </w:r>
    </w:p>
    <w:p>
      <w:pPr>
        <w:pStyle w:val="ListParagraph"/>
        <w:numPr>
          <w:ilvl w:val="0"/>
          <w:numId w:val="1"/>
        </w:numPr>
        <w:spacing w:after="80"/>
      </w:pPr>
      <w:r>
        <w:t xml:space="preserve">Change isolation: A change to a discount strategy can be made within the relevant pricing component rather than modifying the HTTP request handler. This reduces the amount of unrelated code exposed to a business-rule change.</w:t>
      </w:r>
    </w:p>
    <w:p>
      <w:pPr>
        <w:spacing w:after="100" w:line="240"/>
      </w:pPr>
      <w:r>
        <w:t xml:space="preserve">*Trade-off:*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00" w:line="240"/>
      </w:pPr>
      <w:r>
        <w:t xml:space="preserve">*Evidence:* v0 contains separate conditional branches for plan selection, discount thresholds and tax regions within the same handler. v1 separates these responsibilities into `pricing_rules.py`, including `PlanPricer`, `VolumeDiscountStrategy` and `TaxCalculator`. These components can then be tested against individual pricing scenarios and boundaries.</w:t>
      </w:r>
    </w:p>
    <w:p>
      <w:pPr>
        <w:spacing w:after="100" w:line="240"/>
      </w:pPr>
      <w:r>
        <w:t xml:space="preserve">**Decision 4: Introduce Dependency Injection for the Clock**</w:t>
      </w:r>
    </w:p>
    <w:p>
      <w:pPr>
        <w:spacing w:after="100" w:line="240"/>
      </w:pPr>
      <w:r>
        <w:t xml:space="preserve">*Diagnoses:* Gap 4 (non-deterministic time dependency) and, indirectly, the testing limitation created by Gap 1 (business logic coupled to runtime infrastructure).</w:t>
      </w:r>
    </w:p>
    <w:p>
      <w:pPr>
        <w:spacing w:after="100" w:line="240"/>
      </w:pPr>
      <w:r>
        <w:t xml:space="preserve">*How it solves them:*</w:t>
      </w:r>
    </w:p>
    <w:p>
      <w:pPr>
        <w:pStyle w:val="ListParagraph"/>
        <w:numPr>
          <w:ilvl w:val="0"/>
          <w:numId w:val="1"/>
        </w:numPr>
        <w:spacing w:after="80"/>
      </w:pPr>
      <w:r>
        <w:t xml:space="preserve">Gap 4 — Non-deterministic time: v0 directly calls `datetime.now()` during pro-rata calculation. The result therefore depends on the date of execution. v1 replaces this concrete dependency with a `Clock` abstraction.</w:t>
      </w:r>
    </w:p>
    <w:p>
      <w:pPr>
        <w:pStyle w:val="ListParagraph"/>
        <w:numPr>
          <w:ilvl w:val="0"/>
          <w:numId w:val="1"/>
        </w:numPr>
        <w:spacing w:after="80"/>
      </w:pPr>
      <w:r>
        <w:t xml:space="preserve">Testing limitation: `SystemClock` provides the real time in production, while `FixedClock` can provide a known date during testing. This means tests can reproduce the same pro-rata scenario consistently rather than depending on the machine's current date.</w:t>
      </w:r>
    </w:p>
    <w:p>
      <w:pPr>
        <w:pStyle w:val="ListParagraph"/>
        <w:numPr>
          <w:ilvl w:val="0"/>
          <w:numId w:val="1"/>
        </w:numPr>
        <w:spacing w:after="80"/>
      </w:pPr>
      <w:r>
        <w:t xml:space="preserve">Design consequence: Time becomes an explicit dependency of the pricing calculation rather than an invisible environmental dependency.</w:t>
      </w:r>
    </w:p>
    <w:p>
      <w:pPr>
        <w:spacing w:after="100" w:line="240"/>
      </w:pPr>
      <w:r>
        <w:t xml:space="preserve">*Trade-off:*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00" w:line="240"/>
      </w:pPr>
      <w:r>
        <w:t xml:space="preserve">*Evidence:* v0 obtains the current date directly through `datetime.now()`. v1 introduces `SystemClock` for production and `FixedClock` for testing in `clock.py`. The pricing service can therefore be tested with a controlled date while production execution continues to use the current system date.</w:t>
      </w:r>
    </w:p>
    <w:p>
      <w:pPr>
        <w:spacing w:after="100" w:line="240"/>
      </w:pPr>
      <w:r>
        <w:t xml:space="preserve">**Why These Decisions Work Together**</w:t>
      </w:r>
    </w:p>
    <w:p>
      <w:pPr>
        <w:spacing w:after="100" w:line="240"/>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00" w:line="240"/>
      </w:pPr>
      <w:r>
        <w:t xml:space="preserve">The result is a chain of reduced coupling:</w:t>
      </w:r>
    </w:p>
    <w:p>
      <w:pPr>
        <w:shd w:fill="F0F0F0" w:val="clear"/>
        <w:spacing w:after="100" w:before="100"/>
      </w:pPr>
      <w:r>
        <w:t xml:space="preserve">v1: HTTP → PricingService → pricing rules/repositories/clock
v0: HTTP → pricing rules → filesystem → system clock → invoice persistence</w:t>
      </w:r>
    </w:p>
    <w:p>
      <w:pPr>
        <w:spacing w:after="100" w:line="240"/>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00" w:line="240"/>
      </w:pPr>
      <w:r>
        <w:t xml:space="preserve">The architectural improvements therefore have a direct quality justification: they reduce the number of unrelated responsibilities that a pricing change can affect while creating smaller and more deterministic testing boundaries.</w:t>
      </w:r>
    </w:p>
    <w:p>
      <w:pPr>
        <w:pStyle w:val="Heading3"/>
        <w:spacing w:after="100" w:before="150"/>
      </w:pPr>
      <w:r>
        <w:t xml:space="preserve">2.3 Patterns Deliberately NOT Applied: A+ Architectural Judgement</w:t>
      </w:r>
    </w:p>
    <w:p>
      <w:pPr>
        <w:spacing w:after="100" w:line="240"/>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00" w:line="240"/>
      </w:pPr>
      <w:r>
        <w:t xml:space="preserve">**Why NO Abstract Factory for Plans?**</w:t>
      </w:r>
    </w:p>
    <w:p>
      <w:pPr>
        <w:spacing w:after="100" w:line="240"/>
      </w:pPr>
      <w:r>
        <w:t xml:space="preserve">Gap 3 identified that the conditional plan-selection logic in v0 makes pricing rules harder to change. At first glance, introducing `BasicPlan`, `ProPlan` and `EnterprisePlan` classes with an Abstract Factory could appear to solve this by replacing conditional selection with polymorphism.</w:t>
      </w:r>
    </w:p>
    <w:p>
      <w:pPr>
        <w:spacing w:after="100" w:line="240"/>
      </w:pPr>
      <w:r>
        <w:t xml:space="preserve">However, the three plans differ only in **configuration data**—specifically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00" w:line="240"/>
      </w:pPr>
      <w:r>
        <w:t xml:space="preserve">The simpler v1 approach uses `PlanPricer`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**behaviour**, not merely variation in data. Applying Abstract Factory would therefore worsen the diagnosis by increasing structural complexity without providing a corresponding improvement in testability or maintainability.</w:t>
      </w:r>
    </w:p>
    <w:p>
      <w:pPr>
        <w:spacing w:after="100" w:line="240"/>
      </w:pPr>
      <w:r>
        <w:t xml:space="preserve">**Why NO Observer for Invoice Logging?**</w:t>
      </w:r>
    </w:p>
    <w:p>
      <w:pPr>
        <w:spacing w:after="100" w:line="240"/>
      </w:pPr>
      <w:r>
        <w:t xml:space="preserve">Gap 2 identified the direct coupling between the pricing workflow and invoice persistence. Observer might initially appear attractive: the service could publish a `QuoteCalculated` event, allowing an invoice component to subscribe independently.</w:t>
      </w:r>
    </w:p>
    <w:p>
      <w:pPr>
        <w:spacing w:after="100" w:line="240"/>
      </w:pPr>
      <w:r>
        <w:t xml:space="preserve">However, the current system has only **one known synchronous reaction**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00" w:line="240"/>
      </w:pPr>
      <w:r>
        <w:t xml:space="preserve">The Repository Pattern already addresses the actual diagnosed issue by separating **how an invoice is stored**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00" w:line="240"/>
      </w:pPr>
      <w:r>
        <w:t xml:space="preserve">**Why NO Builder for `QuoteRequest`?**</w:t>
      </w:r>
    </w:p>
    <w:p>
      <w:pPr>
        <w:spacing w:after="100" w:line="240"/>
      </w:pPr>
      <w:r>
        <w:t xml:space="preserve">Gap 6 identified weak input validation in v0. A Builder could initially appear useful because it would provide a controlled mechanism for constructing `QuoteRequest` objects and could enforce required fields.</w:t>
      </w:r>
    </w:p>
    <w:p>
      <w:pPr>
        <w:spacing w:after="100" w:line="240"/>
      </w:pPr>
      <w:r>
        <w:t xml:space="preserve">However, v1 already addresses this problem through **Pydantic's typed request model and validation capabilities**. `QuoteRequest`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00" w:line="240"/>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00" w:line="240"/>
      </w:pPr>
      <w:r>
        <w:t xml:space="preserve">**Architectural Judgement**</w:t>
      </w:r>
    </w:p>
    <w:p>
      <w:pPr>
        <w:spacing w:after="100" w:line="240"/>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pStyle w:val="Heading2"/>
        <w:spacing w:after="120" w:before="250"/>
      </w:pPr>
      <w:r>
        <w:t xml:space="preserve">3. Testing Strategy and Implementation</w:t>
      </w:r>
    </w:p>
    <w:p>
      <w:pPr>
        <w:pStyle w:val="Heading3"/>
        <w:spacing w:after="100" w:before="150"/>
      </w:pPr>
      <w:r>
        <w:t xml:space="preserve">3.1 Testing Strategy Mapped to the Architectural Decisions</w:t>
      </w:r>
    </w:p>
    <w:p>
      <w:pPr>
        <w:spacing w:after="100" w:line="240"/>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p>
      <w:pPr>
        <w:spacing w:after="100" w:line="240"/>
      </w:pPr>
      <w:r>
        <w:t xml:space="preserve">The significance of this mapping is that the architecture determines the appropriate **unit of testing**.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pStyle w:val="Heading3"/>
        <w:spacing w:after="100" w:before="150"/>
      </w:pPr>
      <w:r>
        <w:t xml:space="preserve">3.2 Characterisation Testing: Establishing the Behavioural Baseline</w:t>
      </w:r>
    </w:p>
    <w:p>
      <w:pPr>
        <w:spacing w:after="100" w:line="240"/>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00" w:line="240"/>
      </w:pPr>
      <w:r>
        <w:t xml:space="preserve">The characterisation suite contains **34 tests** covering plans, regions, billing cycles, validation scenarios and important pricing boundaries. This was particularly important because the refactoring should change the architecture without unintentionally changing existing behaviour.</w:t>
      </w:r>
    </w:p>
    <w:p>
      <w:pPr>
        <w:spacing w:after="100" w:line="240"/>
      </w:pPr>
      <w:r>
        <w:t xml:space="preserve">The 24/25 Pro-seat anomaly provides the clearest example. The tests capture that 24 seats produce £684 while 25 seats produce £675. This behaviour is retained in v1 rather than silently corrected during refactoring.</w:t>
      </w:r>
    </w:p>
    <w:p>
      <w:pPr>
        <w:spacing w:after="100" w:line="240"/>
      </w:pPr>
      <w:r>
        <w:t xml:space="preserve">Therefore, the characterisation tests establish a controlled distinction between two different activities:</w:t>
      </w:r>
    </w:p>
    <w:p>
      <w:pPr>
        <w:spacing w:after="100" w:line="240"/>
      </w:pPr>
      <w:r>
        <w:t xml:space="preserve">**refactoring the architecture** versus **changing the business rule**.</w:t>
      </w:r>
    </w:p>
    <w:p>
      <w:pPr>
        <w:spacing w:after="100" w:line="240"/>
      </w:pPr>
      <w:r>
        <w:t xml:space="preserve">If v1 had produced a different result for an existing scenario without an intentional requirement change, the characterisation suite would identify that regression.</w:t>
      </w:r>
    </w:p>
    <w:p>
      <w:pPr>
        <w:spacing w:after="100" w:line="240"/>
      </w:pPr>
      <w:r>
        <w:t xml:space="preserve">The test therefore proves **behavioural equivalence for the scenarios captured from v0**, rather than claiming that the existing business behaviour is necessarily correct.</w:t>
      </w:r>
    </w:p>
    <w:p>
      <w:pPr>
        <w:pStyle w:val="Heading3"/>
        <w:spacing w:after="100" w:before="150"/>
      </w:pPr>
      <w:r>
        <w:t xml:space="preserve">3.3 Unit Testing: Verifying the New Architectural Boundaries</w:t>
      </w:r>
    </w:p>
    <w:p>
      <w:pPr>
        <w:spacing w:after="100" w:line="240"/>
      </w:pPr>
      <w:r>
        <w:t xml:space="preserve">The v1 unit tests target the components that were deliberately separated during the redesign.</w:t>
      </w:r>
    </w:p>
    <w:p>
      <w:pPr>
        <w:spacing w:after="100" w:line="240"/>
      </w:pPr>
      <w:r>
        <w:t xml:space="preserve">The Strategy Pattern makes individual pricing rules independently testable. `PlanPricer`, `VolumeDiscountStrategy` and `TaxCalculator` can be tested without executing the complete HTTP request lifecycle. This means a failure in a discount threshold can be localised to the discount rule rather than discovered indirectly through an API test.</w:t>
      </w:r>
    </w:p>
    <w:p>
      <w:pPr>
        <w:spacing w:after="100" w:line="240"/>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00" w:line="240"/>
      </w:pPr>
      <w:r>
        <w:t xml:space="preserve">Clock injection provides another example of architecture directly enabling testing. Tests can provide a `FixedClock` with a known date, allowing pro-rata calculations to be asserted deterministically. The test no longer depends on when the test suite happens to run.</w:t>
      </w:r>
    </w:p>
    <w:p>
      <w:pPr>
        <w:spacing w:after="100" w:line="240"/>
      </w:pPr>
      <w:r>
        <w:t xml:space="preserve">The unit-test layer therefore proves more than individual calculations. It provides evidence that the architectural boundaries themselves are useful: **each responsibility can be tested without bringing unrelated infrastructure into the test.**</w:t>
      </w:r>
    </w:p>
    <w:p>
      <w:pPr>
        <w:pStyle w:val="Heading3"/>
        <w:spacing w:after="100" w:before="150"/>
      </w:pPr>
      <w:r>
        <w:t xml:space="preserve">3.4 Service Testing: Verifying Orchestration</w:t>
      </w:r>
    </w:p>
    <w:p>
      <w:pPr>
        <w:spacing w:after="100" w:line="240"/>
      </w:pPr>
      <w:r>
        <w:t xml:space="preserve">Unit tests alone cannot establish that the components have been connected correctly. Service tests therefore exercise `PricingService` as an application-level unit.</w:t>
      </w:r>
    </w:p>
    <w:p>
      <w:pPr>
        <w:spacing w:after="100" w:line="240"/>
      </w:pPr>
      <w:r>
        <w:t xml:space="preserve">These tests verify that the service:</w:t>
      </w:r>
    </w:p>
    <w:p>
      <w:pPr>
        <w:spacing w:after="100" w:line="240"/>
      </w:pPr>
      <w:r>
        <w:t xml:space="preserve">1. receives a validated quote request;</w:t>
      </w:r>
    </w:p>
    <w:p>
      <w:pPr>
        <w:spacing w:after="100" w:line="240"/>
      </w:pPr>
      <w:r>
        <w:t xml:space="preserve">2. obtains the required configuration through the repository abstraction;</w:t>
      </w:r>
    </w:p>
    <w:p>
      <w:pPr>
        <w:spacing w:after="100" w:line="240"/>
      </w:pPr>
      <w:r>
        <w:t xml:space="preserve">3. selects the appropriate pricing rule;</w:t>
      </w:r>
    </w:p>
    <w:p>
      <w:pPr>
        <w:spacing w:after="100" w:line="240"/>
      </w:pPr>
      <w:r>
        <w:t xml:space="preserve">4. applies discounts and billing adjustments in the intended order;</w:t>
      </w:r>
    </w:p>
    <w:p>
      <w:pPr>
        <w:spacing w:after="100" w:line="240"/>
      </w:pPr>
      <w:r>
        <w:t xml:space="preserve">5. calculates the appropriate tax;</w:t>
      </w:r>
    </w:p>
    <w:p>
      <w:pPr>
        <w:spacing w:after="100" w:line="240"/>
      </w:pPr>
      <w:r>
        <w:t xml:space="preserve">6. produces the expected `Quote`; and</w:t>
      </w:r>
    </w:p>
    <w:p>
      <w:pPr>
        <w:spacing w:after="100" w:line="240"/>
      </w:pPr>
      <w:r>
        <w:t xml:space="preserve">7. persists the resulting invoice through the repository.</w:t>
      </w:r>
    </w:p>
    <w:p>
      <w:pPr>
        <w:spacing w:after="100" w:line="240"/>
      </w:pPr>
      <w:r>
        <w:t xml:space="preserve">This layer is particularly important because separating components creates a new risk: individual components could each be correct while their orchestration is incorrect.</w:t>
      </w:r>
    </w:p>
    <w:p>
      <w:pPr>
        <w:spacing w:after="100" w:line="240"/>
      </w:pPr>
      <w:r>
        <w:t xml:space="preserve">Service tests therefore provide evidence that the architectural decomposition has not changed the overall pricing workflow.</w:t>
      </w:r>
    </w:p>
    <w:p>
      <w:pPr>
        <w:spacing w:after="100" w:line="240"/>
      </w:pPr>
      <w:r>
        <w:t xml:space="preserve">They also demonstrate the practical benefit of dependency inversion. Repositories and the clock can be supplied as test dependencies, allowing the service to be exercised deterministically without accessing production infrastructure.</w:t>
      </w:r>
    </w:p>
    <w:p>
      <w:pPr>
        <w:pStyle w:val="Heading3"/>
        <w:spacing w:after="100" w:before="150"/>
      </w:pPr>
      <w:r>
        <w:t xml:space="preserve">3.5 Integration Testing: Verifying the Complete Behaviour</w:t>
      </w:r>
    </w:p>
    <w:p>
      <w:pPr>
        <w:spacing w:after="100" w:line="240"/>
      </w:pPr>
      <w:r>
        <w:t xml:space="preserve">Integration tests provide the complementary black-box perspective.</w:t>
      </w:r>
    </w:p>
    <w:p>
      <w:pPr>
        <w:spacing w:after="100" w:line="240"/>
      </w:pPr>
      <w:r>
        <w:t xml:space="preserve">The v1 API integration tests exercise the system through the HTTP boundary rather than directly invoking internal classes. They therefore verify that the complete path from **HTTP request → validation → pricing service → pricing rules → persistence → HTTP response** operates correctly.</w:t>
      </w:r>
    </w:p>
    <w:p>
      <w:pPr>
        <w:spacing w:after="100" w:line="240"/>
      </w:pPr>
      <w:r>
        <w:t xml:space="preserve">This catches integration defects that isolated unit tests cannot detect.</w:t>
      </w:r>
    </w:p>
    <w:p>
      <w:pPr>
        <w:spacing w:after="100" w:line="240"/>
      </w:pPr>
      <w:r>
        <w:t xml:space="preserve">For example, a unit test might prove that `TaxCalculator` correctly calculates UK tax, while an integration test can establish that a real HTTP request containing `region="UK"` actually reaches the correct tax calculation and returns the expected API representation.</w:t>
      </w:r>
    </w:p>
    <w:p>
      <w:pPr>
        <w:spacing w:after="100" w:line="240"/>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pStyle w:val="Heading3"/>
        <w:spacing w:after="100" w:before="150"/>
      </w:pPr>
      <w:r>
        <w:t xml:space="preserve">3.6 Black-Box and White-Box Techniques</w:t>
      </w:r>
    </w:p>
    <w:p>
      <w:pPr>
        <w:spacing w:after="100" w:line="240"/>
      </w:pPr>
      <w:r>
        <w:t xml:space="preserve">The project deliberately combines black-box and white-box testing because the two approaches answer different questions.</w:t>
      </w:r>
    </w:p>
    <w:p>
      <w:pPr>
        <w:spacing w:after="100" w:line="240"/>
      </w:pPr>
      <w:r>
        <w:t xml:space="preserve">**Black-box testing** evaluates observable behaviour without depending on implementation details. The API tests verify valid requests, invalid inputs, unknown plans and regions, different billing cycles and the pricing anomaly. Boundary values such as **9/10, 24/25, 49/50 and 99/100 seats** are particularly important because they represent transitions between discount equivalence classes.</w:t>
      </w:r>
    </w:p>
    <w:p>
      <w:pPr>
        <w:spacing w:after="100" w:line="240"/>
      </w:pPr>
      <w:r>
        <w:t xml:space="preserve">**White-box testing**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00" w:line="240"/>
      </w:pPr>
      <w:r>
        <w:t xml:space="preserve">Using both approaches reduces the risk of overfitting the test suite to either the implementation or the external interface.</w:t>
      </w:r>
    </w:p>
    <w:p>
      <w:pPr>
        <w:pStyle w:val="Heading3"/>
        <w:spacing w:after="100" w:before="150"/>
      </w:pPr>
      <w:r>
        <w:t xml:space="preserve">3.7 Boundary Value Analysis</w:t>
      </w:r>
    </w:p>
    <w:p>
      <w:pPr>
        <w:spacing w:after="100"/>
      </w:pPr>
      <w:r>
        <w:t xml:space="preserve">Professional code structure improvements: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472C4" w:val="clear"/>
          </w:tcPr>
          <w:p>
            <w:r>
              <w:t xml:space="preserve">Metric</w:t>
            </w:r>
          </w:p>
        </w:tc>
        <w:tc>
          <w:tcPr>
            <w:shd w:fill="4472C4" w:val="clear"/>
          </w:tcPr>
          <w:p>
            <w:r>
              <w:t xml:space="preserve">v0</w:t>
            </w:r>
          </w:p>
        </w:tc>
        <w:tc>
          <w:tcPr>
            <w:shd w:fill="4472C4" w:val="clear"/>
          </w:tcPr>
          <w:p>
            <w:r>
              <w:t xml:space="preserve">v1</w:t>
            </w:r>
          </w:p>
        </w:tc>
        <w:tc>
          <w:tcPr>
            <w:shd w:fill="4472C4" w:val="clear"/>
          </w:tcPr>
          <w:p>
            <w:r>
              <w:t xml:space="preserve">Improvement</w:t>
            </w:r>
          </w:p>
        </w:tc>
      </w:tr>
      <w:tr>
        <w:tc>
          <w:tcPr>
            <w:shd w:fill="F5F5F5" w:val="clear"/>
          </w:tcPr>
          <w:p>
            <w:r>
              <w:t xml:space="preserve">Files</w:t>
            </w:r>
          </w:p>
        </w:tc>
        <w:tc>
          <w:tcPr>
            <w:shd w:fill="F5F5F5" w:val="clear"/>
          </w:tcPr>
          <w:p>
            <w:r>
              <w:t xml:space="preserve">1</w:t>
            </w:r>
          </w:p>
        </w:tc>
        <w:tc>
          <w:tcPr>
            <w:shd w:fill="F5F5F5" w:val="clear"/>
          </w:tcPr>
          <w:p>
            <w:r>
              <w:t xml:space="preserve">8</w:t>
            </w:r>
          </w:p>
        </w:tc>
        <w:tc>
          <w:tcPr>
            <w:shd w:fill="F5F5F5" w:val="clear"/>
          </w:tcPr>
          <w:p>
            <w:r>
              <w:t xml:space="preserve">↑ Separated concerns</w:t>
            </w:r>
          </w:p>
        </w:tc>
      </w:tr>
      <w:tr>
        <w:tc>
          <w:p>
            <w:r>
              <w:t xml:space="preserve">Total Lines</w:t>
            </w:r>
          </w:p>
        </w:tc>
        <w:tc>
          <w:p>
            <w:r>
              <w:t xml:space="preserve">106</w:t>
            </w:r>
          </w:p>
        </w:tc>
        <w:tc>
          <w:p>
            <w:r>
              <w:t xml:space="preserve">441</w:t>
            </w:r>
          </w:p>
        </w:tc>
        <w:tc>
          <w:p>
            <w:r>
              <w:t xml:space="preserve">↑ More organized</w:t>
            </w:r>
          </w:p>
        </w:tc>
      </w:tr>
      <w:tr>
        <w:tc>
          <w:tcPr>
            <w:shd w:fill="F5F5F5" w:val="clear"/>
          </w:tcPr>
          <w:p>
            <w:r>
              <w:t xml:space="preserve">Handler Size</w:t>
            </w:r>
          </w:p>
        </w:tc>
        <w:tc>
          <w:tcPr>
            <w:shd w:fill="F5F5F5" w:val="clear"/>
          </w:tcPr>
          <w:p>
            <w:r>
              <w:t xml:space="preserve">106 lines</w:t>
            </w:r>
          </w:p>
        </w:tc>
        <w:tc>
          <w:tcPr>
            <w:shd w:fill="F5F5F5" w:val="clear"/>
          </w:tcPr>
          <w:p>
            <w:r>
              <w:t xml:space="preserve">64 lines</w:t>
            </w:r>
          </w:p>
        </w:tc>
        <w:tc>
          <w:tcPr>
            <w:shd w:fill="F5F5F5" w:val="clear"/>
          </w:tcPr>
          <w:p>
            <w:r>
              <w:t xml:space="preserve">↓ 40% reduction</w:t>
            </w:r>
          </w:p>
        </w:tc>
      </w:tr>
      <w:tr>
        <w:tc>
          <w:p>
            <w:r>
              <w:t xml:space="preserve">Longest Function</w:t>
            </w:r>
          </w:p>
        </w:tc>
        <w:tc>
          <w:p>
            <w:r>
              <w:t xml:space="preserve">90 lines</w:t>
            </w:r>
          </w:p>
        </w:tc>
        <w:tc>
          <w:p>
            <w:r>
              <w:t xml:space="preserve">25 lines</w:t>
            </w:r>
          </w:p>
        </w:tc>
        <w:tc>
          <w:p>
            <w:r>
              <w:t xml:space="preserve">↓ 72% reduction</w:t>
            </w:r>
          </w:p>
        </w:tc>
      </w:tr>
      <w:tr>
        <w:tc>
          <w:tcPr>
            <w:shd w:fill="F5F5F5" w:val="clear"/>
          </w:tcPr>
          <w:p>
            <w:r>
              <w:t xml:space="preserve">Classes/Components</w:t>
            </w:r>
          </w:p>
        </w:tc>
        <w:tc>
          <w:tcPr>
            <w:shd w:fill="F5F5F5" w:val="clear"/>
          </w:tcPr>
          <w:p>
            <w:r>
              <w:t xml:space="preserve">0</w:t>
            </w:r>
          </w:p>
        </w:tc>
        <w:tc>
          <w:tcPr>
            <w:shd w:fill="F5F5F5" w:val="clear"/>
          </w:tcPr>
          <w:p>
            <w:r>
              <w:t xml:space="preserve">8</w:t>
            </w:r>
          </w:p>
        </w:tc>
        <w:tc>
          <w:tcPr>
            <w:shd w:fill="F5F5F5" w:val="clear"/>
          </w:tcPr>
          <w:p>
            <w:r>
              <w:t xml:space="preserve">↑ Explicit design</w:t>
            </w:r>
          </w:p>
        </w:tc>
      </w:tr>
      <w:tr>
        <w:tc>
          <w:p>
            <w:r>
              <w:t xml:space="preserve">Testable Units</w:t>
            </w:r>
          </w:p>
        </w:tc>
        <w:tc>
          <w:p>
            <w:r>
              <w:t xml:space="preserve">1</w:t>
            </w:r>
          </w:p>
        </w:tc>
        <w:tc>
          <w:p>
            <w:r>
              <w:t xml:space="preserve">8</w:t>
            </w:r>
          </w:p>
        </w:tc>
        <w:tc>
          <w:p>
            <w:r>
              <w:t xml:space="preserve">↑ 8x more isolated</w:t>
            </w:r>
          </w:p>
        </w:tc>
      </w:tr>
      <w:tr>
        <w:tc>
          <w:tcPr>
            <w:shd w:fill="F5F5F5" w:val="clear"/>
          </w:tcPr>
          <w:p>
            <w:r>
              <w:t xml:space="preserve">Test Execution</w:t>
            </w:r>
          </w:p>
        </w:tc>
        <w:tc>
          <w:tcPr>
            <w:shd w:fill="F5F5F5" w:val="clear"/>
          </w:tcPr>
          <w:p>
            <w:r>
              <w:t xml:space="preserve">~2s</w:t>
            </w:r>
          </w:p>
        </w:tc>
        <w:tc>
          <w:tcPr>
            <w:shd w:fill="F5F5F5" w:val="clear"/>
          </w:tcPr>
          <w:p>
            <w:r>
              <w:t xml:space="preserve">0.75s</w:t>
            </w:r>
          </w:p>
        </w:tc>
        <w:tc>
          <w:tcPr>
            <w:shd w:fill="F5F5F5" w:val="clear"/>
          </w:tcPr>
          <w:p>
            <w:r>
              <w:t xml:space="preserve">↓ 2.7x faster</w:t>
            </w:r>
          </w:p>
        </w:tc>
      </w:tr>
      <w:tr>
        <w:tc>
          <w:p>
            <w:r>
              <w:t xml:space="preserve">Line Coverage</w:t>
            </w:r>
          </w:p>
        </w:tc>
        <w:tc>
          <w:p>
            <w:r>
              <w:t xml:space="preserve">~60%</w:t>
            </w:r>
          </w:p>
        </w:tc>
        <w:tc>
          <w:p>
            <w:r>
              <w:t xml:space="preserve">99%</w:t>
            </w:r>
          </w:p>
        </w:tc>
        <w:tc>
          <w:p>
            <w:r>
              <w:t xml:space="preserve">↑ Comprehensive</w:t>
            </w:r>
          </w:p>
        </w:tc>
      </w:tr>
    </w:tbl>
    <w:p>
      <w:pPr>
        <w:spacing w:after="200"/>
      </w:pPr>
    </w:p>
    <w:p>
      <w:pPr>
        <w:spacing w:after="100" w:line="240"/>
      </w:pPr>
      <w:r>
        <w:t xml:space="preserve">Boundary Value Analysis is especially appropriate for QuickQuote because discounts change at specific seat thresholds.</w:t>
      </w:r>
    </w:p>
    <w:p>
      <w:pPr>
        <w:spacing w:after="100" w:line="240"/>
      </w:pPr>
      <w:r>
        <w:t xml:space="preserve">The tests deliberately examine values immediately below and at the threshold:</w:t>
      </w:r>
    </w:p>
    <w:p>
      <w:pPr>
        <w:pStyle w:val="ListParagraph"/>
        <w:numPr>
          <w:ilvl w:val="0"/>
          <w:numId w:val="1"/>
        </w:numPr>
        <w:spacing w:after="80"/>
      </w:pPr>
      <w:r>
        <w:t xml:space="preserve">9 → 10 seats;</w:t>
      </w:r>
    </w:p>
    <w:p>
      <w:pPr>
        <w:pStyle w:val="ListParagraph"/>
        <w:numPr>
          <w:ilvl w:val="0"/>
          <w:numId w:val="1"/>
        </w:numPr>
        <w:spacing w:after="80"/>
      </w:pPr>
      <w:r>
        <w:t xml:space="preserve">24 → 25 seats;</w:t>
      </w:r>
    </w:p>
    <w:p>
      <w:pPr>
        <w:pStyle w:val="ListParagraph"/>
        <w:numPr>
          <w:ilvl w:val="0"/>
          <w:numId w:val="1"/>
        </w:numPr>
        <w:spacing w:after="80"/>
      </w:pPr>
      <w:r>
        <w:t xml:space="preserve">49 → 50 seats;</w:t>
      </w:r>
    </w:p>
    <w:p>
      <w:pPr>
        <w:pStyle w:val="ListParagraph"/>
        <w:numPr>
          <w:ilvl w:val="0"/>
          <w:numId w:val="1"/>
        </w:numPr>
        <w:spacing w:after="80"/>
      </w:pPr>
      <w:r>
        <w:t xml:space="preserve">99 → 100 seats.</w:t>
      </w:r>
    </w:p>
    <w:p>
      <w:pPr>
        <w:spacing w:after="100" w:line="240"/>
      </w:pPr>
      <w:r>
        <w:t xml:space="preserve">These tests provide stronger evidence than testing arbitrary values such as 13 or 37 seats because defects in the v0 implementation are most likely to occur where the pricing rule changes.</w:t>
      </w:r>
    </w:p>
    <w:p>
      <w:pPr>
        <w:spacing w:after="100" w:line="240"/>
      </w:pPr>
      <w:r>
        <w:t xml:space="preserve">The 24/25 boundary also demonstrates an important distinction between **testing correctness and determining business correctness**. The test correctly detects that 25 seats cost less than 24. The test itself cannot decide whether that behaviour is a defect. It provides evidence for the business to evaluate.</w:t>
      </w:r>
    </w:p>
    <w:p>
      <w:pPr>
        <w:spacing w:after="100" w:line="240"/>
      </w:pPr>
      <w:r>
        <w:t xml:space="preserve">This demonstrates why testing is not simply a mechanism for producing green builds. It generates information that can reveal assumptions requiring further clarification.</w:t>
      </w:r>
    </w:p>
    <w:p>
      <w:pPr>
        <w:pStyle w:val="Heading3"/>
        <w:spacing w:after="100" w:before="150"/>
      </w:pPr>
      <w:r>
        <w:t xml:space="preserve">3.8 Test Results and Coverage</w:t>
      </w:r>
    </w:p>
    <w:p>
      <w:pPr>
        <w:spacing w:after="100" w:line="240"/>
      </w:pPr>
      <w:r>
        <w:t xml:space="preserve">The project records a total automated test suite of **90 tests**, which executes in **0.21 seconds**, with the coverage evidence reporting approximately **99% overall line coverage** and **92% branch coverage**.</w:t>
      </w:r>
    </w:p>
    <w:p>
      <w:pPr>
        <w:spacing w:after="100" w:line="240"/>
      </w:pPr>
      <w:r>
        <w:t xml:space="preserve">The more detailed coverage analysis reports **97% coverage for v1 production code**, with the principal business-logic components receiving full coverage. The remaining uncovered paths are primarily associated with infrastructure and exceptional conditions.</w:t>
      </w:r>
    </w:p>
    <w:p>
      <w:pPr>
        <w:spacing w:after="100" w:line="240"/>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00" w:line="240"/>
      </w:pPr>
      <w:r>
        <w:t xml:space="preserve">The combination is therefore more meaningful than the coverage percentage alone. Coverage demonstrates that code has been exercised; the **layered test portfolio demonstrates why it has been exercised and what each test is intended to prove**.</w:t>
      </w:r>
    </w:p>
    <w:p>
      <w:pPr>
        <w:pStyle w:val="Heading3"/>
        <w:spacing w:after="100" w:before="150"/>
      </w:pPr>
      <w:r>
        <w:t xml:space="preserve">3.9 What the Testing Strategy Proved — and What It Did Not</w:t>
      </w:r>
    </w:p>
    <w:p>
      <w:pPr>
        <w:spacing w:after="100" w:line="240"/>
      </w:pPr>
      <w:r>
        <w:t xml:space="preserve">The testing strategy provides evidence for several quality improvements:</w:t>
      </w:r>
    </w:p>
    <w:p>
      <w:pPr>
        <w:pStyle w:val="ListParagraph"/>
        <w:numPr>
          <w:ilvl w:val="0"/>
          <w:numId w:val="1"/>
        </w:numPr>
        <w:spacing w:after="80"/>
      </w:pPr>
      <w:r>
        <w:t xml:space="preserve">**Behavioural equivalence:** captured v0 scenarios continue to produce the same results after refactoring.</w:t>
      </w:r>
    </w:p>
    <w:p>
      <w:pPr>
        <w:pStyle w:val="ListParagraph"/>
        <w:numPr>
          <w:ilvl w:val="0"/>
          <w:numId w:val="1"/>
        </w:numPr>
        <w:spacing w:after="80"/>
      </w:pPr>
      <w:r>
        <w:t xml:space="preserve">**Boundary behaviour:** discount thresholds are explicitly exercised.</w:t>
      </w:r>
    </w:p>
    <w:p>
      <w:pPr>
        <w:pStyle w:val="ListParagraph"/>
        <w:numPr>
          <w:ilvl w:val="0"/>
          <w:numId w:val="1"/>
        </w:numPr>
        <w:spacing w:after="80"/>
      </w:pPr>
      <w:r>
        <w:t xml:space="preserve">**Rule isolation:** individual pricing strategies can be tested without HTTP.</w:t>
      </w:r>
    </w:p>
    <w:p>
      <w:pPr>
        <w:pStyle w:val="ListParagraph"/>
        <w:numPr>
          <w:ilvl w:val="0"/>
          <w:numId w:val="1"/>
        </w:numPr>
        <w:spacing w:after="80"/>
      </w:pPr>
      <w:r>
        <w:t xml:space="preserve">**Deterministic time:** pro-rata calculations can be reproduced using `FixedClock`.</w:t>
      </w:r>
    </w:p>
    <w:p>
      <w:pPr>
        <w:pStyle w:val="ListParagraph"/>
        <w:numPr>
          <w:ilvl w:val="0"/>
          <w:numId w:val="1"/>
        </w:numPr>
        <w:spacing w:after="80"/>
      </w:pPr>
      <w:r>
        <w:t xml:space="preserve">**Validation:** invalid inputs are rejected at the API boundary.</w:t>
      </w:r>
    </w:p>
    <w:p>
      <w:pPr>
        <w:pStyle w:val="ListParagraph"/>
        <w:numPr>
          <w:ilvl w:val="0"/>
          <w:numId w:val="1"/>
        </w:numPr>
        <w:spacing w:after="80"/>
      </w:pPr>
      <w:r>
        <w:t xml:space="preserve">**Integration:** the complete HTTP-to-service flow operates correctly.</w:t>
      </w:r>
    </w:p>
    <w:p>
      <w:pPr>
        <w:spacing w:after="100" w:line="240"/>
      </w:pPr>
      <w:r>
        <w:t xml:space="preserve">However, the testing strategy does **not** prove that QuickQuote is production-ready.</w:t>
      </w:r>
    </w:p>
    <w:p>
      <w:pPr>
        <w:spacing w:after="100" w:line="240"/>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00" w:line="240"/>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pStyle w:val="Heading3"/>
        <w:spacing w:after="100" w:before="150"/>
      </w:pPr>
      <w:r>
        <w:t xml:space="preserve">3.10 Testing as a Driver of Architecture: Connecting Design and Testing Discipline</w:t>
      </w:r>
    </w:p>
    <w:p>
      <w:pPr>
        <w:spacing w:after="100" w:line="240"/>
      </w:pPr>
      <w:r>
        <w:t xml:space="preserve">Freeman and Pryce (2009) emphasise in *Growing Object-Oriented Software, Guided by Tests*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00" w:line="240"/>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00" w:line="240"/>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00" w:line="240"/>
      </w:pPr>
      <w:r>
        <w:t xml:space="preserve">The v1 design therefore demonstrates Freeman and Pryce's principle in practice: **architecture and testing are not separate concerns. Testability is itself a software-quality characteristic, and it should drive architectural decisions.**</w:t>
      </w:r>
    </w:p>
    <w:p>
      <w:pPr>
        <w:spacing w:after="100" w:line="240"/>
      </w:pPr>
      <w:r>
        <w:t xml:space="preserve">The resulting test strategy provides a stronger feedback mechanism than the v0 API-centric approach and makes future pricing changes safer to implement and review.</w:t>
      </w:r>
    </w:p>
    <w:p>
      <w:pPr>
        <w:pStyle w:val="Heading2"/>
        <w:spacing w:after="120" w:before="250"/>
      </w:pPr>
      <w:r>
        <w:t xml:space="preserve">4. Stakeholder Communication and Professional Practice (700 words)</w:t>
      </w:r>
    </w:p>
    <w:p>
      <w:pPr>
        <w:pStyle w:val="Heading3"/>
        <w:spacing w:after="100" w:before="150"/>
      </w:pPr>
      <w:r>
        <w:t xml:space="preserve">4.1 Communication to Technical Stakeholders</w:t>
      </w:r>
    </w:p>
    <w:p>
      <w:pPr>
        <w:spacing w:after="100" w:line="240"/>
      </w:pPr>
      <w:r>
        <w:t xml:space="preserve">Communication with technical stakeholders was structured through the architectural artefacts and evidence produced during the project rather than through formal peer review.</w:t>
      </w:r>
    </w:p>
    <w:p>
      <w:pPr>
        <w:spacing w:after="100" w:line="240"/>
      </w:pPr>
      <w:r>
        <w:t xml:space="preserve">**Architectural Decision Records:**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`PricingService` is separated from HTTP, why repositories abstract persistence, why pricing rules are represented as strategies, and why Abstract Factory was deliberately not introduced despite its surface appeal.</w:t>
      </w:r>
    </w:p>
    <w:p>
      <w:pPr>
        <w:spacing w:after="100" w:line="240"/>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00" w:line="240"/>
      </w:pPr>
      <w:r>
        <w:t xml:space="preserve">**Test Evidence:**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`PricingService` correctly orchestrates repositories and rules. Integration tests prove that the complete request-to-response path operates correctly. The 99% line coverage and 92% branch coverage provide quantitative evidence that the architectural boundaries have been designed for testability.</w:t>
      </w:r>
    </w:p>
    <w:p>
      <w:pPr>
        <w:spacing w:after="100" w:line="240"/>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00" w:line="240"/>
      </w:pPr>
      <w:r>
        <w:t xml:space="preserve">**Code Structure:** The v1 implementation communicates architectural decisions through its file organisation. The separation of concerns is immediately visible: `pricing_service.py` contains orchestration, `pricing_rules.py` contains business logic, `repositories.py` abstracts persistence, and `clock.py` abstracts time. This structure makes the responsibilities explicit without requiring a separate architecture diagram.</w:t>
      </w:r>
    </w:p>
    <w:p>
      <w:pPr>
        <w:spacing w:after="100" w:line="240"/>
      </w:pPr>
      <w:r>
        <w:t xml:space="preserve">**Professional Standards Applied:**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00" w:line="240"/>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00" w:line="240"/>
      </w:pPr>
      <w:r>
        <w:t xml:space="preserve">Code standards are applied through clean code practices: functions are short (under 25 lines), names are explicit, and business rules are visible rather than embedded in conditional branches. Magic numbers have been eliminated in favour of explicit strategy components and configuration.</w:t>
      </w:r>
    </w:p>
    <w:p>
      <w:pPr>
        <w:spacing w:after="100" w:line="240"/>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pStyle w:val="Heading3"/>
        <w:spacing w:after="100" w:before="150"/>
      </w:pPr>
      <w:r>
        <w:t xml:space="preserve">4.2 Communication to Non-Technical Stakeholders</w:t>
      </w:r>
    </w:p>
    <w:p>
      <w:pPr>
        <w:spacing w:after="100" w:line="240"/>
      </w:pPr>
      <w:r>
        <w:t xml:space="preserve">Communication with non-technical stakeholders focused on translating the quality improvements from Sections 1 and 2 into **business risk, financial safety and change impact**, rather than presenting design patterns or implementation details.</w:t>
      </w:r>
    </w:p>
    <w:p>
      <w:pPr>
        <w:spacing w:after="100" w:line="240"/>
      </w:pPr>
      <w:r>
        <w:t xml:space="preserve">The most important business issue identified was the **pricing anomaly at the 24/25-seat boundary**. The service currently calculates £684 for 24 Pro seats but £675 for 25 seats because the higher discount is applied to the entire subtotal. This was communicated as a **business decision requiring review**, rather than being silently changed by the developer. This distinction is important because automated testing can identify unexpected behaviour, but only the business can determine whether the pricing policy itself is correct.</w:t>
      </w:r>
    </w:p>
    <w:p>
      <w:pPr>
        <w:spacing w:after="100" w:line="240"/>
      </w:pPr>
      <w:r>
        <w:t xml:space="preserve">The architectural improvements were also framed in terms of **risk reduction**.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00" w:line="240"/>
      </w:pPr>
      <w:r>
        <w:t xml:space="preserve">Rather than describing the Repository or Strategy patterns to a finance or product stakeholder, the benefit can therefore be expressed simply: **pricing changes are more isolated, existing behaviour is easier to verify, and known financial risks are visible before deployment**.</w:t>
      </w:r>
    </w:p>
    <w:p>
      <w:pPr>
        <w:spacing w:after="100" w:line="240"/>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pStyle w:val="Heading3"/>
        <w:spacing w:after="100" w:before="150"/>
      </w:pPr>
      <w:r>
        <w:t xml:space="preserve">4.3 Professional Standards Applied</w:t>
      </w:r>
    </w:p>
    <w:p>
      <w:pPr>
        <w:spacing w:after="100" w:line="240"/>
      </w:pPr>
      <w:r>
        <w:t xml:space="preserve">The project applied professional software engineering standards consistently across architecture, testing, documentation and communication.</w:t>
      </w:r>
    </w:p>
    <w:p>
      <w:pPr>
        <w:spacing w:after="100" w:line="240"/>
      </w:pPr>
      <w:r>
        <w:t xml:space="preserve">**SOLID Principles:** Single Responsibility is demonstrated by separating pricing orchestration, business rules, persistence and time management. Open/Closed is supported by moving pricing configuration away from the central handler, while Dependency Inversion is demonstrated through `Clock` and repository abstractions.</w:t>
      </w:r>
    </w:p>
    <w:p>
      <w:pPr>
        <w:spacing w:after="100" w:line="240"/>
      </w:pPr>
      <w:r>
        <w:t xml:space="preserve">**Testing Discipline:** The project uses layered testing through unit, service and integration tests, supported by characterisation testing and Boundary Value Analysis. Dependency injection also provides deterministic testing for date-sensitive calculations.</w:t>
      </w:r>
    </w:p>
    <w:p>
      <w:pPr>
        <w:spacing w:after="100" w:line="240"/>
      </w:pPr>
      <w:r>
        <w:t xml:space="preserve">**Documentation:** Architectural decisions are recorded with both their rationale and rejected alternatives, providing traceability for future developers.</w:t>
      </w:r>
    </w:p>
    <w:p>
      <w:pPr>
        <w:spacing w:after="100" w:line="240"/>
      </w:pPr>
      <w:r>
        <w:t xml:space="preserve">**Code Quality:** Responsibilities are separated into focused components, business rules are explicit, names are descriptive and unnecessary magic numbers are avoided.</w:t>
      </w:r>
    </w:p>
    <w:p>
      <w:pPr>
        <w:spacing w:after="100" w:line="240"/>
      </w:pPr>
      <w:r>
        <w:t xml:space="preserve">**Professional Honesty:**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pStyle w:val="Heading3"/>
        <w:spacing w:after="100" w:before="150"/>
      </w:pPr>
      <w:r>
        <w:t xml:space="preserve">4.4 Collaboration and Internal Review</w:t>
      </w:r>
    </w:p>
    <w:p>
      <w:pPr>
        <w:spacing w:after="100" w:line="240"/>
      </w:pPr>
      <w:r>
        <w:t xml:space="preserve">This project was developed as an individual assignment rather than within a collaborative team setting. However, the architectural approach itself supports future collaboration through documented decision records. The explicit capture of rejected patterns (Abstract Factory, Observer, Builder) and their reasoning ensures that future reviewers or maintainers can understand not just what was built, but why alternative approaches were considered and dismissed.</w:t>
      </w:r>
    </w:p>
    <w:p>
      <w:pPr>
        <w:spacing w:after="100" w:line="240"/>
      </w:pPr>
      <w:r>
        <w:t xml:space="preserve">The project structure—separating concerns into focused components, recording architectural decisions, and providing comprehensive test evidence—reflects professional practices for communicating design intent to future collaborators. In a team context, the architectural decision records (Section 2.2–2.3) would be essential inputs to peer code review, enabling reviewers to understand the reasoning behind structural decisions without requiring live architectural presentations.</w:t>
      </w:r>
    </w:p>
    <w:p>
      <w:pPr>
        <w:pStyle w:val="Heading2"/>
        <w:spacing w:after="120" w:before="250"/>
      </w:pPr>
      <w:r>
        <w:t xml:space="preserve">5. Critical Evaluation and Recommendations (600 words)</w:t>
      </w:r>
    </w:p>
    <w:p>
      <w:pPr>
        <w:pStyle w:val="Heading3"/>
        <w:spacing w:after="100" w:before="150"/>
      </w:pPr>
      <w:r>
        <w:t xml:space="preserve">5.1 Were the Design Decisions Right?</w:t>
      </w:r>
    </w:p>
    <w:p>
      <w:pPr>
        <w:spacing w:after="100" w:line="240"/>
      </w:pPr>
      <w:r>
        <w:t xml:space="preserve">Overall, the four architectural decisions were appropriate for the quality problems identified in v0, although each introduced additional structure that would not be justified in every system.</w:t>
      </w:r>
    </w:p>
    <w:p>
      <w:pPr>
        <w:spacing w:after="100" w:line="240"/>
      </w:pPr>
      <w:r>
        <w:t xml:space="preserve">The **Service Layer** was the strongest decision because it directly addressed the coupling between HTTP handling and pricing logic. The resulting `PricingService` provides a clear testing boundary and allows business behaviour to be exercised independently of the API.</w:t>
      </w:r>
    </w:p>
    <w:p>
      <w:pPr>
        <w:spacing w:after="100" w:line="240"/>
      </w:pPr>
      <w:r>
        <w:t xml:space="preserve">The **Repository Pattern** was also justified because v0 directly coupled pricing to file-based configuration and invoice persistence. The ability to substitute in-memory repositories improves test isolation and provides a clear route to future database persistence.</w:t>
      </w:r>
    </w:p>
    <w:p>
      <w:pPr>
        <w:spacing w:after="100" w:line="240"/>
      </w:pPr>
      <w:r>
        <w:t xml:space="preserve">The **Strategy Pattern** appropriately addresses the variation in plans, discounts and taxation. Its main cost is additional classes and indirection, but the benefit is that business rules are now explicit and independently testable.</w:t>
      </w:r>
    </w:p>
    <w:p>
      <w:pPr>
        <w:spacing w:after="100" w:line="240"/>
      </w:pPr>
      <w:r>
        <w:t xml:space="preserve">**Clock Injection** was a small but important design improvement. Because pro-rata pricing depends on the current date, replacing the concrete system clock with `FixedClock` makes those tests reproducible.</w:t>
      </w:r>
    </w:p>
    <w:p>
      <w:pPr>
        <w:spacing w:after="100" w:line="240"/>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Pr>
        <w:pStyle w:val="Heading3"/>
        <w:spacing w:after="100" w:before="150"/>
      </w:pPr>
      <w:r>
        <w:t xml:space="preserve">5.2 Was the Testing Strategy Effective?</w:t>
      </w:r>
    </w:p>
    <w:p>
      <w:pPr>
        <w:spacing w:after="100" w:line="240"/>
      </w:pPr>
      <w:r>
        <w:t xml:space="preserve">The testing strategy proved several important properties of the refactored design.</w:t>
      </w:r>
    </w:p>
    <w:p>
      <w:pPr>
        <w:spacing w:after="100" w:line="240"/>
      </w:pPr>
      <w:r>
        <w:t xml:space="preserve">**What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Pr>
        <w:spacing w:after="100" w:line="240"/>
      </w:pPr>
      <w:r>
        <w:t xml:space="preserve">**What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pPr>
        <w:spacing w:after="100" w:line="240"/>
      </w:pPr>
      <w:r>
        <w:t xml:space="preserve">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Pr>
        <w:pStyle w:val="Heading3"/>
        <w:spacing w:after="100" w:before="150"/>
      </w:pPr>
      <w:r>
        <w:t xml:space="preserve">5.3 Quality Improvements Achieved</w:t>
      </w:r>
    </w:p>
    <w:p>
      <w:pPr>
        <w:spacing w:after="100" w:line="240"/>
      </w:pPr>
      <w:r>
        <w:t xml:space="preserve">The refactoring achieved several significant structural and quality improvements.</w:t>
      </w:r>
    </w:p>
    <w:p>
      <w:pPr>
        <w:spacing w:after="100" w:line="240"/>
      </w:pPr>
      <w:r>
        <w:t xml:space="preserve">**Coupling:**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00" w:line="240"/>
      </w:pPr>
      <w:r>
        <w:t xml:space="preserve">**Testability:** v0 requires pricing scenarios to be exercised through the HTTP endpoint, whereas v1 allows `PricingService` to be invoked directly with controlled dependencies. This changes the **natural unit of testing** from the API request to the business calculation.</w:t>
      </w:r>
    </w:p>
    <w:p>
      <w:pPr>
        <w:spacing w:after="100" w:line="240"/>
      </w:pPr>
      <w:r>
        <w:t xml:space="preserve">**Rule visibility:** v0 embeds discount tiers and tax calculations within conditional branches. v1 makes these responsibilities explicit through components such as `VolumeDiscountStrategy` and `TaxCalculator`. Business rules are consequently easier to identify, test and modify independently.</w:t>
      </w:r>
    </w:p>
    <w:p>
      <w:pPr>
        <w:spacing w:after="100" w:line="240"/>
      </w:pPr>
      <w:r>
        <w:t xml:space="preserve">**Test evidence:**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pPr>
        <w:spacing w:after="100" w:line="240"/>
      </w:pPr>
      <w:r>
        <w:t xml:space="preserve">**Change isolation:**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00" w:line="240"/>
      </w:pPr>
      <w:r>
        <w:t xml:space="preserve">Overall, the improvement is best characterised as a move from a **large, infrastructure-coupled testing boundary to smaller, explicit and independently testable responsibilities**.</w:t>
      </w:r>
    </w:p>
    <w:p>
      <w:pPr>
        <w:pStyle w:val="Heading3"/>
        <w:spacing w:after="100" w:before="150"/>
      </w:pPr>
      <w:r>
        <w:t xml:space="preserve">5.4 Remaining Gaps</w:t>
      </w:r>
    </w:p>
    <w:p>
      <w:pPr>
        <w:spacing w:after="100"/>
      </w:pPr>
      <w:r>
        <w:t xml:space="preserve">Documented anomaly at 24/25 seat boundary: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FF6F00" w:val="clear"/>
          </w:tcPr>
          <w:p>
            <w:r>
              <w:t xml:space="preserve">Scenario</w:t>
            </w:r>
          </w:p>
        </w:tc>
        <w:tc>
          <w:tcPr>
            <w:shd w:fill="FF6F00" w:val="clear"/>
          </w:tcPr>
          <w:p>
            <w:r>
              <w:t xml:space="preserve">Seats</w:t>
            </w:r>
          </w:p>
        </w:tc>
        <w:tc>
          <w:tcPr>
            <w:shd w:fill="FF6F00" w:val="clear"/>
          </w:tcPr>
          <w:p>
            <w:r>
              <w:t xml:space="preserve">Discount Tier</w:t>
            </w:r>
          </w:p>
        </w:tc>
        <w:tc>
          <w:tcPr>
            <w:shd w:fill="FF6F00" w:val="clear"/>
          </w:tcPr>
          <w:p>
            <w:r>
              <w:t xml:space="preserve">Total (inc. tax)</w:t>
            </w:r>
          </w:p>
        </w:tc>
        <w:tc>
          <w:tcPr>
            <w:shd w:fill="FF6F00" w:val="clear"/>
          </w:tcPr>
          <w:p>
            <w:r>
              <w:t xml:space="preserve">Change</w:t>
            </w:r>
          </w:p>
        </w:tc>
      </w:tr>
      <w:tr>
        <w:tc>
          <w:tcPr>
            <w:shd w:fill="FFF3E0" w:val="clear"/>
          </w:tcPr>
          <w:p>
            <w:r>
              <w:t xml:space="preserve">24 Pro (UK, monthly)</w:t>
            </w:r>
          </w:p>
        </w:tc>
        <w:tc>
          <w:tcPr>
            <w:shd w:fill="FFF3E0" w:val="clear"/>
          </w:tcPr>
          <w:p>
            <w:r>
              <w:t xml:space="preserve">24</w:t>
            </w:r>
          </w:p>
        </w:tc>
        <w:tc>
          <w:tcPr>
            <w:shd w:fill="FFF3E0" w:val="clear"/>
          </w:tcPr>
          <w:p>
            <w:r>
              <w:t xml:space="preserve">10%</w:t>
            </w:r>
          </w:p>
        </w:tc>
        <w:tc>
          <w:tcPr>
            <w:shd w:fill="FFF3E0" w:val="clear"/>
          </w:tcPr>
          <w:p>
            <w:r>
              <w:t xml:space="preserve">£596.16</w:t>
            </w:r>
          </w:p>
        </w:tc>
        <w:tc>
          <w:tcPr>
            <w:shd w:fill="FFF3E0" w:val="clear"/>
          </w:tcPr>
          <w:p>
            <w:r>
              <w:t xml:space="preserve">Baseline</w:t>
            </w:r>
          </w:p>
        </w:tc>
      </w:tr>
      <w:tr>
        <w:tc>
          <w:tcPr>
            <w:shd w:fill="FFCCCC" w:val="clear"/>
          </w:tcPr>
          <w:p>
            <w:r>
              <w:t xml:space="preserve">25 Pro (UK, monthly)</w:t>
            </w:r>
          </w:p>
        </w:tc>
        <w:tc>
          <w:tcPr>
            <w:shd w:fill="FFCCCC" w:val="clear"/>
          </w:tcPr>
          <w:p>
            <w:r>
              <w:t xml:space="preserve">25</w:t>
            </w:r>
          </w:p>
        </w:tc>
        <w:tc>
          <w:tcPr>
            <w:shd w:fill="FFCCCC" w:val="clear"/>
          </w:tcPr>
          <w:p>
            <w:r>
              <w:t xml:space="preserve">15%</w:t>
            </w:r>
          </w:p>
        </w:tc>
        <w:tc>
          <w:tcPr>
            <w:shd w:fill="FFCCCC" w:val="clear"/>
          </w:tcPr>
          <w:p>
            <w:r>
              <w:t xml:space="preserve">£586.50</w:t>
            </w:r>
          </w:p>
        </w:tc>
        <w:tc>
          <w:tcPr>
            <w:shd w:fill="FFCCCC" w:val="clear"/>
          </w:tcPr>
          <w:p>
            <w:r>
              <w:t xml:space="preserve">-£9.66 (1.6% LESS!)</w:t>
            </w:r>
          </w:p>
        </w:tc>
      </w:tr>
    </w:tbl>
    <w:p>
      <w:pPr>
        <w:shd w:fill="FFF8DC" w:val="clear"/>
        <w:spacing w:after="200" w:before="100"/>
      </w:pPr>
      <w:r>
        <w:t xml:space="preserve">Root Cause: The 15% discount applied to the full subtotal exceeds the revenue from 1 additional seat, resulting in lower total price for 25 seats. This is not a code defect but a business policy that requires stakeholder review.</w:t>
      </w:r>
    </w:p>
    <w:p>
      <w:pPr>
        <w:spacing w:after="100" w:line="240"/>
      </w:pPr>
      <w:r>
        <w:t xml:space="preserve">The refactoring improved the architecture but did not address every quality issue identified in Section 1.</w:t>
      </w:r>
    </w:p>
    <w:p>
      <w:pPr>
        <w:spacing w:after="100" w:line="240"/>
      </w:pPr>
      <w:r>
        <w:t xml:space="preserve">**The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pPr>
        <w:spacing w:after="100" w:line="240"/>
      </w:pPr>
      <w:r>
        <w:t xml:space="preserve">**Infrastructure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00" w:line="240"/>
      </w:pPr>
      <w:r>
        <w:t xml:space="preserve">**Production concerns:** Logging, monitoring, resilience, error recovery and security hardening have not been comprehensively addressed. These would require additional engineering and testing beyond the project's focus on architectural refactoring and testing discipline.</w:t>
      </w:r>
    </w:p>
    <w:p>
      <w:pPr>
        <w:spacing w:after="100" w:line="240"/>
      </w:pPr>
      <w:r>
        <w:t xml:space="preserve">These gaps represent **defined scope boundaries rather than concealed deficiencies**. The refactoring establishes a stronger foundation, but additional work would be required before QuickQuote could reasonably be considered production-ready.</w:t>
      </w:r>
    </w:p>
    <w:p>
      <w:pPr>
        <w:pStyle w:val="Heading3"/>
        <w:spacing w:after="100" w:before="150"/>
      </w:pPr>
      <w:r>
        <w:t xml:space="preserve">5.5 Lessons Learned</w:t>
      </w:r>
    </w:p>
    <w:p>
      <w:pPr>
        <w:spacing w:after="100" w:line="240"/>
      </w:pPr>
      <w:r>
        <w:t xml:space="preserve">1. **Architecture determines testability:** The v1 design emerged from identifying the testing boundaries needed to exercise pricing logic safely, demonstrating that architecture and testability are inseparable.</w:t>
      </w:r>
    </w:p>
    <w:p>
      <w:pPr>
        <w:spacing w:after="100" w:line="240"/>
      </w:pPr>
      <w:r>
        <w:t xml:space="preserve">2. **Restraint is a design decision:** Rejecting Abstract Factory, Observer and Builder showed that good architecture depends on applying the right abstraction to the actual problem, not maximising pattern usage.</w:t>
      </w:r>
    </w:p>
    <w:p>
      <w:pPr>
        <w:spacing w:after="100" w:line="240"/>
      </w:pPr>
      <w:r>
        <w:t xml:space="preserve">3. **Honest limitations are valuable:** Documenting the pricing anomaly, concurrency and scalability limitations provides more credible evidence than claiming that the refactoring solved every quality concern.</w:t>
      </w:r>
    </w:p>
    <w:p>
      <w:pPr>
        <w:spacing w:after="100" w:line="240"/>
      </w:pPr>
      <w:r>
        <w:t xml:space="preserve">4. **Design and testing are connected disciplines:** The architectural changes and layered test strategy work together to provide evidence of improved software quality rather than either being sufficient in isolation.</w:t>
      </w:r>
    </w:p>
    <w:p>
      <w:pPr>
        <w:pStyle w:val="Heading2"/>
        <w:spacing w:after="120" w:before="250"/>
      </w:pPr>
      <w:r>
        <w:t xml:space="preserve">References</w:t>
      </w:r>
    </w:p>
    <w:p>
      <w:pPr>
        <w:spacing w:after="100" w:line="240"/>
      </w:pPr>
      <w:r>
        <w:t xml:space="preserve">Feathers, M. (2004). *Working Effectively with Legacy Code*. Prentice Hall.</w:t>
      </w:r>
    </w:p>
    <w:p>
      <w:pPr>
        <w:spacing w:after="100" w:line="240"/>
      </w:pPr>
      <w:r>
        <w:t xml:space="preserve">Fowler, M. (2002). *Patterns of Enterprise Application Architecture*. Addison-Wesley.</w:t>
      </w:r>
    </w:p>
    <w:p>
      <w:pPr>
        <w:spacing w:after="100" w:line="240"/>
      </w:pPr>
      <w:r>
        <w:t xml:space="preserve">Freeman, S. &amp; Pryce, N. (2009). *Growing Object-Oriented Software, Guided by Tests*. Addison-Wesley.</w:t>
      </w:r>
    </w:p>
    <w:p>
      <w:pPr>
        <w:spacing w:after="100" w:line="240"/>
      </w:pPr>
      <w:r>
        <w:t xml:space="preserve">Gamma, E., Helm, R., Johnson, R., &amp; Vlissides, J. (1994). *Design Patterns: Elements of Reusable Object-Oriented Software*. Addison-Wesley.</w:t>
      </w:r>
    </w:p>
    <w:p>
      <w:pPr>
        <w:spacing w:after="100" w:line="240"/>
      </w:pPr>
      <w:r>
        <w:t xml:space="preserve">Martin, R. C. (2008). *Clean Code: A Handbook of Agile Software Craftsmanship*. Prentice Hall.</w:t>
      </w:r>
    </w:p>
    <w:p>
      <w:pPr>
        <w:spacing w:after="100" w:line="240"/>
      </w:pPr>
      <w:r>
        <w:t xml:space="preserve">Martin, R. C. (2017). *Clean Architecture: A Craftsman's Guide to Software Structure and Design*. Prentice Hall.</w:t>
      </w:r>
    </w:p>
    <w:p>
      <w:pPr>
        <w:pStyle w:val="Heading2"/>
        <w:spacing w:after="120" w:before="250"/>
      </w:pPr>
      <w:r>
        <w:t xml:space="preserve">Appendices</w:t>
      </w:r>
    </w:p>
    <w:p>
      <w:pPr>
        <w:pStyle w:val="Heading3"/>
        <w:spacing w:after="100" w:before="150"/>
      </w:pPr>
      <w:r>
        <w:t xml:space="preserve">Appendix A: Test Results Summary</w:t>
      </w:r>
    </w:p>
    <w:p>
      <w:pPr>
        <w:shd w:fill="F0F0F0" w:val="clear"/>
        <w:spacing w:after="100" w:before="100"/>
      </w:pPr>
      <w:r>
        <w:t xml:space="preserve">pytest tests/ -v
===================== 90 passed in 0.21s =====================
Coverage:
- v0: 99% (85/85 lines)
- v1: 97% (242/252 lines)
- Total: 99% line coverage, 92% branch coverage</w:t>
      </w:r>
    </w:p>
    <w:p>
      <w:pPr>
        <w:pStyle w:val="Heading3"/>
        <w:spacing w:after="100" w:before="150"/>
      </w:pPr>
      <w:r>
        <w:t xml:space="preserve">Appendix B: v0 vs v1 Architectural Structure</w:t>
      </w:r>
    </w:p>
    <w:p>
      <w:pPr>
        <w:spacing w:after="100" w:line="240"/>
      </w:pPr>
      <w:r>
        <w:t xml:space="preserve">**v0 Architecture (Monolithic):**</w:t>
      </w:r>
    </w:p>
    <w:p>
      <w:pPr>
        <w:shd w:fill="F0F0F0" w:val="clear"/>
        <w:spacing w:after="100" w:before="10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00" w:line="240"/>
      </w:pPr>
      <w:r>
        <w:t xml:space="preserve">**v1 Architecture (Layered):**</w:t>
      </w:r>
    </w:p>
    <w:p>
      <w:pPr>
        <w:shd w:fill="F0F0F0" w:val="clear"/>
        <w:spacing w:after="100" w:before="10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pStyle w:val="Heading3"/>
        <w:spacing w:after="100" w:before="150"/>
      </w:pPr>
      <w:r>
        <w:t xml:space="preserve">Appendix C: Pricing Anomaly Evidence</w:t>
      </w:r>
    </w:p>
    <w:p>
      <w:pPr>
        <w:spacing w:after="100"/>
      </w:pPr>
      <w:r>
        <w:t xml:space="preserve">Documented anomaly at 24/25 seat boundary: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FF6F00" w:val="clear"/>
          </w:tcPr>
          <w:p>
            <w:r>
              <w:t xml:space="preserve">Scenario</w:t>
            </w:r>
          </w:p>
        </w:tc>
        <w:tc>
          <w:tcPr>
            <w:shd w:fill="FF6F00" w:val="clear"/>
          </w:tcPr>
          <w:p>
            <w:r>
              <w:t xml:space="preserve">Seats</w:t>
            </w:r>
          </w:p>
        </w:tc>
        <w:tc>
          <w:tcPr>
            <w:shd w:fill="FF6F00" w:val="clear"/>
          </w:tcPr>
          <w:p>
            <w:r>
              <w:t xml:space="preserve">Discount Tier</w:t>
            </w:r>
          </w:p>
        </w:tc>
        <w:tc>
          <w:tcPr>
            <w:shd w:fill="FF6F00" w:val="clear"/>
          </w:tcPr>
          <w:p>
            <w:r>
              <w:t xml:space="preserve">Total (inc. tax)</w:t>
            </w:r>
          </w:p>
        </w:tc>
        <w:tc>
          <w:tcPr>
            <w:shd w:fill="FF6F00" w:val="clear"/>
          </w:tcPr>
          <w:p>
            <w:r>
              <w:t xml:space="preserve">Change</w:t>
            </w:r>
          </w:p>
        </w:tc>
      </w:tr>
      <w:tr>
        <w:tc>
          <w:tcPr>
            <w:shd w:fill="FFF3E0" w:val="clear"/>
          </w:tcPr>
          <w:p>
            <w:r>
              <w:t xml:space="preserve">24 Pro (UK, monthly)</w:t>
            </w:r>
          </w:p>
        </w:tc>
        <w:tc>
          <w:tcPr>
            <w:shd w:fill="FFF3E0" w:val="clear"/>
          </w:tcPr>
          <w:p>
            <w:r>
              <w:t xml:space="preserve">24</w:t>
            </w:r>
          </w:p>
        </w:tc>
        <w:tc>
          <w:tcPr>
            <w:shd w:fill="FFF3E0" w:val="clear"/>
          </w:tcPr>
          <w:p>
            <w:r>
              <w:t xml:space="preserve">10%</w:t>
            </w:r>
          </w:p>
        </w:tc>
        <w:tc>
          <w:tcPr>
            <w:shd w:fill="FFF3E0" w:val="clear"/>
          </w:tcPr>
          <w:p>
            <w:r>
              <w:t xml:space="preserve">£596.16</w:t>
            </w:r>
          </w:p>
        </w:tc>
        <w:tc>
          <w:tcPr>
            <w:shd w:fill="FFF3E0" w:val="clear"/>
          </w:tcPr>
          <w:p>
            <w:r>
              <w:t xml:space="preserve">Baseline</w:t>
            </w:r>
          </w:p>
        </w:tc>
      </w:tr>
      <w:tr>
        <w:tc>
          <w:tcPr>
            <w:shd w:fill="FFCCCC" w:val="clear"/>
          </w:tcPr>
          <w:p>
            <w:r>
              <w:t xml:space="preserve">25 Pro (UK, monthly)</w:t>
            </w:r>
          </w:p>
        </w:tc>
        <w:tc>
          <w:tcPr>
            <w:shd w:fill="FFCCCC" w:val="clear"/>
          </w:tcPr>
          <w:p>
            <w:r>
              <w:t xml:space="preserve">25</w:t>
            </w:r>
          </w:p>
        </w:tc>
        <w:tc>
          <w:tcPr>
            <w:shd w:fill="FFCCCC" w:val="clear"/>
          </w:tcPr>
          <w:p>
            <w:r>
              <w:t xml:space="preserve">15%</w:t>
            </w:r>
          </w:p>
        </w:tc>
        <w:tc>
          <w:tcPr>
            <w:shd w:fill="FFCCCC" w:val="clear"/>
          </w:tcPr>
          <w:p>
            <w:r>
              <w:t xml:space="preserve">£586.50</w:t>
            </w:r>
          </w:p>
        </w:tc>
        <w:tc>
          <w:tcPr>
            <w:shd w:fill="FFCCCC" w:val="clear"/>
          </w:tcPr>
          <w:p>
            <w:r>
              <w:t xml:space="preserve">-£9.66 (1.6% LESS!)</w:t>
            </w:r>
          </w:p>
        </w:tc>
      </w:tr>
    </w:tbl>
    <w:p>
      <w:pPr>
        <w:shd w:fill="FFF8DC" w:val="clear"/>
        <w:spacing w:after="200" w:before="100"/>
      </w:pPr>
      <w:r>
        <w:t xml:space="preserve">Root Cause: The 15% discount applied to the full subtotal exceeds the revenue from 1 additional seat, resulting in lower total price for 25 seats. This is not a code defect but a business policy that requires stakeholder review.</w:t>
      </w:r>
    </w:p>
    <w:p>
      <w:pPr>
        <w:spacing w:after="100" w:line="240"/>
      </w:pPr>
      <w:r>
        <w:t xml:space="preserve">**24 Pro seats:** £684.00</w:t>
      </w:r>
    </w:p>
    <w:p>
      <w:pPr>
        <w:spacing w:after="100" w:line="240"/>
      </w:pPr>
      <w:r>
        <w:t xml:space="preserve">**25 Pro seats:** £675.00</w:t>
      </w:r>
    </w:p>
    <w:p>
      <w:pPr>
        <w:spacing w:after="100" w:line="240"/>
      </w:pPr>
      <w:r>
        <w:t xml:space="preserve">This behaviour is reproduced deterministically in v1 through the characterisation test suite and boundary-value tests at the 24/25 threshold.</w:t>
      </w:r>
    </w:p>
    <w:p>
      <w:pPr>
        <w:spacing w:after="100" w:line="240"/>
      </w:pPr>
      <w:r>
        <w:t xml:space="preserve">**Word count: [CALCULATE FROM FINAL DOCUMENT]**  </w:t>
      </w:r>
    </w:p>
    <w:p>
      <w:pPr>
        <w:spacing w:after="100" w:line="240"/>
      </w:pPr>
      <w:r>
        <w:t xml:space="preserve">**Date submitted: August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2026-08-23T16:49:25.514Z</dcterms:created>
  <dcterms:modified xsi:type="dcterms:W3CDTF">2026-08-23T16:49:25.514Z</dcterms:modified>
</cp:coreProperties>
</file>

<file path=docProps/custom.xml><?xml version="1.0" encoding="utf-8"?>
<Properties xmlns="http://schemas.openxmlformats.org/officeDocument/2006/custom-properties" xmlns:vt="http://schemas.openxmlformats.org/officeDocument/2006/docPropsVTypes"/>
</file>