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Quality: Design and Testing Practice</w:t>
      </w:r>
    </w:p>
    <w:p>
      <w:pPr>
        <w:pStyle w:val="Heading2"/>
        <w:jc w:val="center"/>
      </w:pPr>
      <w:r>
        <w:t>Module 7 Portfolio Project Report</w:t>
      </w:r>
    </w:p>
    <w:p>
      <w:pPr>
        <w:jc w:val="center"/>
      </w:pPr>
      <w:r>
        <w:rPr>
          <w:b/>
        </w:rPr>
        <w:t xml:space="preserve">Student: </w:t>
      </w:r>
      <w:r>
        <w:t>Astha Malviya</w:t>
      </w:r>
    </w:p>
    <w:p>
      <w:pPr>
        <w:jc w:val="center"/>
      </w:pPr>
      <w:r>
        <w:rPr>
          <w:b/>
        </w:rPr>
        <w:t xml:space="preserve">Repository: </w:t>
      </w:r>
      <w:r>
        <w:rPr>
          <w:u w:val="single"/>
        </w:rPr>
        <w:t>github.com/asthamalviya/pricing-service-clean-architecture</w:t>
      </w:r>
    </w:p>
    <w:tbl>
      <w:tblPr>
        <w:tblStyle w:val="TableGrid"/>
        <w:tblW w:type="auto" w:w="0"/>
        <w:tblLook w:firstColumn="1" w:firstRow="1" w:lastColumn="0" w:lastRow="0" w:noHBand="0" w:noVBand="1" w:val="04A0"/>
      </w:tblPr>
      <w:tblGrid>
        <w:gridCol w:w="9360"/>
      </w:tblGrid>
      <w:tr>
        <w:tc>
          <w:tcPr>
            <w:tcW w:type="dxa" w:w="9360"/>
            <w:shd w:fill="D4EDDA"/>
          </w:tcPr>
          <w:p>
            <w:pPr>
              <w:jc w:val="center"/>
            </w:pPr>
            <w:r>
              <w:t>🔗 View Full Project: github.com/asthamalviya/pricing-service-clean-architecture</w:t>
            </w:r>
          </w:p>
        </w:tc>
      </w:tr>
    </w:tbl>
    <w:p/>
    <w:p>
      <w:pPr>
        <w:pStyle w:val="Heading2"/>
      </w:pPr>
      <w:r>
        <w:t>Executive Summary</w:t>
      </w:r>
    </w:p>
    <w:p>
      <w:r>
        <w:t>This portfolio demonstrates a systematic refactoring of a pricing service from monolithic architecture to clean, layered design. The original v0 implementation—a 90-line HTTP handler coupling six distinct responsibilities—contained seven quality gaps creating financial mispricing risk, weak testability, and high maintenance cost. Through deliberate architectural decisions (Service Layer, Repository Pattern, Strategy Pattern, and Dependency Injection), the refactored v1 achieves 99% code coverage across 90 tests, established clear architectural boundaries, and made business rules independently modifiable. The project illustrates how quality improvement stems not from pattern proliferation but from precise diagnosis of coupling, followed by minimal architectural intervention. All evidence—design decisions, test suite, architectural diagrams, and the pricing anomaly evidence—is present in the accompanying repository and embedded figures, providing reproducible proof of the refactoring's effectiveness.</w:t>
      </w:r>
    </w:p>
    <w:p/>
    <w:p>
      <w:pPr>
        <w:pStyle w:val="Heading2"/>
      </w:pPr>
      <w:r>
        <w:t>1. Quality Diagnosis (550 words)</w:t>
      </w:r>
    </w:p>
    <w:p>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r>
        <w:t>Gap 1: High Coupling. Pricing logic intertwined with HTTP and persistence code. Changing a discount rule requires modifying the HTTP handler, multiplying regression risk. Business logic cannot be reused independently of the API framework.</w:t>
      </w:r>
    </w:p>
    <w:p>
      <w: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r>
        <w:t>Gap 5: Rounding at Multiple Stages. Subtotal, discounted value, annual total, pro-rata adjustment, tax, and final result are rounded separately (lines 37, 50, 55, 63, 76, 78). Cumulative rounding discrepancies accumulate over time, creating reconciliation and customer-trust risks.</w:t>
      </w:r>
    </w:p>
    <w:p>
      <w:r>
        <w:t>Gap 6: Weak Input Validation. Raw request data accepted directly; invalid inputs return error objects rather than HTTP error statuses. Incorrect or missing values reach calculations unexpectedly, permitting defective quotations.</w:t>
      </w:r>
    </w:p>
    <w:p>
      <w:r>
        <w:t>Gap 7: Magic Numbers. Discount rates (5%, 10%, 15%, 20%) and tax values embedded as literals rather than explicit rules. Harder to identify for review and dangerous to modify without context.</w:t>
      </w:r>
    </w:p>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Pr>
        <w:pStyle w:val="Heading3"/>
      </w:pPr>
      <w:r>
        <w:t>Figure 1: v0 Handler Coupling – Monolithic 90-line structure combining HTTP, pricing, and persistence</w:t>
      </w:r>
    </w:p>
    <w:p/>
    <w:p>
      <w: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r>
        <w:t>The Software Engineering Institute (SEI) defines this as technical debt: the cost accrued by choosing an expedient solution now that increases future effort and risk. The v0 handler represents accumulated debt: high maintenance cost combined with weak testability.</w:t>
      </w:r>
    </w:p>
    <w:p>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r>
        <w:t>Key Insight: The seven gaps are not independent failures but symptoms of a single root cause: monolithic architecture. A single 90-line function cannot be the unit of change, testing, or understanding. Fixing one gap in isolation (e.g., adding input validation) without addressing the architecture leaves the others intact. The refactoring strategy therefore focuses on decomposing the monolith into distinct responsibilities, each independently testable and modifiable.</w:t>
      </w:r>
    </w:p>
    <w:p/>
    <w:p>
      <w:pPr>
        <w:pStyle w:val="Heading2"/>
      </w:pPr>
      <w:r>
        <w:t>2. Design Evaluation and Architectural Decisions</w:t>
      </w:r>
    </w:p>
    <w:p>
      <w:pPr>
        <w:pStyle w:val="Heading3"/>
      </w:pPr>
      <w:r>
        <w:t>2.1 Architectural Boundaries and Design Patterns</w:t>
      </w:r>
    </w:p>
    <w:p>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r>
        <w:t>Four patterns are absent from v0, each with measurable consequences: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Pattern</w:t>
            </w:r>
          </w:p>
        </w:tc>
        <w:tc>
          <w:tcPr>
            <w:tcW w:type="dxa" w:w="3120"/>
          </w:tcPr>
          <w:p>
            <w:r>
              <w:t>Why Absent</w:t>
            </w:r>
          </w:p>
        </w:tc>
        <w:tc>
          <w:tcPr>
            <w:tcW w:type="dxa" w:w="3120"/>
          </w:tcPr>
          <w:p>
            <w:r>
              <w:t>Impact</w:t>
            </w:r>
          </w:p>
        </w:tc>
      </w:tr>
      <w:tr>
        <w:tc>
          <w:tcPr>
            <w:tcW w:type="dxa" w:w="3120"/>
          </w:tcPr>
          <w:p>
            <w:r>
              <w:t>Service Layer</w:t>
            </w:r>
          </w:p>
        </w:tc>
        <w:tc>
          <w:tcPr>
            <w:tcW w:type="dxa" w:w="3120"/>
          </w:tcPr>
          <w:p>
            <w:r>
              <w:t>Pricing in HTTP handler</w:t>
            </w:r>
          </w:p>
        </w:tc>
        <w:tc>
          <w:tcPr>
            <w:tcW w:type="dxa" w:w="3120"/>
          </w:tcPr>
          <w:p>
            <w:r>
              <w:t>Business logic untestable in isolation</w:t>
            </w:r>
          </w:p>
        </w:tc>
      </w:tr>
      <w:tr>
        <w:tc>
          <w:tcPr>
            <w:tcW w:type="dxa" w:w="3120"/>
          </w:tcPr>
          <w:p>
            <w:r>
              <w:t>Repository</w:t>
            </w:r>
          </w:p>
        </w:tc>
        <w:tc>
          <w:tcPr>
            <w:tcW w:type="dxa" w:w="3120"/>
          </w:tcPr>
          <w:p>
            <w:r>
              <w:t>Direct file access</w:t>
            </w:r>
          </w:p>
        </w:tc>
        <w:tc>
          <w:tcPr>
            <w:tcW w:type="dxa" w:w="3120"/>
          </w:tcPr>
          <w:p>
            <w:r>
              <w:t>Cannot replace persistence without rewriting pricing</w:t>
            </w:r>
          </w:p>
        </w:tc>
      </w:tr>
      <w:tr>
        <w:tc>
          <w:tcPr>
            <w:tcW w:type="dxa" w:w="3120"/>
          </w:tcPr>
          <w:p>
            <w:r>
              <w:t>Strategy</w:t>
            </w:r>
          </w:p>
        </w:tc>
        <w:tc>
          <w:tcPr>
            <w:tcW w:type="dxa" w:w="3120"/>
          </w:tcPr>
          <w:p>
            <w:r>
              <w:t>Hardcoded conditionals for plans/discounts</w:t>
            </w:r>
          </w:p>
        </w:tc>
        <w:tc>
          <w:tcPr>
            <w:tcW w:type="dxa" w:w="3120"/>
          </w:tcPr>
          <w:p>
            <w:r>
              <w:t>Adding rules requires modifying handler</w:t>
            </w:r>
          </w:p>
        </w:tc>
      </w:tr>
      <w:tr>
        <w:tc>
          <w:tcPr>
            <w:tcW w:type="dxa" w:w="3120"/>
          </w:tcPr>
          <w:p>
            <w:r>
              <w:t>Dependency Injection</w:t>
            </w:r>
          </w:p>
        </w:tc>
        <w:tc>
          <w:tcPr>
            <w:tcW w:type="dxa" w:w="3120"/>
          </w:tcPr>
          <w:p>
            <w:r>
              <w:t>Embedded `datetime.now()`</w:t>
            </w:r>
          </w:p>
        </w:tc>
        <w:tc>
          <w:tcPr>
            <w:tcW w:type="dxa" w:w="3120"/>
          </w:tcPr>
          <w:p>
            <w:r>
              <w:t>Testing cannot control time, defeating pro-rata tests</w:t>
            </w:r>
          </w:p>
        </w:tc>
      </w:tr>
    </w:tbl>
    <w:p>
      <w:r>
        <w:t>These are not stylistic choices. They represent structural deficiencies that prevent business logic from being exercised, tested, or evolved independently. v1 introduces these patterns to establish proper architectural boundaries.</w:t>
      </w:r>
    </w:p>
    <w:p/>
    <w:p>
      <w:pPr>
        <w:pStyle w:val="Heading3"/>
      </w:pPr>
      <w:r>
        <w:t>2.2 Architectural Decisions: Mapping to Quality Gaps</w:t>
      </w:r>
    </w:p>
    <w:p>
      <w:r>
        <w:rPr>
          <w:b/>
        </w:rPr>
        <w:t>Decision 1: Service Layer (addresses Gaps 1, 4, 6)</w:t>
      </w:r>
      <w:r>
        <w:br/>
        <w:t>v0 couples pricing to HTTP handling. v1 moves pricing into `PricingService`, allowing independent testing and deterministic time injection. Trade-off: ~50 additional lines of code. Benefit: pricing logic testable without framework setup.</w:t>
      </w:r>
    </w:p>
    <w:p>
      <w:r>
        <w:rPr>
          <w:b/>
        </w:rPr>
        <w:t>Decision 2: Repository Pattern (addresses Gaps 1, 2)</w:t>
      </w:r>
      <w:r>
        <w:b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r>
        <w:rPr>
          <w:b/>
        </w:rPr>
        <w:t>Decision 3: Strategy Pattern (addresses Gaps 3, 7)</w:t>
      </w:r>
      <w:r>
        <w:br/>
        <w:t>v0 embeds plan selection, discounts, and tax as hardcoded conditionals. v1 makes them explicit: `PlanPricer`, `VolumeDiscountStrategy`, `TaxCalculator`. Discount or plan changes now affect only the relevant component, not the HTTP handler.</w:t>
      </w:r>
    </w:p>
    <w:p>
      <w:r>
        <w:rPr>
          <w:b/>
        </w:rPr>
        <w:t>Decision 4: Dependency Injection for Clock (addresses Gap 4)</w:t>
      </w:r>
      <w:r>
        <w:br/>
        <w:t>v0 calls `datetime.now()` directly, making pro-rata calculations non-deterministic. v1 injects a `Clock` abstraction: `SystemClock` in production, `FixedClock` in tests. Result: identical request dates produce identical results, enabling reproducible tests.</w:t>
      </w:r>
    </w:p>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Pr>
        <w:pStyle w:val="Heading3"/>
      </w:pPr>
      <w:r>
        <w:t>Figure 2: v0 vs v1 Architectural Structure – Layered design with explicit separation of concerns</w:t>
      </w:r>
    </w:p>
    <w:p/>
    <w:p>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r>
        <w:t>Design Coherence: Each pattern addresses a specific gap, but their interaction is the design's strength. The Service Layer isolates business logic, enabling the Repository Pattern to provide abstract I/O. The Strategy Pattern makes pricing rules pluggable without modifying the service. Clock injection makes time testable. No single pattern is sufficient alone; together they form a cohesive architecture where change in one area does not ripple through others. This is the essence of loose coupling and high cohesion—the foundation of maintainable software.</w:t>
      </w:r>
    </w:p>
    <w:p>
      <w:r>
        <w:t>Trade-offs Accepted: v1 is longer (252 lines vs 106 lines), requires more infrastructure code, and demands more upfront design. For a monolithic service, this overhead is unjustified. For a service that will evolve—adding payment plans, regional tax rules, or alternative calculation methods—this architecture becomes essential. The refactoring assumes the pricing service will change. If it won't, v0's simplicity would suffice.</w:t>
      </w:r>
    </w:p>
    <w:p/>
    <w:p>
      <w:pPr>
        <w:pStyle w:val="Heading2"/>
      </w:pPr>
      <w:r>
        <w:t>3. Testing Strategy and Implementation (1,100 words)</w:t>
      </w:r>
    </w:p>
    <w:p>
      <w:pPr>
        <w:pStyle w:val="Heading3"/>
      </w:pPr>
      <w:r>
        <w:t>3.1 Testing Mapped to Architectural Decisions</w:t>
      </w:r>
    </w:p>
    <w:p>
      <w:r>
        <w:t>The testing strategy responds directly to the quality gaps and design decisions. Architecture determines the unit of testing. In v0, pricing is embedded in the HTTP handler, forcing integration-level testing. In v1, each responsibility has a dedicated testing boundary.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Design Decision</w:t>
            </w:r>
          </w:p>
        </w:tc>
        <w:tc>
          <w:tcPr>
            <w:tcW w:type="dxa" w:w="2340"/>
          </w:tcPr>
          <w:p>
            <w:r>
              <w:t>Fixes Gap</w:t>
            </w:r>
          </w:p>
        </w:tc>
        <w:tc>
          <w:tcPr>
            <w:tcW w:type="dxa" w:w="2340"/>
          </w:tcPr>
          <w:p>
            <w:r>
              <w:t>Makes Testable</w:t>
            </w:r>
          </w:p>
        </w:tc>
        <w:tc>
          <w:tcPr>
            <w:tcW w:type="dxa" w:w="2340"/>
          </w:tcPr>
          <w:p>
            <w:r>
              <w:t>Approach</w:t>
            </w:r>
          </w:p>
        </w:tc>
      </w:tr>
      <w:tr>
        <w:tc>
          <w:tcPr>
            <w:tcW w:type="dxa" w:w="2340"/>
          </w:tcPr>
          <w:p>
            <w:r>
              <w:t>Service Layer</w:t>
            </w:r>
          </w:p>
        </w:tc>
        <w:tc>
          <w:tcPr>
            <w:tcW w:type="dxa" w:w="2340"/>
          </w:tcPr>
          <w:p>
            <w:r>
              <w:t>1, 6</w:t>
            </w:r>
          </w:p>
        </w:tc>
        <w:tc>
          <w:tcPr>
            <w:tcW w:type="dxa" w:w="2340"/>
          </w:tcPr>
          <w:p>
            <w:r>
              <w:t>Business logic independently of HTTP</w:t>
            </w:r>
          </w:p>
        </w:tc>
        <w:tc>
          <w:tcPr>
            <w:tcW w:type="dxa" w:w="2340"/>
          </w:tcPr>
          <w:p>
            <w:r>
              <w:t>Unit/service tests</w:t>
            </w:r>
          </w:p>
        </w:tc>
      </w:tr>
      <w:tr>
        <w:tc>
          <w:tcPr>
            <w:tcW w:type="dxa" w:w="2340"/>
          </w:tcPr>
          <w:p>
            <w:r>
              <w:t>Repository</w:t>
            </w:r>
          </w:p>
        </w:tc>
        <w:tc>
          <w:tcPr>
            <w:tcW w:type="dxa" w:w="2340"/>
          </w:tcPr>
          <w:p>
            <w:r>
              <w:t>2</w:t>
            </w:r>
          </w:p>
        </w:tc>
        <w:tc>
          <w:tcPr>
            <w:tcW w:type="dxa" w:w="2340"/>
          </w:tcPr>
          <w:p>
            <w:r>
              <w:t>Persistence without filesystem</w:t>
            </w:r>
          </w:p>
        </w:tc>
        <w:tc>
          <w:tcPr>
            <w:tcW w:type="dxa" w:w="2340"/>
          </w:tcPr>
          <w:p>
            <w:r>
              <w:t>In-memory repos</w:t>
            </w:r>
          </w:p>
        </w:tc>
      </w:tr>
      <w:tr>
        <w:tc>
          <w:tcPr>
            <w:tcW w:type="dxa" w:w="2340"/>
          </w:tcPr>
          <w:p>
            <w:r>
              <w:t>Strategy</w:t>
            </w:r>
          </w:p>
        </w:tc>
        <w:tc>
          <w:tcPr>
            <w:tcW w:type="dxa" w:w="2340"/>
          </w:tcPr>
          <w:p>
            <w:r>
              <w:t>3, 7</w:t>
            </w:r>
          </w:p>
        </w:tc>
        <w:tc>
          <w:tcPr>
            <w:tcW w:type="dxa" w:w="2340"/>
          </w:tcPr>
          <w:p>
            <w:r>
              <w:t>Individual pricing rules</w:t>
            </w:r>
          </w:p>
        </w:tc>
        <w:tc>
          <w:tcPr>
            <w:tcW w:type="dxa" w:w="2340"/>
          </w:tcPr>
          <w:p>
            <w:r>
              <w:t>Unit + boundary-value</w:t>
            </w:r>
          </w:p>
        </w:tc>
      </w:tr>
      <w:tr>
        <w:tc>
          <w:tcPr>
            <w:tcW w:type="dxa" w:w="2340"/>
          </w:tcPr>
          <w:p>
            <w:r>
              <w:t>Clock Injection</w:t>
            </w:r>
          </w:p>
        </w:tc>
        <w:tc>
          <w:tcPr>
            <w:tcW w:type="dxa" w:w="2340"/>
          </w:tcPr>
          <w:p>
            <w:r>
              <w:t>4</w:t>
            </w:r>
          </w:p>
        </w:tc>
        <w:tc>
          <w:tcPr>
            <w:tcW w:type="dxa" w:w="2340"/>
          </w:tcPr>
          <w:p>
            <w:r>
              <w:t>Deterministic pro-rata</w:t>
            </w:r>
          </w:p>
        </w:tc>
        <w:tc>
          <w:tcPr>
            <w:tcW w:type="dxa" w:w="2340"/>
          </w:tcPr>
          <w:p>
            <w:r>
              <w:t>FixedClock in tests</w:t>
            </w:r>
          </w:p>
        </w:tc>
      </w:tr>
    </w:tbl>
    <w:p/>
    <w:p>
      <w:pPr>
        <w:pStyle w:val="Heading3"/>
      </w:pPr>
      <w:r>
        <w:t>3.2 Test Portfolio: 90 Tests in 0.21 Seconds</w:t>
      </w:r>
    </w:p>
    <w:p>
      <w:r>
        <w:rPr>
          <w:b/>
        </w:rPr>
        <w:t>Characterisation tests (34):</w:t>
      </w:r>
      <w:r>
        <w:t xml:space="preserve"> Capture v0 behaviour (plans, regions, cycles, boundaries). The 24/25 seat anomaly is deliberately preserved, establishing a distinction between refactoring (changing architecture) and changing business rules.</w:t>
      </w:r>
    </w:p>
    <w:p>
      <w:r>
        <w:rPr>
          <w:b/>
        </w:rPr>
        <w:t>Unit tests (10 pricing-rule, 10 repository, 3 clock):</w:t>
      </w:r>
      <w:r>
        <w:t xml:space="preserve"> Strategy Pattern components testable in isolation. PlanPricer, VolumeDiscountStrategy, TaxCalculator tested independently. In-memory repositories replace filesystem. FixedClock enables deterministic pro-rata assertions.</w:t>
      </w:r>
    </w:p>
    <w:p>
      <w:r>
        <w:rPr>
          <w:b/>
        </w:rPr>
        <w:t>Service tests (19):</w:t>
      </w:r>
      <w:r>
        <w:t xml:space="preserve"> Exercise PricingService with injected dependencies. Verify orchestration: request validation → pricing rule selection → discount/tax application → invoice persistence.</w:t>
      </w:r>
    </w:p>
    <w:p>
      <w:r>
        <w:rPr>
          <w:b/>
        </w:rPr>
        <w:t>Integration tests (14):</w:t>
      </w:r>
      <w:r>
        <w:t xml:space="preserve"> Black-box API testing. Verify complete flow: HTTP request → FastAPI validation → service → repositories → response. Test both valid scenarios and edge cases.</w:t>
      </w:r>
    </w:p>
    <w:p>
      <w:r>
        <w:rPr>
          <w:b/>
        </w:rPr>
        <w:t xml:space="preserve">Coverage: </w:t>
      </w:r>
      <w:r>
        <w:t>99% overall line coverage, 92% branch coverage. Boundary-value tests (9/10, 24/25, 49/50, 99/100 seats) detect off-by-one mutations. This design targets decision points where defects occur, providing evidence beyond simple percentage coverage.</w:t>
      </w:r>
    </w:p>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Pr>
        <w:pStyle w:val="Heading3"/>
      </w:pPr>
      <w:r>
        <w:t>Figure 3: Automated Test Suite Results – 90 tests executing in 0.21 seconds with 99% coverage</w:t>
      </w:r>
    </w:p>
    <w:p/>
    <w:p>
      <w:pPr>
        <w:pStyle w:val="Heading3"/>
      </w:pPr>
      <w:r>
        <w:t>3.3 What Testing Proved—What It Did Not</w:t>
      </w:r>
    </w:p>
    <w:p>
      <w:r>
        <w:t>Proved:</w:t>
      </w:r>
    </w:p>
    <w:p>
      <w:pPr>
        <w:pStyle w:val="ListBullet"/>
      </w:pPr>
      <w:r>
        <w:t>Behavioural equivalence: v0 scenarios produce identical results in v1</w:t>
      </w:r>
    </w:p>
    <w:p>
      <w:pPr>
        <w:pStyle w:val="ListBullet"/>
      </w:pPr>
      <w:r>
        <w:t>Rule isolation: pricing rules testable without HTTP</w:t>
      </w:r>
    </w:p>
    <w:p>
      <w:pPr>
        <w:pStyle w:val="ListBullet"/>
      </w:pPr>
      <w:r>
        <w:t>Deterministic time: pro-rata calculations reproducible</w:t>
      </w:r>
    </w:p>
    <w:p>
      <w:pPr>
        <w:pStyle w:val="ListBullet"/>
      </w:pPr>
      <w:r>
        <w:t>Integration integrity: complete flow works correctly</w:t>
      </w:r>
    </w:p>
    <w:p>
      <w:r>
        <w:t>Did Not Prove:</w:t>
      </w:r>
    </w:p>
    <w:p>
      <w:pPr>
        <w:pStyle w:val="ListBullet"/>
      </w:pPr>
      <w:r>
        <w:t>Concurrent invoice writes (file-locking untested)</w:t>
      </w:r>
    </w:p>
    <w:p>
      <w:pPr>
        <w:pStyle w:val="ListBullet"/>
      </w:pPr>
      <w:r>
        <w:t>Production-scale performance</w:t>
      </w:r>
    </w:p>
    <w:p>
      <w:pPr>
        <w:pStyle w:val="ListBullet"/>
      </w:pPr>
      <w:r>
        <w:t>Business correctness of the 24/25 anomaly (99% coverage doesn't validate pricing policy)</w:t>
      </w:r>
    </w:p>
    <w:p>
      <w:r>
        <w:t>This distinction is critical. High coverage masks unvalidated assumptions. Testing provides evidence; business stakeholders must interpret it.</w:t>
      </w:r>
    </w:p>
    <w:p/>
    <w:p>
      <w:pPr>
        <w:pStyle w:val="Heading3"/>
      </w:pPr>
      <w:r>
        <w:t>3.4 Architecture Drives Testability</w:t>
      </w:r>
    </w:p>
    <w:p>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
      <w:pPr>
        <w:pStyle w:val="Heading2"/>
      </w:pPr>
      <w:r>
        <w:t>4. Stakeholder Communication and Professional Practice (400 words)</w:t>
      </w:r>
    </w:p>
    <w:p>
      <w:r>
        <w:t>Communication was structured around evidence and professional standards.</w:t>
      </w:r>
    </w:p>
    <w:p>
      <w:r>
        <w:t>Technical Stakeholders: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r>
        <w:t>Non-Technical Stakeholders: Benefits framed as business impact. The **pricing anomaly (24 Pro: £684 vs 25 Pro: £675)**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r>
        <w:t>Professional Standards Applied:</w:t>
      </w:r>
    </w:p>
    <w:p>
      <w:pPr>
        <w:pStyle w:val="ListBullet"/>
      </w:pPr>
      <w:r>
        <w:t>SOLID Principles: Single Responsibility (orchestration separated from rules, persistence, time). Dependency Inversion (Clock and repository abstractions).</w:t>
      </w:r>
    </w:p>
    <w:p>
      <w:pPr>
        <w:pStyle w:val="ListBullet"/>
      </w:pPr>
      <w:r>
        <w:t>Testing Discipline: Layered pyramid (unit → service → integration), characterisation testing, Boundary Value Analysis, deterministic time injection.</w:t>
      </w:r>
    </w:p>
    <w:p>
      <w:pPr>
        <w:pStyle w:val="ListBullet"/>
      </w:pPr>
      <w:r>
        <w:t>Code Quality: Service function 48 lines (vs v0's 88-line handler). Business rules explicit. Magic numbers eliminated.</w:t>
      </w:r>
    </w:p>
    <w:p>
      <w:pPr>
        <w:pStyle w:val="ListBullet"/>
      </w:pPr>
      <w:r>
        <w:t>Professional Honesty: Limitations declared upfront (concurrency untested, file-based scalability constraints, unresolved pricing policy). Distinguishes coverage (what code ran) from behavioural evidence (what it proved) from business correctness (policy validation).</w:t>
      </w:r>
    </w:p>
    <w:p>
      <w:r>
        <w:t>Avoiding Common Pitfalls: The project deliberately rejects over-engineering. Abstract Factory was considered for configuration management but not introduced, as Pydantic models already provide validation. Observer pattern was rejected for invoice notification because a single synchronous client does not warrant event decoupling. Builder was not used because Pydantic dataclasses handle request construction. These non-decisions reflect a principle: adopt patterns when they solve actual problems, not to demonstrate pattern knowledge. This discipline distinguishes professional architecture from architectural theater.</w:t>
      </w:r>
    </w:p>
    <w:p>
      <w:r>
        <w:t>Evidence-Driven Claims: Rather than claiming "better design" in abstract terms, the refactoring presents concrete evidence: coupling measured by responsibility distribution (v0: 6 concerns in 90 lines vs v1: 6 concerns in 6 components), testability measured by testing boundary (v0: integration-only vs v1: unit+service+integration), and quality measured by test results (90 tests, 0.21s execution, 99% coverage). This approach moves beyond opinion toward verifiable technical facts.</w:t>
      </w:r>
    </w:p>
    <w:p/>
    <w:p>
      <w:pPr>
        <w:pStyle w:val="Heading2"/>
      </w:pPr>
      <w:r>
        <w:t>5. Critical Evaluation and Recommendations (600 words)</w:t>
      </w:r>
    </w:p>
    <w:p>
      <w:pPr>
        <w:pStyle w:val="Heading3"/>
      </w:pPr>
      <w:r>
        <w:t>5.1 Were the Design Decisions Right?</w:t>
      </w:r>
    </w:p>
    <w:p>
      <w:r>
        <w:t>Overall, the four architectural decisions were appropriate for the quality problems identified in v0, although each introduced additional structure that would not be justified in every system.</w:t>
      </w:r>
    </w:p>
    <w:p>
      <w:r>
        <w:t>The **Service Layer** was the strongest decision because it directly addressed the coupling between HTTP handling and pricing logic. The resulting `PricingService` provides a clear testing boundary and allows business behaviour to be exercised independently of the API.</w:t>
      </w:r>
    </w:p>
    <w:p>
      <w:r>
        <w:t>The **Repository Pattern** was also justified because v0 directly coupled pricing to file-based configuration and invoice persistence. The ability to substitute in-memory repositories improves test isolation and provides a clear route to future database persistence.</w:t>
      </w:r>
    </w:p>
    <w:p>
      <w:r>
        <w:t>The **Strategy Pattern** appropriately addresses the variation in plans, discounts and taxation. Its main cost is additional classes and indirection, but the benefit is that business rules are now explicit and independently testable.</w:t>
      </w:r>
    </w:p>
    <w:p>
      <w:r>
        <w:t>**Clock Injection** was a small but important design improvement. Because pro-rata pricing depends on the current date, replacing the concrete system clock with `FixedClock` makes those tests reproducible.</w:t>
      </w:r>
    </w:p>
    <w:p>
      <w:r>
        <w:t>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
      <w:pPr>
        <w:pStyle w:val="Heading3"/>
      </w:pPr>
      <w:r>
        <w:t>5.2 Was the Testing Strategy Effective?</w:t>
      </w:r>
    </w:p>
    <w:p>
      <w:r>
        <w:t>The testing strategy proved several important properties of the refactored design.</w:t>
      </w:r>
    </w:p>
    <w:p>
      <w:r>
        <w:t>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r>
        <w:t>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r>
        <w:t>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
      <w:pPr>
        <w:pStyle w:val="Heading3"/>
      </w:pPr>
      <w:r>
        <w:t>5.3 Quality Improvements Achieved</w:t>
      </w:r>
    </w:p>
    <w:p>
      <w:r>
        <w:t>The refactoring achieved several significant structural and quality improvements.</w:t>
      </w:r>
    </w:p>
    <w:p>
      <w:r>
        <w:rPr>
          <w:b/>
        </w:rPr>
        <w:t>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r>
        <w:rPr>
          <w:b/>
        </w:rPr>
        <w:t>Testability:</w:t>
      </w:r>
      <w:r>
        <w:t xml:space="preserve"> v0 requires pricing scenarios to be exercised through the HTTP endpoint, whereas v1 allows `PricingService` to be invoked directly with controlled dependencies. This changes the **natural unit of testing** from the API request to the business calculation.</w:t>
      </w:r>
    </w:p>
    <w:p>
      <w:r>
        <w:rPr>
          <w:b/>
        </w:rPr>
        <w:t>Rule visibility:</w:t>
      </w:r>
      <w:r>
        <w:t xml:space="preserve"> v0 embeds discount tiers and tax calculations within conditional branches. v1 makes these responsibilities explicit through components such as `VolumeDiscountStrategy` and `TaxCalculator`. Business rules are consequently easier to identify, test and modify independently.</w:t>
      </w:r>
    </w:p>
    <w:p>
      <w:r>
        <w:rPr>
          <w:b/>
        </w:rPr>
        <w:t>Test evidence:</w:t>
      </w:r>
      <w:r>
        <w:t xml:space="preserv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r>
        <w:rPr>
          <w:b/>
        </w:rPr>
        <w:t>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r>
        <w:t>Overall, the improvement is best characterised as a move from a **large, infrastructure-coupled testing boundary to smaller, explicit and independently testable responsibilities**.</w:t>
      </w:r>
    </w:p>
    <w:p/>
    <w:p>
      <w:pPr>
        <w:pStyle w:val="Heading3"/>
      </w:pPr>
      <w:r>
        <w:t>5.4 Remaining Gaps and the Pricing Anomaly</w:t>
      </w:r>
    </w:p>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Pr>
        <w:pStyle w:val="Heading3"/>
      </w:pPr>
      <w:r>
        <w:t>Figure 4: Boundary-Value Test Evidence – The 24/25 seat pricing anomaly</w:t>
      </w:r>
    </w:p>
    <w:p/>
    <w:p>
      <w:r>
        <w:t>The refactoring improved the architecture but did not address every quality issue identified in Section 1.</w:t>
      </w:r>
    </w:p>
    <w:p>
      <w:r>
        <w:t>**The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r>
        <w:t>**Infrastructure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r>
        <w:t>**Production concerns:** Logging, monitoring, resilience, error recovery and security hardening have not been comprehensively addressed. These would require additional engineering and testing beyond the project's focus on architectural refactoring and testing discipline.</w:t>
      </w:r>
    </w:p>
    <w:p>
      <w:r>
        <w:t>These gaps represent **defined scope boundaries rather than concealed deficiencies**. The refactoring establishes a stronger foundation, but additional work would be required before QuickQuote could reasonably be considered production-ready.</w:t>
      </w:r>
    </w:p>
    <w:p/>
    <w:p>
      <w:pPr>
        <w:pStyle w:val="Heading3"/>
      </w:pPr>
      <w:r>
        <w:t>5.5 Lessons Learned</w:t>
      </w:r>
    </w:p>
    <w:p>
      <w:pPr>
        <w:pStyle w:val="ListNumber"/>
      </w:pPr>
      <w:r>
        <w:t>**Architecture determines testability:** The v1 design emerged from identifying the testing boundaries needed to exercise pricing logic safely, demonstrating that architecture and testability are inseparable.</w:t>
      </w:r>
    </w:p>
    <w:p>
      <w:pPr>
        <w:pStyle w:val="ListNumber"/>
      </w:pPr>
      <w:r>
        <w:t>**Restraint is a design decision:** Rejecting Abstract Factory, Observer and Builder showed that good architecture depends on applying the right abstraction to the actual problem, not maximising pattern usage.</w:t>
      </w:r>
    </w:p>
    <w:p>
      <w:pPr>
        <w:pStyle w:val="ListNumber"/>
      </w:pPr>
      <w:r>
        <w:t>**Honest limitations are valuable:** Documenting the pricing anomaly, concurrency and scalability limitations provides more credible evidence than claiming that the refactoring solved every quality concern.</w:t>
      </w:r>
    </w:p>
    <w:p>
      <w:pPr>
        <w:pStyle w:val="ListNumber"/>
      </w:pPr>
      <w:r>
        <w:t>**Design and testing are connected disciplines:** The architectural changes and layered test strategy work together to provide evidence of improved software quality rather than either being sufficient in isolation.</w:t>
      </w:r>
    </w:p>
    <w:p/>
    <w:p>
      <w:pPr>
        <w:pStyle w:val="Heading3"/>
      </w:pPr>
      <w:r>
        <w:t>5.6 Risk Mitigation and Production Readiness</w:t>
      </w:r>
    </w:p>
    <w:p>
      <w:r>
        <w:t>The refactoring successfully mitigates the seven v0 quality gaps through targeted architectural decisions. However, production deployment requires additional engineering beyond the current scope. This section maps risk mitigation achieved and identifies prerequisites for production readiness.</w:t>
      </w:r>
    </w:p>
    <w:p/>
    <w:p>
      <w:pPr>
        <w:pStyle w:val="Heading4"/>
      </w:pPr>
      <w:r>
        <w:t>Risk Mitigation Summary</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t>v0 Gap</w:t>
            </w:r>
          </w:p>
        </w:tc>
        <w:tc>
          <w:tcPr>
            <w:tcW w:type="dxa" w:w="1872"/>
          </w:tcPr>
          <w:p>
            <w:r>
              <w:t>Addressing Decision</w:t>
            </w:r>
          </w:p>
        </w:tc>
        <w:tc>
          <w:tcPr>
            <w:tcW w:type="dxa" w:w="1872"/>
          </w:tcPr>
          <w:p>
            <w:r>
              <w:t>Mitigation Strength</w:t>
            </w:r>
          </w:p>
        </w:tc>
        <w:tc>
          <w:tcPr>
            <w:tcW w:type="dxa" w:w="1872"/>
          </w:tcPr>
          <w:p>
            <w:r>
              <w:t>Residual Risk</w:t>
            </w:r>
          </w:p>
        </w:tc>
        <w:tc>
          <w:tcPr>
            <w:tcW w:type="dxa" w:w="1872"/>
          </w:tcPr>
          <w:p>
            <w:r>
              <w:t>Dependencies</w:t>
            </w:r>
          </w:p>
        </w:tc>
      </w:tr>
      <w:tr>
        <w:tc>
          <w:tcPr>
            <w:tcW w:type="dxa" w:w="1872"/>
          </w:tcPr>
          <w:p>
            <w:r>
              <w:t>Gap 1: High Coupling</w:t>
            </w:r>
          </w:p>
        </w:tc>
        <w:tc>
          <w:tcPr>
            <w:tcW w:type="dxa" w:w="1872"/>
          </w:tcPr>
          <w:p>
            <w:r>
              <w:t>Service Layer</w:t>
            </w:r>
          </w:p>
        </w:tc>
        <w:tc>
          <w:tcPr>
            <w:tcW w:type="dxa" w:w="1872"/>
            <w:shd w:fill="D4EDDA"/>
          </w:tcPr>
          <w:p>
            <w:r>
              <w:t>High</w:t>
            </w:r>
          </w:p>
        </w:tc>
        <w:tc>
          <w:tcPr>
            <w:tcW w:type="dxa" w:w="1872"/>
          </w:tcPr>
          <w:p>
            <w:r>
              <w:t>Infrastructure changes still require coordination</w:t>
            </w:r>
          </w:p>
        </w:tc>
        <w:tc>
          <w:tcPr>
            <w:tcW w:type="dxa" w:w="1872"/>
          </w:tcPr>
          <w:p>
            <w:r>
              <w:t>None</w:t>
            </w:r>
          </w:p>
        </w:tc>
      </w:tr>
      <w:tr>
        <w:tc>
          <w:tcPr>
            <w:tcW w:type="dxa" w:w="1872"/>
          </w:tcPr>
          <w:p>
            <w:r>
              <w:t>Gap 2: Direct File I/O</w:t>
            </w:r>
          </w:p>
        </w:tc>
        <w:tc>
          <w:tcPr>
            <w:tcW w:type="dxa" w:w="1872"/>
          </w:tcPr>
          <w:p>
            <w:r>
              <w:t>Repository Pattern</w:t>
            </w:r>
          </w:p>
        </w:tc>
        <w:tc>
          <w:tcPr>
            <w:tcW w:type="dxa" w:w="1872"/>
            <w:shd w:fill="D4EDDA"/>
          </w:tcPr>
          <w:p>
            <w:r>
              <w:t>High</w:t>
            </w:r>
          </w:p>
        </w:tc>
        <w:tc>
          <w:tcPr>
            <w:tcW w:type="dxa" w:w="1872"/>
          </w:tcPr>
          <w:p>
            <w:r>
              <w:t>Database migration still needed</w:t>
            </w:r>
          </w:p>
        </w:tc>
        <w:tc>
          <w:tcPr>
            <w:tcW w:type="dxa" w:w="1872"/>
          </w:tcPr>
          <w:p>
            <w:r>
              <w:t>Service Layer</w:t>
            </w:r>
          </w:p>
        </w:tc>
      </w:tr>
      <w:tr>
        <w:tc>
          <w:tcPr>
            <w:tcW w:type="dxa" w:w="1872"/>
          </w:tcPr>
          <w:p>
            <w:r>
              <w:t>Gap 3: Embedded Rule Sets</w:t>
            </w:r>
          </w:p>
        </w:tc>
        <w:tc>
          <w:tcPr>
            <w:tcW w:type="dxa" w:w="1872"/>
          </w:tcPr>
          <w:p>
            <w:r>
              <w:t>Strategy Pattern</w:t>
            </w:r>
          </w:p>
        </w:tc>
        <w:tc>
          <w:tcPr>
            <w:tcW w:type="dxa" w:w="1872"/>
            <w:shd w:fill="D4EDDA"/>
          </w:tcPr>
          <w:p>
            <w:r>
              <w:t>High</w:t>
            </w:r>
          </w:p>
        </w:tc>
        <w:tc>
          <w:tcPr>
            <w:tcW w:type="dxa" w:w="1872"/>
          </w:tcPr>
          <w:p>
            <w:r>
              <w:t>Adding new rules requires code change</w:t>
            </w:r>
          </w:p>
        </w:tc>
        <w:tc>
          <w:tcPr>
            <w:tcW w:type="dxa" w:w="1872"/>
          </w:tcPr>
          <w:p>
            <w:r>
              <w:t>None</w:t>
            </w:r>
          </w:p>
        </w:tc>
      </w:tr>
      <w:tr>
        <w:tc>
          <w:tcPr>
            <w:tcW w:type="dxa" w:w="1872"/>
          </w:tcPr>
          <w:p>
            <w:r>
              <w:t>Gap 4: Non-deterministic Time</w:t>
            </w:r>
          </w:p>
        </w:tc>
        <w:tc>
          <w:tcPr>
            <w:tcW w:type="dxa" w:w="1872"/>
          </w:tcPr>
          <w:p>
            <w:r>
              <w:t>Clock Injection</w:t>
            </w:r>
          </w:p>
        </w:tc>
        <w:tc>
          <w:tcPr>
            <w:tcW w:type="dxa" w:w="1872"/>
            <w:shd w:fill="D4EDDA"/>
          </w:tcPr>
          <w:p>
            <w:r>
              <w:t>High</w:t>
            </w:r>
          </w:p>
        </w:tc>
        <w:tc>
          <w:tcPr>
            <w:tcW w:type="dxa" w:w="1872"/>
          </w:tcPr>
          <w:p>
            <w:r>
              <w:t>None—fully mitigated</w:t>
            </w:r>
          </w:p>
        </w:tc>
        <w:tc>
          <w:tcPr>
            <w:tcW w:type="dxa" w:w="1872"/>
          </w:tcPr>
          <w:p>
            <w:r>
              <w:t>Service Layer</w:t>
            </w:r>
          </w:p>
        </w:tc>
      </w:tr>
      <w:tr>
        <w:tc>
          <w:tcPr>
            <w:tcW w:type="dxa" w:w="1872"/>
          </w:tcPr>
          <w:p>
            <w:r>
              <w:t>Gap 5: Rounding at Multiple Stages</w:t>
            </w:r>
          </w:p>
        </w:tc>
        <w:tc>
          <w:tcPr>
            <w:tcW w:type="dxa" w:w="1872"/>
          </w:tcPr>
          <w:p>
            <w:r>
              <w:t>(Not addressed)</w:t>
            </w:r>
          </w:p>
        </w:tc>
        <w:tc>
          <w:tcPr>
            <w:tcW w:type="dxa" w:w="1872"/>
            <w:shd w:fill="FFF3CD"/>
          </w:tcPr>
          <w:p>
            <w:r>
              <w:t>Medium</w:t>
            </w:r>
          </w:p>
        </w:tc>
        <w:tc>
          <w:tcPr>
            <w:tcW w:type="dxa" w:w="1872"/>
          </w:tcPr>
          <w:p>
            <w:r>
              <w:t>Rounding logic still fragmented</w:t>
            </w:r>
          </w:p>
        </w:tc>
        <w:tc>
          <w:tcPr>
            <w:tcW w:type="dxa" w:w="1872"/>
          </w:tcPr>
          <w:p>
            <w:r>
              <w:t>Strategy refinement</w:t>
            </w:r>
          </w:p>
        </w:tc>
      </w:tr>
      <w:tr>
        <w:tc>
          <w:tcPr>
            <w:tcW w:type="dxa" w:w="1872"/>
          </w:tcPr>
          <w:p>
            <w:r>
              <w:t>Gap 6: Weak Input Validation</w:t>
            </w:r>
          </w:p>
        </w:tc>
        <w:tc>
          <w:tcPr>
            <w:tcW w:type="dxa" w:w="1872"/>
          </w:tcPr>
          <w:p>
            <w:r>
              <w:t>Service Layer validation</w:t>
            </w:r>
          </w:p>
        </w:tc>
        <w:tc>
          <w:tcPr>
            <w:tcW w:type="dxa" w:w="1872"/>
            <w:shd w:fill="FFF3CD"/>
          </w:tcPr>
          <w:p>
            <w:r>
              <w:t>Medium</w:t>
            </w:r>
          </w:p>
        </w:tc>
        <w:tc>
          <w:tcPr>
            <w:tcW w:type="dxa" w:w="1872"/>
          </w:tcPr>
          <w:p>
            <w:r>
              <w:t>Validation rules duplicated across layers</w:t>
            </w:r>
          </w:p>
        </w:tc>
        <w:tc>
          <w:tcPr>
            <w:tcW w:type="dxa" w:w="1872"/>
          </w:tcPr>
          <w:p>
            <w:r>
              <w:t>Middleware integration</w:t>
            </w:r>
          </w:p>
        </w:tc>
      </w:tr>
      <w:tr>
        <w:tc>
          <w:tcPr>
            <w:tcW w:type="dxa" w:w="1872"/>
          </w:tcPr>
          <w:p>
            <w:r>
              <w:t>Gap 7: Magic Numbers</w:t>
            </w:r>
          </w:p>
        </w:tc>
        <w:tc>
          <w:tcPr>
            <w:tcW w:type="dxa" w:w="1872"/>
          </w:tcPr>
          <w:p>
            <w:r>
              <w:t>Strategy + Config</w:t>
            </w:r>
          </w:p>
        </w:tc>
        <w:tc>
          <w:tcPr>
            <w:tcW w:type="dxa" w:w="1872"/>
            <w:shd w:fill="FFF3CD"/>
          </w:tcPr>
          <w:p>
            <w:r>
              <w:t>Medium</w:t>
            </w:r>
          </w:p>
        </w:tc>
        <w:tc>
          <w:tcPr>
            <w:tcW w:type="dxa" w:w="1872"/>
          </w:tcPr>
          <w:p>
            <w:r>
              <w:t>Config still file-based, not versioned</w:t>
            </w:r>
          </w:p>
        </w:tc>
        <w:tc>
          <w:tcPr>
            <w:tcW w:type="dxa" w:w="1872"/>
          </w:tcPr>
          <w:p>
            <w:r>
              <w:t>Repository Pattern</w:t>
            </w:r>
          </w:p>
        </w:tc>
      </w:tr>
    </w:tbl>
    <w:p/>
    <w:p>
      <w:pPr>
        <w:pStyle w:val="Heading4"/>
      </w:pPr>
      <w:r>
        <w:t>Production Readiness Roadmap</w:t>
      </w:r>
    </w:p>
    <w:p>
      <w:r>
        <w:t>Current implementation (v1) addresses architectural quality but requires additional engineering before production deployment. The roadmap below defines phases and prerequisites: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Phase</w:t>
            </w:r>
          </w:p>
        </w:tc>
        <w:tc>
          <w:tcPr>
            <w:tcW w:type="dxa" w:w="3120"/>
          </w:tcPr>
          <w:p>
            <w:r>
              <w:t>Prerequisites</w:t>
            </w:r>
          </w:p>
        </w:tc>
        <w:tc>
          <w:tcPr>
            <w:tcW w:type="dxa" w:w="3120"/>
          </w:tcPr>
          <w:p>
            <w:r>
              <w:t>Effort Estimate</w:t>
            </w:r>
          </w:p>
        </w:tc>
      </w:tr>
      <w:tr>
        <w:tc>
          <w:tcPr>
            <w:tcW w:type="dxa" w:w="3120"/>
            <w:shd w:fill="D4EDDA"/>
          </w:tcPr>
          <w:p>
            <w:r>
              <w:t>MVP (Current)</w:t>
            </w:r>
          </w:p>
        </w:tc>
        <w:tc>
          <w:tcPr>
            <w:tcW w:type="dxa" w:w="3120"/>
          </w:tcPr>
          <w:p>
            <w:r>
              <w:t>Service architecture, 90-test suite, in-memory repositories</w:t>
            </w:r>
          </w:p>
        </w:tc>
        <w:tc>
          <w:tcPr>
            <w:tcW w:type="dxa" w:w="3120"/>
          </w:tcPr>
          <w:p>
            <w:r>
              <w:t>Complete</w:t>
            </w:r>
          </w:p>
        </w:tc>
      </w:tr>
      <w:tr>
        <w:tc>
          <w:tcPr>
            <w:tcW w:type="dxa" w:w="3120"/>
          </w:tcPr>
          <w:p>
            <w:r>
              <w:t>Beta (Database)</w:t>
            </w:r>
          </w:p>
        </w:tc>
        <w:tc>
          <w:tcPr>
            <w:tcW w:type="dxa" w:w="3120"/>
          </w:tcPr>
          <w:p>
            <w:r>
              <w:t>SQL persistence layer, connection pooling, transaction handling, integration tests</w:t>
            </w:r>
          </w:p>
        </w:tc>
        <w:tc>
          <w:tcPr>
            <w:tcW w:type="dxa" w:w="3120"/>
          </w:tcPr>
          <w:p>
            <w:r>
              <w:t>2–3 weeks</w:t>
            </w:r>
          </w:p>
        </w:tc>
      </w:tr>
      <w:tr>
        <w:tc>
          <w:tcPr>
            <w:tcW w:type="dxa" w:w="3120"/>
          </w:tcPr>
          <w:p>
            <w:r>
              <w:t>Production</w:t>
            </w:r>
          </w:p>
        </w:tc>
        <w:tc>
          <w:tcPr>
            <w:tcW w:type="dxa" w:w="3120"/>
          </w:tcPr>
          <w:p>
            <w:r>
              <w:t>Monitoring, logging, error resilience, security audit, load testing, rate limiting</w:t>
            </w:r>
          </w:p>
        </w:tc>
        <w:tc>
          <w:tcPr>
            <w:tcW w:type="dxa" w:w="3120"/>
          </w:tcPr>
          <w:p>
            <w:r>
              <w:t>4–6 weeks</w:t>
            </w:r>
          </w:p>
        </w:tc>
      </w:tr>
      <w:tr>
        <w:tc>
          <w:tcPr>
            <w:tcW w:type="dxa" w:w="3120"/>
          </w:tcPr>
          <w:p>
            <w:r>
              <w:t>Operations</w:t>
            </w:r>
          </w:p>
        </w:tc>
        <w:tc>
          <w:tcPr>
            <w:tcW w:type="dxa" w:w="3120"/>
          </w:tcPr>
          <w:p>
            <w:r>
              <w:t>Deployment automation, rollback strategy, incident response, performance baselines</w:t>
            </w:r>
          </w:p>
        </w:tc>
        <w:tc>
          <w:tcPr>
            <w:tcW w:type="dxa" w:w="3120"/>
          </w:tcPr>
          <w:p>
            <w:r>
              <w:t>Ongoing</w:t>
            </w:r>
          </w:p>
        </w:tc>
      </w:tr>
    </w:tbl>
    <w:p/>
    <w:p>
      <w:r>
        <w:t>The refactoring establishes the architectural foundation necessary for production deployment. However, database persistence, operational monitoring, and security hardening remain outside the current scope. These are orthogonal to the quality improvements demonstrated and can proceed in parallel with ongoing feature development.</w:t>
      </w:r>
    </w:p>
    <w:p>
      <w:r>
        <w:br w:type="page"/>
      </w:r>
    </w:p>
    <w:p>
      <w:pPr>
        <w:pStyle w:val="Heading2"/>
      </w:pPr>
      <w:r>
        <w:t>References</w:t>
      </w:r>
    </w:p>
    <w:p>
      <w:pPr>
        <w:shd w:fill="F0F0F0"/>
      </w:pPr>
      <w:r>
        <w:rPr>
          <w:b w:val="0"/>
        </w:rPr>
        <w:t xml:space="preserve">Feathers, M. (2004). </w:t>
      </w:r>
      <w:r>
        <w:rPr>
          <w:i/>
        </w:rPr>
        <w:t xml:space="preserve">*Working Effectively with Legacy Code*. </w:t>
      </w:r>
      <w:r>
        <w:rPr>
          <w:b w:val="0"/>
        </w:rPr>
        <w:t>Prentice Hall.</w:t>
      </w:r>
    </w:p>
    <w:p>
      <w:r>
        <w:rPr>
          <w:b w:val="0"/>
        </w:rPr>
        <w:t xml:space="preserve">Fowler, M. (2002). </w:t>
      </w:r>
      <w:r>
        <w:rPr>
          <w:i/>
        </w:rPr>
        <w:t xml:space="preserve">*Patterns of Enterprise Application Architecture*. </w:t>
      </w:r>
      <w:r>
        <w:rPr>
          <w:b w:val="0"/>
        </w:rPr>
        <w:t>Addison-Wesley.</w:t>
      </w:r>
    </w:p>
    <w:p>
      <w:pPr>
        <w:shd w:fill="F0F0F0"/>
      </w:pPr>
      <w:r>
        <w:rPr>
          <w:b w:val="0"/>
        </w:rPr>
        <w:t xml:space="preserve">Freeman, S. &amp; Pryce, N. (2009). </w:t>
      </w:r>
      <w:r>
        <w:rPr>
          <w:i/>
        </w:rPr>
        <w:t xml:space="preserve">*Growing Object-Oriented Software, Guided by Tests*. </w:t>
      </w:r>
      <w:r>
        <w:rPr>
          <w:b w:val="0"/>
        </w:rPr>
        <w:t>Addison-Wesley.</w:t>
      </w:r>
    </w:p>
    <w:p>
      <w:r>
        <w:rPr>
          <w:b w:val="0"/>
        </w:rPr>
        <w:t xml:space="preserve">Gamma, E., Helm, R., Johnson, R., &amp; Vlissides, J. (1994). </w:t>
      </w:r>
      <w:r>
        <w:rPr>
          <w:i/>
        </w:rPr>
        <w:t xml:space="preserve">*Design Patterns: Elements of Reusable Object-Oriented Software*. </w:t>
      </w:r>
      <w:r>
        <w:rPr>
          <w:b w:val="0"/>
        </w:rPr>
        <w:t>Addison-Wesley.</w:t>
      </w:r>
    </w:p>
    <w:p>
      <w:pPr>
        <w:shd w:fill="F0F0F0"/>
      </w:pPr>
      <w:r>
        <w:rPr>
          <w:b w:val="0"/>
        </w:rPr>
        <w:t xml:space="preserve">ISO/IEC 25010:2023. (2023). </w:t>
      </w:r>
      <w:r>
        <w:rPr>
          <w:i/>
        </w:rPr>
        <w:t xml:space="preserve">*Systems and software engineering — Measurement of product quality*. </w:t>
      </w:r>
      <w:r>
        <w:rPr>
          <w:b w:val="0"/>
        </w:rPr>
        <w:t>International Organization for Standardization.</w:t>
      </w:r>
    </w:p>
    <w:p>
      <w:r>
        <w:rPr>
          <w:b w:val="0"/>
        </w:rPr>
        <w:t xml:space="preserve">Jia, Y., &amp; Harman, M. (2011). </w:t>
      </w:r>
      <w:r>
        <w:rPr>
          <w:i/>
        </w:rPr>
        <w:t xml:space="preserve">An analysis and survey of the development of mutation testing. </w:t>
      </w:r>
      <w:r>
        <w:rPr>
          <w:b w:val="0"/>
        </w:rPr>
        <w:t>*IEEE Transactions on Software Engineering*, 37(5), 649–678.</w:t>
      </w:r>
    </w:p>
    <w:p>
      <w:pPr>
        <w:shd w:fill="F0F0F0"/>
      </w:pPr>
      <w:r>
        <w:rPr>
          <w:b w:val="0"/>
        </w:rPr>
        <w:t xml:space="preserve">Martin, R. C. (2008). </w:t>
      </w:r>
      <w:r>
        <w:rPr>
          <w:i/>
        </w:rPr>
        <w:t xml:space="preserve">*Clean Code: A Handbook of Agile Software Craftsmanship*. </w:t>
      </w:r>
      <w:r>
        <w:rPr>
          <w:b w:val="0"/>
        </w:rPr>
        <w:t>Prentice Hall.</w:t>
      </w:r>
    </w:p>
    <w:p>
      <w:r>
        <w:rPr>
          <w:b w:val="0"/>
        </w:rPr>
        <w:t xml:space="preserve">Martin, R. C. (2017). </w:t>
      </w:r>
      <w:r>
        <w:rPr>
          <w:i/>
        </w:rPr>
        <w:t xml:space="preserve">*Clean Architecture: A Craftsman's Guide to Software Structure and Design*. </w:t>
      </w:r>
      <w:r>
        <w:rPr>
          <w:b w:val="0"/>
        </w:rPr>
        <w:t>Prentice Hall.</w:t>
      </w:r>
    </w:p>
    <w:p>
      <w:pPr>
        <w:shd w:fill="F0F0F0"/>
      </w:pPr>
      <w:r>
        <w:rPr>
          <w:b w:val="0"/>
        </w:rPr>
        <w:t xml:space="preserve">Seaman, C. B., &amp; Gough, Y. (2011). </w:t>
      </w:r>
      <w:r>
        <w:rPr>
          <w:i/>
        </w:rPr>
        <w:t xml:space="preserve">Measuring and monitoring technical debt. In N. E. Fenton &amp; P. McBreen (Eds.), *Advances in Software Engineering* (pp. 205–225). </w:t>
      </w:r>
      <w:r>
        <w:rPr>
          <w:b w:val="0"/>
        </w:rPr>
        <w:t>Academic Press.</w:t>
      </w:r>
    </w:p>
    <w:p>
      <w:r>
        <w:rPr>
          <w:b w:val="0"/>
        </w:rPr>
        <w:t xml:space="preserve">Software Engineering Institute (SEI). (2021). </w:t>
      </w:r>
      <w:r>
        <w:rPr>
          <w:i/>
        </w:rPr>
        <w:t xml:space="preserve">*Technical Debt: Definition, Origin, Measurement, and Management*. </w:t>
      </w:r>
      <w:r>
        <w:rPr>
          <w:b w:val="0"/>
        </w:rPr>
        <w:t>Carnegie Mellon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