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09.04.2017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Кайма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Марто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Старт - 97 ООД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06.04.2017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Метод 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08.04.2017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08.04.2017</w:t>
      </w:r>
      <w:r w:rsidR="004E782E" w:rsidRPr="004670B9">
        <w:rPr>
          <w:sz w:val="24"/>
        </w:rPr>
        <w:t>-</w:t>
      </w:r>
      <w:r>
        <w:rPr>
          <w:sz w:val="24"/>
        </w:rPr>
        <w:t>09.04.2017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Мартин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1±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1°±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/Мартин/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A1</w:t>
    </w:r>
    <w:r>
      <w:rPr>
        <w:lang w:val="en-GB"/>
      </w:rPr>
      <w:t>/</w:t>
    </w:r>
    <w:r>
      <w:rPr>
        <w:lang w:val="en-GB"/>
      </w:rPr>
      <w:t>09.04.2017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e144bb8c-2a61-4e78-b0fe-63e2b2f6f0d6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8e466ec-4ed2-474f-8c09-ebb3cd4570d9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07b178de-fd06-4ef9-9e37-37dca30319de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7d95b4d-bef3-4734-b878-dffed69f1b86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b0aaafe-4242-494f-aa1c-9a87c2a91204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fe06157-170b-488f-b7b5-87f8e0bee968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0e3b34bf-2c6e-4e6a-a8a9-f1096379924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68c550f-8e5d-4e47-892a-dd5616c260d9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72c6b5c9-d83c-4ab5-b770-40641fe16f1d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0e2a1a47-24ce-4b43-9d59-b19a182e4493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ffb662-e818-474f-a7fc-285dd321af8e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1b8fbcc-d13c-4540-963b-105879267e69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7d52530a-fe88-43d7-a057-631221d8b1a1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caa7c38-3846-4d09-a7ee-1a71c683ead3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ec7af7-19a7-472d-9481-c94d2a5c38fa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f78928f-d895-4465-8d70-b1989e78318a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3855c2ca-2bc2-467d-82ae-3fc3f6810c27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946c9e8b-7bd1-4bea-94f8-c763841a7a96">
    <w:name w:val="Normal"/>
    <w:qFormat/>
    <w:rsid w:val="00B3465E"/>
  </w:style>
  <w:style w:type="table" w:default="1" w:styleId="e6bedc58-67a6-4c29-8187-5b1707b5ba4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