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11.07.2017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1. 33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12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Старт - 97 ООД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25.06.2017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Листерия моноцитогенес - БДС  EN ISO11290-1:A1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4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25.06.2017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16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25.06.2017</w:t>
      </w:r>
      <w:r w:rsidR="004E782E" w:rsidRPr="004670B9">
        <w:rPr>
          <w:sz w:val="24"/>
        </w:rPr>
        <w:t>-</w:t>
      </w:r>
      <w:r>
        <w:rPr>
          <w:sz w:val="24"/>
        </w:rPr>
        <w:t>11.07.2017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fgh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A36-1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/jhgf/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/fgh/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A36</w:t>
    </w:r>
    <w:r>
      <w:rPr>
        <w:lang w:val="en-GB"/>
      </w:rPr>
      <w:t>/</w:t>
    </w:r>
    <w:r>
      <w:rPr>
        <w:lang w:val="en-GB"/>
      </w:rPr>
      <w:t>11.07.2017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11f29965-c22d-46a7-9149-4b08555681e0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b75b939-1825-49bc-8365-b973783ba80a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fb62972-82e1-4e85-8189-727e2d595b2c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f6626ae-64e5-4a5a-ad4c-fa089475b522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33f0a54-75f2-4e40-a341-51e5f92f5239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b74497-6c36-4dd4-baff-37ee74fd97f2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216a405-cc3d-4127-8373-8b7607f2ecaa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b40b434-684a-4382-b0ae-5c59b4687744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7a762614-9b8d-47c1-8196-ed9d2e156a74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df51de1-6b50-4ee0-8319-4e7463b2a2a6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08541eb-a19b-4495-93d0-d9d1a2b51cfc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169b2a8-e51d-44c6-a117-968c08b3e3a4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adcab68-bc5d-4dae-bb7e-ca40ef68fbfa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dbffbdd-05a7-40ed-8765-e8fe573a5a8d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3263af45-e1e8-4547-af49-aadd2528c3dc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bb78da7-ede2-4b1c-9e6c-a876cc23aa1c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aaada15-2ada-447a-a5a7-ec810764d46d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80746356-40e7-4bab-b38a-fefab7e6411f">
    <w:name w:val="Normal"/>
    <w:qFormat/>
    <w:rsid w:val="00B3465E"/>
  </w:style>
  <w:style w:type="table" w:default="1" w:styleId="e70cd903-bf3a-45f5-b804-fac54a4babd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