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58462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52649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край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Забележка 3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0d125c0-e736-4405-8a4d-12e14dab119b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b159bc9-5ae6-4a24-85d5-abb92cb5ae73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1d3a771-6010-4cb4-a870-a258131b65d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d16516b-49ea-4256-a6c7-b222883165a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9a27e7f-a292-46f7-9114-1f45a665514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c817f9a-8e58-45d7-864d-6da12b69500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ed9e1da-66eb-45ec-85ce-bc3cac19478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245d414-7e06-48e1-b840-3396b52bf21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7c8a3606-c2e9-4d2c-bf12-7b9fabe5540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c1762f1-3d3e-4e75-87a3-0e1fa44745dc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a38d38c-e22b-4501-b803-4d9591e072c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7fafb69-5994-403b-85b8-bae7cc08b61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ccec174-8f2a-4d8f-b21f-f98ec44e5d9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c6078a6-3c08-4611-9c10-772dae7033a3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977c9c8-952b-4027-9c52-ed5afbada4fd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af170ac-8403-4973-a939-0e1818eed1c6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da79064-1394-4c05-9ad1-e7e42e7b16ac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0dbc204a-8acf-4c13-8f82-7bf8e70bdf26">
    <w:name w:val="Normal"/>
    <w:qFormat/>
    <w:rsid w:val="00B3465E"/>
  </w:style>
  <w:style w:type="table" w:default="1" w:styleId="a18b1b5a-c8f1-46ff-8806-a20da480f03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