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480" w:line="240" w:lineRule="auto"/>
        <w:jc w:val="center"/>
      </w:pPr>
      <w:r>
        <w:rPr>
          <w:rFonts w:ascii="Calibri" w:hAnsi="Calibri" w:eastAsia="Calibri" w:cs="Calibri"/>
          <w:b/>
          <w:i w:val="0"/>
          <w:color w:val="6F8C36"/>
          <w:sz w:val="24"/>
        </w:rPr>
        <w:t>SONORA</w:t>
      </w:r>
    </w:p>
    <w:p>
      <w:pPr>
        <w:spacing w:before="0" w:after="360" w:line="250" w:lineRule="auto"/>
        <w:jc w:val="center"/>
      </w:pPr>
      <w:r>
        <w:rPr>
          <w:rFonts w:ascii="Calibri" w:hAnsi="Calibri" w:eastAsia="Calibri" w:cs="Calibri"/>
          <w:b/>
          <w:i w:val="0"/>
          <w:color w:val="142B27"/>
          <w:sz w:val="42"/>
        </w:rPr>
        <w:t>ЖАСӨСПІРІМДЕРДІҢ АҒЫЛШЫН ТІЛІ ДАҒДЫЛАРЫН ДАМЫТУДА</w:t>
        <w:br/>
        <w:t>ТАНЫМАЛ АҒЫЛШЫН ӘНДЕРІН ЖАСАНДЫ ИНТЕЛЛЕКТ КӨМЕГІМЕН</w:t>
        <w:br/>
        <w:t>ҚОЛДАНУДЫҢ ТИІМДІЛІГІ</w:t>
      </w:r>
    </w:p>
    <w:p>
      <w:pPr>
        <w:spacing w:before="0" w:after="480" w:line="269" w:lineRule="auto"/>
        <w:jc w:val="center"/>
      </w:pPr>
      <w:r>
        <w:rPr>
          <w:rFonts w:ascii="Calibri" w:hAnsi="Calibri" w:eastAsia="Calibri" w:cs="Calibri"/>
          <w:b w:val="0"/>
          <w:i/>
          <w:color w:val="245047"/>
          <w:sz w:val="30"/>
        </w:rPr>
        <w:t>The Effectiveness of AI-Assisted Learning Through Popular English Songs</w:t>
        <w:br/>
        <w:t>in Developing Teenagers' English Language Skills</w:t>
      </w:r>
    </w:p>
    <w:p>
      <w:pPr>
        <w:spacing w:before="0" w:after="920" w:line="240" w:lineRule="auto"/>
        <w:jc w:val="center"/>
      </w:pPr>
      <w:r>
        <w:rPr>
          <w:rFonts w:ascii="Calibri" w:hAnsi="Calibri" w:eastAsia="Calibri" w:cs="Calibri"/>
          <w:b/>
          <w:i w:val="0"/>
          <w:color w:val="6F8C36"/>
          <w:sz w:val="20"/>
        </w:rPr>
        <w:t>ҒЫЛЫМИ ЖОБА МАТЕРИАЛДАРЫ  |  SCIENTIFIC PROJECT MATERIALS</w:t>
      </w:r>
    </w:p>
    <w:p>
      <w:pPr>
        <w:spacing w:before="0" w:after="160" w:line="300" w:lineRule="auto"/>
        <w:jc w:val="center"/>
      </w:pPr>
      <w:r>
        <w:rPr>
          <w:rFonts w:ascii="Calibri" w:hAnsi="Calibri" w:eastAsia="Calibri" w:cs="Calibri"/>
          <w:b/>
          <w:color w:val="245047"/>
          <w:sz w:val="22"/>
        </w:rPr>
        <w:t xml:space="preserve">Оқушы / Student:  </w:t>
      </w:r>
      <w:r>
        <w:rPr>
          <w:rFonts w:ascii="Calibri" w:hAnsi="Calibri" w:eastAsia="Calibri" w:cs="Calibri"/>
          <w:color w:val="5E6C68"/>
          <w:sz w:val="22"/>
        </w:rPr>
        <w:t>____________________________________</w:t>
      </w:r>
    </w:p>
    <w:p>
      <w:pPr>
        <w:spacing w:before="0" w:after="160" w:line="300" w:lineRule="auto"/>
        <w:jc w:val="center"/>
      </w:pPr>
      <w:r>
        <w:rPr>
          <w:rFonts w:ascii="Calibri" w:hAnsi="Calibri" w:eastAsia="Calibri" w:cs="Calibri"/>
          <w:b/>
          <w:color w:val="245047"/>
          <w:sz w:val="22"/>
        </w:rPr>
        <w:t xml:space="preserve">Мектеп / School:  </w:t>
      </w:r>
      <w:r>
        <w:rPr>
          <w:rFonts w:ascii="Calibri" w:hAnsi="Calibri" w:eastAsia="Calibri" w:cs="Calibri"/>
          <w:color w:val="5E6C68"/>
          <w:sz w:val="22"/>
        </w:rPr>
        <w:t>____________________________________</w:t>
      </w:r>
    </w:p>
    <w:p>
      <w:pPr>
        <w:spacing w:before="0" w:after="880" w:line="300" w:lineRule="auto"/>
        <w:jc w:val="center"/>
      </w:pPr>
      <w:r>
        <w:rPr>
          <w:rFonts w:ascii="Calibri" w:hAnsi="Calibri" w:eastAsia="Calibri" w:cs="Calibri"/>
          <w:b/>
          <w:color w:val="245047"/>
          <w:sz w:val="22"/>
        </w:rPr>
        <w:t xml:space="preserve">Жетекші / Supervisor:  </w:t>
      </w:r>
      <w:r>
        <w:rPr>
          <w:rFonts w:ascii="Calibri" w:hAnsi="Calibri" w:eastAsia="Calibri" w:cs="Calibri"/>
          <w:color w:val="5E6C68"/>
          <w:sz w:val="22"/>
        </w:rPr>
        <w:t>________________________________</w:t>
      </w:r>
    </w:p>
    <w:p>
      <w:pPr>
        <w:spacing w:before="0" w:after="0" w:line="300" w:lineRule="auto"/>
        <w:jc w:val="center"/>
      </w:pPr>
      <w:r>
        <w:rPr>
          <w:rFonts w:ascii="Calibri" w:hAnsi="Calibri" w:eastAsia="Calibri" w:cs="Calibri"/>
          <w:b/>
          <w:i w:val="0"/>
          <w:color w:val="5E6C68"/>
          <w:sz w:val="21"/>
        </w:rPr>
        <w:t>Қазақстан · 2026</w:t>
      </w:r>
    </w:p>
    <w:p>
      <w:r>
        <w:br w:type="page"/>
      </w:r>
    </w:p>
    <w:p>
      <w:pPr>
        <w:pStyle w:val="Heading1"/>
        <w:keepNext/>
      </w:pPr>
      <w:r>
        <w:t>1. Жобаның қысқаша паспорты / Project at a glance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3F7EA"/>
            <w:tcBorders>
              <w:top w:val="nil"/>
              <w:bottom w:val="nil"/>
              <w:end w:val="nil"/>
              <w:start w:val="single" w:sz="20" w:color="6F8C36"/>
            </w:tcBorders>
          </w:tcPr>
          <w:p>
            <w:pPr>
              <w:spacing w:before="0" w:after="60" w:line="283" w:lineRule="auto"/>
            </w:pPr>
            <w:r>
              <w:rPr>
                <w:rFonts w:ascii="Calibri" w:hAnsi="Calibri" w:eastAsia="Calibri" w:cs="Calibri"/>
                <w:b/>
                <w:color w:val="6F8C36"/>
                <w:sz w:val="18"/>
              </w:rPr>
              <w:t>НЕГІЗГІ ИДЕЯ / CORE IDEA</w:t>
            </w:r>
          </w:p>
          <w:p>
            <w:pPr>
              <w:spacing w:before="0" w:after="0" w:line="288" w:lineRule="auto"/>
            </w:pPr>
            <w:r>
              <w:rPr>
                <w:rFonts w:ascii="Calibri" w:hAnsi="Calibri" w:eastAsia="Calibri" w:cs="Calibri"/>
                <w:color w:val="17201E"/>
                <w:sz w:val="21"/>
              </w:rPr>
              <w:t>SONORA is a trilingual web platform that turns a teenager's chosen English song into a structured learning route: meaning, listening, vocabulary, slang and register, language patterns, checkpoint tasks, speaking, and measurable progress.</w:t>
            </w:r>
          </w:p>
        </w:tc>
      </w:tr>
    </w:tbl>
    <w:p>
      <w:pPr>
        <w:spacing w:after="40"/>
      </w:pPr>
    </w:p>
    <w:tbl>
      <w:tblPr>
        <w:tblW w:type="dxa" w:w="9360"/>
        <w:jc w:val="left"/>
        <w:tblLayout w:type="fixed"/>
        <w:tblLook w:firstColumn="1" w:firstRow="1" w:lastColumn="0" w:lastRow="0" w:noHBand="0" w:noVBand="1" w:val="04A0"/>
        <w:tblInd w:w="120" w:type="dxa"/>
      </w:tblPr>
      <w:tblGrid>
        <w:gridCol w:w="2440"/>
        <w:gridCol w:w="6920"/>
      </w:tblGrid>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Жоба түрі / Project type</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Қолданбалы педагогикалық зерттеу және жұмыс істейтін цифрлық прототип / Applied educational study with a functioning digital prototype</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Зерттеу саласы / Field</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Ағылшын тілін оқыту әдістемесі, білім берудегі AI / English language teaching methodology and AI in education</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Мақсатты топ / Target group</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13-17 жастағы, ағылшын тілі A2-B1 деңгейіндегі оқушылар / Teenagers aged 13-17 at CEFR A2-B1</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Өнім / Product</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SONORA: React frontend + Python API, қазақша, English және русский интерфейстері</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Негізгі нәтиже / Main outcome</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Vocabulary, listening және speaking көрсеткіштерінің өзгерісін өлшейтін 4 апталық эксперимент</w:t>
            </w:r>
          </w:p>
        </w:tc>
      </w:tr>
    </w:tbl>
    <w:p>
      <w:pPr>
        <w:spacing w:after="40"/>
      </w:pPr>
    </w:p>
    <w:p>
      <w:pPr>
        <w:pStyle w:val="Heading2"/>
        <w:keepNext/>
      </w:pPr>
      <w:r>
        <w:t>Зерттеудің ғылыми логикасы / Scientific logic</w:t>
      </w:r>
    </w:p>
    <w:p>
      <w:pPr>
        <w:pStyle w:val="ListBullet"/>
        <w:spacing w:after="80" w:line="290" w:lineRule="auto"/>
        <w:ind w:left="540" w:hanging="279"/>
      </w:pPr>
      <w:r>
        <w:rPr>
          <w:rFonts w:ascii="Calibri" w:hAnsi="Calibri" w:eastAsia="Calibri" w:cs="Calibri"/>
          <w:color w:val="17201E"/>
          <w:sz w:val="21"/>
        </w:rPr>
        <w:t>Problem -&gt; teenagers frequently hear English songs, but passive listening does not automatically become systematic language learning.</w:t>
      </w:r>
    </w:p>
    <w:p>
      <w:pPr>
        <w:pStyle w:val="ListBullet"/>
        <w:spacing w:after="80" w:line="290" w:lineRule="auto"/>
        <w:ind w:left="540" w:hanging="279"/>
      </w:pPr>
      <w:r>
        <w:rPr>
          <w:rFonts w:ascii="Calibri" w:hAnsi="Calibri" w:eastAsia="Calibri" w:cs="Calibri"/>
          <w:color w:val="17201E"/>
          <w:sz w:val="21"/>
        </w:rPr>
        <w:t>Intervention -&gt; SONORA converts a selected song excerpt into a guided seven-stage lesson.</w:t>
      </w:r>
    </w:p>
    <w:p>
      <w:pPr>
        <w:pStyle w:val="ListBullet"/>
        <w:spacing w:after="80" w:line="290" w:lineRule="auto"/>
        <w:ind w:left="540" w:hanging="279"/>
      </w:pPr>
      <w:r>
        <w:rPr>
          <w:rFonts w:ascii="Calibri" w:hAnsi="Calibri" w:eastAsia="Calibri" w:cs="Calibri"/>
          <w:color w:val="17201E"/>
          <w:sz w:val="21"/>
        </w:rPr>
        <w:t>Measurement -&gt; pre-test, post-test, platform learning records, and a short engagement survey.</w:t>
      </w:r>
    </w:p>
    <w:p>
      <w:pPr>
        <w:pStyle w:val="ListBullet"/>
        <w:spacing w:after="80" w:line="290" w:lineRule="auto"/>
        <w:ind w:left="540" w:hanging="279"/>
      </w:pPr>
      <w:r>
        <w:rPr>
          <w:rFonts w:ascii="Calibri" w:hAnsi="Calibri" w:eastAsia="Calibri" w:cs="Calibri"/>
          <w:color w:val="17201E"/>
          <w:sz w:val="21"/>
        </w:rPr>
        <w:t>Conclusion -&gt; effectiveness is judged from collected evidence, not from the appearance of the website.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7E7"/>
            <w:tcBorders>
              <w:top w:val="nil"/>
              <w:bottom w:val="nil"/>
              <w:end w:val="nil"/>
              <w:start w:val="single" w:sz="20" w:color="9A6B00"/>
            </w:tcBorders>
          </w:tcPr>
          <w:p>
            <w:pPr>
              <w:spacing w:before="0" w:after="60" w:line="283" w:lineRule="auto"/>
            </w:pPr>
            <w:r>
              <w:rPr>
                <w:rFonts w:ascii="Calibri" w:hAnsi="Calibri" w:eastAsia="Calibri" w:cs="Calibri"/>
                <w:b/>
                <w:color w:val="9A6B00"/>
                <w:sz w:val="18"/>
              </w:rPr>
              <w:t>ҒЫЛЫМИ АДАЛДЫҚ / SCIENTIFIC INTEGRITY</w:t>
            </w:r>
          </w:p>
          <w:p>
            <w:pPr>
              <w:spacing w:before="0" w:after="0" w:line="288" w:lineRule="auto"/>
            </w:pPr>
            <w:r>
              <w:rPr>
                <w:rFonts w:ascii="Calibri" w:hAnsi="Calibri" w:eastAsia="Calibri" w:cs="Calibri"/>
                <w:color w:val="17201E"/>
                <w:sz w:val="21"/>
              </w:rPr>
              <w:t>The document does not present invented percentages as research results. All cells marked “to be collected” must be completed only after the real experiment. Prototype analytics and research findings are reported separately.</w:t>
            </w:r>
          </w:p>
        </w:tc>
      </w:tr>
    </w:tbl>
    <w:p>
      <w:pPr>
        <w:spacing w:after="40"/>
      </w:pPr>
    </w:p>
    <w:p>
      <w:r>
        <w:br w:type="page"/>
      </w:r>
    </w:p>
    <w:p>
      <w:pPr>
        <w:pStyle w:val="Heading1"/>
        <w:keepNext/>
      </w:pPr>
      <w:r>
        <w:t>2. Аннотация (қазақ тілінде)</w:t>
      </w:r>
    </w:p>
    <w:p>
      <w:pPr>
        <w:spacing w:before="0" w:after="200" w:line="320" w:lineRule="auto"/>
        <w:jc w:val="both"/>
      </w:pPr>
      <w:r>
        <w:rPr>
          <w:rFonts w:ascii="Calibri" w:hAnsi="Calibri" w:eastAsia="Calibri" w:cs="Calibri"/>
          <w:b w:val="0"/>
          <w:i w:val="0"/>
          <w:color w:val="17201E"/>
          <w:sz w:val="22"/>
        </w:rPr>
        <w:t>Бұл ғылыми жобада жасөспірімдердің ағылшын тіліндегі сөздік қорын, тыңдалымын және айтылымын дамыту үшін танымал ағылшын әндерін жасанды интеллект көмегімен пайдаланудың тиімділігі зерттеледі. Зерттеу мәселесі оқушылардың ағылшын тіліндегі музыканы жиі тыңдағанымен, мәтіндегі жаңа сөздерді, сленгті, идиомаларды, сөйлеу регистрін және грамматикалық құрылымдарды жүйелі түрде меңгере бермейтіндігімен байланысты. Осы мәселені шешу үшін қазақ, ағылшын және орыс тілдерінде жұмыс істейтін SONORA веб-платформасының прототипі әзірленді. Платформа оқушы енгізген қысқа ән үзіндісін мағынаны болжау, рұқсат етілген дереккөз арқылы тыңдау, лексиканы белсенді еске түсіру, сленг пен бейресми тілдің қолданылу аясын түсіндіру, тілдік құрылымдарды салыстыру, бақылау тапсырмасы және сөйлеу практикасы бар жеті кезеңдік сабаққа айналдырады.</w:t>
      </w:r>
    </w:p>
    <w:p>
      <w:pPr>
        <w:spacing w:before="0" w:after="240" w:line="320" w:lineRule="auto"/>
        <w:jc w:val="both"/>
      </w:pPr>
      <w:r>
        <w:rPr>
          <w:rFonts w:ascii="Calibri" w:hAnsi="Calibri" w:eastAsia="Calibri" w:cs="Calibri"/>
          <w:b w:val="0"/>
          <w:i w:val="0"/>
          <w:color w:val="17201E"/>
          <w:sz w:val="22"/>
        </w:rPr>
        <w:t>Зерттеудің болжамы: егер жасөспірімдер төрт апта бойы SONORA арқылы жүйелі түрде оқыса, олардың сөздік қоры, тыңдалымды түсінуі және ауызша жауап беру көрсеткіштері дәстүрлі тапсырмаларды ғана орындайтын оқушылармен салыстырғанда жоғарырақ өседі. Әдістемеде бақылау және эксперименттік топтар, алдын ала және қорытынды тесттер, бірыңғай бағалау рубрикасы, платформа әрекеттерінің журналдары және қатысушылардың қызығушылығын анықтайтын сауалнама қолданылады. Жобаның ғылыми жаңалығы - танымал әнді жай аудару емес, оның лингвистикалық, мәдени және қауіпсіздік ерекшеліктерін бір оқу маршрутына біріктіріп, нақты оқу әрекеттері мен нәтижелерін өлшеу. Практикалық маңызы - мұғалімдер мен оқушыларға қызықты, жергілікті тілдерге бейімделген және мектеп жағдайында қолдануға болатын құрал ұсыну.</w:t>
      </w:r>
    </w:p>
    <w:p>
      <w:pPr>
        <w:spacing w:before="0" w:after="0" w:line="300" w:lineRule="auto"/>
        <w:jc w:val="both"/>
      </w:pPr>
      <w:r>
        <w:rPr>
          <w:rFonts w:ascii="Calibri" w:hAnsi="Calibri" w:eastAsia="Calibri" w:cs="Calibri"/>
          <w:b/>
          <w:color w:val="245047"/>
          <w:sz w:val="22"/>
        </w:rPr>
        <w:t xml:space="preserve">Түйін сөздер: </w:t>
      </w:r>
      <w:r>
        <w:rPr>
          <w:rFonts w:ascii="Calibri" w:hAnsi="Calibri" w:eastAsia="Calibri" w:cs="Calibri"/>
          <w:color w:val="17201E"/>
          <w:sz w:val="22"/>
        </w:rPr>
        <w:t>танымал әндер, ағылшын тілі, жасөспірімдер, жасанды интеллект, сөздік қор, тыңдалым, айтылым, сленг, цифрлық оқыту.</w:t>
      </w:r>
    </w:p>
    <w:p>
      <w:r>
        <w:br w:type="page"/>
      </w:r>
    </w:p>
    <w:p>
      <w:pPr>
        <w:pStyle w:val="Heading1"/>
        <w:keepNext/>
      </w:pPr>
      <w:r>
        <w:t>3. Abstract (English)</w:t>
      </w:r>
    </w:p>
    <w:p>
      <w:pPr>
        <w:spacing w:before="0" w:after="200" w:line="320" w:lineRule="auto"/>
        <w:jc w:val="both"/>
      </w:pPr>
      <w:r>
        <w:rPr>
          <w:rFonts w:ascii="Calibri" w:hAnsi="Calibri" w:eastAsia="Calibri" w:cs="Calibri"/>
          <w:b w:val="0"/>
          <w:i w:val="0"/>
          <w:color w:val="17201E"/>
          <w:sz w:val="22"/>
        </w:rPr>
        <w:t>This scientific project investigates the effectiveness of using popular English songs with artificial intelligence to develop teenagers' vocabulary, listening comprehension, and speaking skills. The research problem arises from the gap between frequent exposure to English-language music and purposeful language learning: teenagers may enjoy songs without systematically understanding new vocabulary, slang, idioms, register, grammar, or cultural meaning. To address this problem, a working prototype of SONORA, a trilingual web platform in Kazakh, English, and Russian, was developed. The platform transforms a short song excerpt supplied by the learner into a seven-stage learning route that includes meaning prediction, listening through an authorised source, active vocabulary recall, explanation of slang and informal register, comparison of song forms with standard English, a checkpoint, and guided speaking practice.</w:t>
      </w:r>
    </w:p>
    <w:p>
      <w:pPr>
        <w:spacing w:before="0" w:after="240" w:line="320" w:lineRule="auto"/>
        <w:jc w:val="both"/>
      </w:pPr>
      <w:r>
        <w:rPr>
          <w:rFonts w:ascii="Calibri" w:hAnsi="Calibri" w:eastAsia="Calibri" w:cs="Calibri"/>
          <w:b w:val="0"/>
          <w:i w:val="0"/>
          <w:color w:val="17201E"/>
          <w:sz w:val="22"/>
        </w:rPr>
        <w:t>The hypothesis is that four weeks of systematic learning through SONORA will produce greater gains in vocabulary, listening comprehension, and oral response quality than conventional exercises alone. The proposed methodology uses an experimental and a control group, equivalent pre- and post-tests, a common speaking rubric, platform activity logs, and an engagement questionnaire. The scientific novelty of the project is not the translation of lyrics itself, but the integration of linguistic, cultural, safety, and learning-progress analysis into one measurable educational workflow. Its practical significance lies in providing teachers and learners with a motivating, locally adapted, school-appropriate instrument. The study separates prototype analytics from research evidence and reports effectiveness only after real participant data have been collected.</w:t>
      </w:r>
    </w:p>
    <w:p>
      <w:pPr>
        <w:spacing w:before="0" w:after="0" w:line="300" w:lineRule="auto"/>
        <w:jc w:val="both"/>
      </w:pPr>
      <w:r>
        <w:rPr>
          <w:rFonts w:ascii="Calibri" w:hAnsi="Calibri" w:eastAsia="Calibri" w:cs="Calibri"/>
          <w:b/>
          <w:color w:val="245047"/>
          <w:sz w:val="22"/>
        </w:rPr>
        <w:t xml:space="preserve">Keywords: </w:t>
      </w:r>
      <w:r>
        <w:rPr>
          <w:rFonts w:ascii="Calibri" w:hAnsi="Calibri" w:eastAsia="Calibri" w:cs="Calibri"/>
          <w:color w:val="17201E"/>
          <w:sz w:val="22"/>
        </w:rPr>
        <w:t>popular songs, English language learning, teenagers, artificial intelligence, vocabulary, listening, speaking, slang, digital learning.</w:t>
      </w:r>
    </w:p>
    <w:p>
      <w:r>
        <w:br w:type="page"/>
      </w:r>
    </w:p>
    <w:p>
      <w:pPr>
        <w:pStyle w:val="Heading1"/>
        <w:keepNext/>
      </w:pPr>
      <w:r>
        <w:t>4. Зерттеудің ғылыми аппараты / Scientific framework</w:t>
      </w:r>
    </w:p>
    <w:p>
      <w:pPr>
        <w:pStyle w:val="Heading2"/>
        <w:keepNext/>
      </w:pPr>
      <w:r>
        <w:t>Қазақша нұсқа</w:t>
      </w:r>
    </w:p>
    <w:tbl>
      <w:tblPr>
        <w:tblW w:type="dxa" w:w="9360"/>
        <w:jc w:val="left"/>
        <w:tblLayout w:type="fixed"/>
        <w:tblLook w:firstColumn="1" w:firstRow="1" w:lastColumn="0" w:lastRow="0" w:noHBand="0" w:noVBand="1" w:val="04A0"/>
        <w:tblInd w:w="120" w:type="dxa"/>
      </w:tblPr>
      <w:tblGrid>
        <w:gridCol w:w="2440"/>
        <w:gridCol w:w="6920"/>
      </w:tblGrid>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Өзектілігі</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Жасөспірімдер ағылшын әндерін күнделікті тыңдайды, бірақ бұл қызығушылық көбіне мақсатты оқу әрекетіне айналмайды. Мектепке қауіпсіз, контексті түсіндіретін және нәтижені өлшейтін әдіс қажет.</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Зерттеу нысаны</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Жасөспірімдердің ағылшын тілін цифрлық ортада меңгеру үдерісі.</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Зерттеу пәні</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Танымал ағылшын әндеріне негізделген AI-қолдаулы тапсырмалардың vocabulary, listening және speaking дағдыларына әсері.</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Мақсаты</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SONORA әдістемесінің жасөспірімдердің ағылшын тілі дағдыларына әсерін әзірлеу, тәжірибеде тексеру және бағалау.</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Зерттеу сұрағы</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SONORA арқылы төрт апталық жүйелі оқу дәстүрлі жаттығулармен салыстырғанда оқушылардың vocabulary, listening және speaking нәтижелерін жақсарта ма?</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Болжамы</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Егер оқушы өзі ұнататын әнмен мағына, тыңдалым, лексика және айтылымды байланыстыратын жүйелі маршрут бойынша жұмыс істесе, оның оқу белсенділігі мен тілдік нәтижелері жоғарылайды.</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Ғылыми жаңалығы</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Әнді аудару, сленгті түсіндіру, мектепке жарамдылығын бағалау және оқу прогресін бір өлшенетін жеті кезеңдік модельге біріктіру.</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Практикалық маңызы</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Мұғалім сабақта немесе үй тапсырмасында қолдана алатын үштілді веб-құрал және қайта қолданылатын зерттеу әдістемесі.</w:t>
            </w:r>
          </w:p>
        </w:tc>
      </w:tr>
    </w:tbl>
    <w:p>
      <w:pPr>
        <w:spacing w:after="40"/>
      </w:pPr>
    </w:p>
    <w:p>
      <w:pPr>
        <w:pStyle w:val="Heading3"/>
        <w:keepNext/>
      </w:pPr>
      <w:r>
        <w:t>Міндеттері</w:t>
      </w:r>
    </w:p>
    <w:p>
      <w:pPr>
        <w:pStyle w:val="ListNumber"/>
        <w:spacing w:after="80" w:line="290" w:lineRule="auto"/>
        <w:ind w:left="540" w:hanging="279"/>
        <w:numPr>
          <w:ilvl w:val="0"/>
          <w:numId w:val="10"/>
        </w:numPr>
      </w:pPr>
      <w:r>
        <w:rPr>
          <w:rFonts w:ascii="Calibri" w:hAnsi="Calibri" w:eastAsia="Calibri" w:cs="Calibri"/>
          <w:color w:val="17201E"/>
          <w:sz w:val="21"/>
        </w:rPr>
        <w:t>Ән мен музыканың шет тілін үйренуге ықпалы туралы ғылыми әдебиетті талдау.</w:t>
      </w:r>
    </w:p>
    <w:p>
      <w:pPr>
        <w:pStyle w:val="ListNumber"/>
        <w:spacing w:after="80" w:line="290" w:lineRule="auto"/>
        <w:ind w:left="540" w:hanging="279"/>
        <w:numPr>
          <w:ilvl w:val="0"/>
          <w:numId w:val="10"/>
        </w:numPr>
      </w:pPr>
      <w:r>
        <w:rPr>
          <w:rFonts w:ascii="Calibri" w:hAnsi="Calibri" w:eastAsia="Calibri" w:cs="Calibri"/>
          <w:color w:val="17201E"/>
          <w:sz w:val="21"/>
        </w:rPr>
        <w:t>SONORA платформасының жұмыс істейтін үштілді прототипін әзірлеу.</w:t>
      </w:r>
    </w:p>
    <w:p>
      <w:pPr>
        <w:pStyle w:val="ListNumber"/>
        <w:spacing w:after="80" w:line="290" w:lineRule="auto"/>
        <w:ind w:left="540" w:hanging="279"/>
        <w:numPr>
          <w:ilvl w:val="0"/>
          <w:numId w:val="10"/>
        </w:numPr>
      </w:pPr>
      <w:r>
        <w:rPr>
          <w:rFonts w:ascii="Calibri" w:hAnsi="Calibri" w:eastAsia="Calibri" w:cs="Calibri"/>
          <w:color w:val="17201E"/>
          <w:sz w:val="21"/>
        </w:rPr>
        <w:t>Әнді жеті кезеңдік оқу маршрутына айналдыратын әдістемені сипаттау.</w:t>
      </w:r>
    </w:p>
    <w:p>
      <w:pPr>
        <w:pStyle w:val="ListNumber"/>
        <w:spacing w:after="80" w:line="290" w:lineRule="auto"/>
        <w:ind w:left="540" w:hanging="279"/>
        <w:numPr>
          <w:ilvl w:val="0"/>
          <w:numId w:val="10"/>
        </w:numPr>
      </w:pPr>
      <w:r>
        <w:rPr>
          <w:rFonts w:ascii="Calibri" w:hAnsi="Calibri" w:eastAsia="Calibri" w:cs="Calibri"/>
          <w:color w:val="17201E"/>
          <w:sz w:val="21"/>
        </w:rPr>
        <w:t>Vocabulary, listening және speaking үшін алдын ала және қорытынды өлшемдер дайындау.</w:t>
      </w:r>
    </w:p>
    <w:p>
      <w:pPr>
        <w:pStyle w:val="ListNumber"/>
        <w:spacing w:after="80" w:line="290" w:lineRule="auto"/>
        <w:ind w:left="540" w:hanging="279"/>
        <w:numPr>
          <w:ilvl w:val="0"/>
          <w:numId w:val="10"/>
        </w:numPr>
      </w:pPr>
      <w:r>
        <w:rPr>
          <w:rFonts w:ascii="Calibri" w:hAnsi="Calibri" w:eastAsia="Calibri" w:cs="Calibri"/>
          <w:color w:val="17201E"/>
          <w:sz w:val="21"/>
        </w:rPr>
        <w:t>Бақылау және эксперименттік топтардың өзгерісін салыстыру.</w:t>
      </w:r>
    </w:p>
    <w:p>
      <w:pPr>
        <w:pStyle w:val="ListNumber"/>
        <w:spacing w:after="80" w:line="290" w:lineRule="auto"/>
        <w:ind w:left="540" w:hanging="279"/>
        <w:numPr>
          <w:ilvl w:val="0"/>
          <w:numId w:val="10"/>
        </w:numPr>
      </w:pPr>
      <w:r>
        <w:rPr>
          <w:rFonts w:ascii="Calibri" w:hAnsi="Calibri" w:eastAsia="Calibri" w:cs="Calibri"/>
          <w:color w:val="17201E"/>
          <w:sz w:val="21"/>
        </w:rPr>
        <w:t>Платформаның тиімділігі, шектеулері және мектепте қолдану шарттары туралы қорытынды жасау.</w:t>
      </w:r>
    </w:p>
    <w:p>
      <w:r>
        <w:br w:type="page"/>
      </w:r>
    </w:p>
    <w:p>
      <w:pPr>
        <w:pStyle w:val="Heading2"/>
        <w:keepNext/>
      </w:pPr>
      <w:r>
        <w:t>Scientific framework - English version</w:t>
      </w:r>
    </w:p>
    <w:tbl>
      <w:tblPr>
        <w:tblW w:type="dxa" w:w="9360"/>
        <w:jc w:val="left"/>
        <w:tblLayout w:type="fixed"/>
        <w:tblLook w:firstColumn="1" w:firstRow="1" w:lastColumn="0" w:lastRow="0" w:noHBand="0" w:noVBand="1" w:val="04A0"/>
        <w:tblInd w:w="120" w:type="dxa"/>
      </w:tblPr>
      <w:tblGrid>
        <w:gridCol w:w="2440"/>
        <w:gridCol w:w="6920"/>
      </w:tblGrid>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Relevance</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Teenagers encounter English songs every day, but exposure alone does not guarantee purposeful learning. A school-appropriate method is needed to explain context and measure outcomes.</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Object of study</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The process of teenagers learning English in a digital environment.</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Subject of study</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The effect of AI-assisted, song-based activities on vocabulary, listening, and speaking skills.</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Aim</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To develop, test, and evaluate the effect of the SONORA methodology on teenagers' English language skills.</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Research question</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Does four weeks of systematic learning through SONORA improve vocabulary, listening, and speaking outcomes more than conventional exercises?</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Hypothesis</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When learners work with a song they value through a structured route connecting meaning, listening, vocabulary, and speaking, their engagement and language outcomes will improve.</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Scientific novelty</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The project integrates meaning, register, safety, active practice, and measurable progress in one seven-stage model instead of offering lyric translation only.</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Practical significance</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A trilingual web tool and a reusable classroom research protocol for teachers and learners.</w:t>
            </w:r>
          </w:p>
        </w:tc>
      </w:tr>
    </w:tbl>
    <w:p>
      <w:pPr>
        <w:spacing w:after="40"/>
      </w:pPr>
    </w:p>
    <w:p>
      <w:pPr>
        <w:pStyle w:val="Heading3"/>
        <w:keepNext/>
      </w:pPr>
      <w:r>
        <w:t>Research objectives</w:t>
      </w:r>
    </w:p>
    <w:p>
      <w:pPr>
        <w:pStyle w:val="ListNumber"/>
        <w:spacing w:after="80" w:line="290" w:lineRule="auto"/>
        <w:ind w:left="540" w:hanging="279"/>
        <w:numPr>
          <w:ilvl w:val="0"/>
          <w:numId w:val="11"/>
        </w:numPr>
      </w:pPr>
      <w:r>
        <w:rPr>
          <w:rFonts w:ascii="Calibri" w:hAnsi="Calibri" w:eastAsia="Calibri" w:cs="Calibri"/>
          <w:color w:val="17201E"/>
          <w:sz w:val="21"/>
        </w:rPr>
        <w:t>Review scientific literature on music and second-language learning.</w:t>
      </w:r>
    </w:p>
    <w:p>
      <w:pPr>
        <w:pStyle w:val="ListNumber"/>
        <w:spacing w:after="80" w:line="290" w:lineRule="auto"/>
        <w:ind w:left="540" w:hanging="279"/>
        <w:numPr>
          <w:ilvl w:val="0"/>
          <w:numId w:val="11"/>
        </w:numPr>
      </w:pPr>
      <w:r>
        <w:rPr>
          <w:rFonts w:ascii="Calibri" w:hAnsi="Calibri" w:eastAsia="Calibri" w:cs="Calibri"/>
          <w:color w:val="17201E"/>
          <w:sz w:val="21"/>
        </w:rPr>
        <w:t>Develop a functioning trilingual prototype of the SONORA platform.</w:t>
      </w:r>
    </w:p>
    <w:p>
      <w:pPr>
        <w:pStyle w:val="ListNumber"/>
        <w:spacing w:after="80" w:line="290" w:lineRule="auto"/>
        <w:ind w:left="540" w:hanging="279"/>
        <w:numPr>
          <w:ilvl w:val="0"/>
          <w:numId w:val="11"/>
        </w:numPr>
      </w:pPr>
      <w:r>
        <w:rPr>
          <w:rFonts w:ascii="Calibri" w:hAnsi="Calibri" w:eastAsia="Calibri" w:cs="Calibri"/>
          <w:color w:val="17201E"/>
          <w:sz w:val="21"/>
        </w:rPr>
        <w:t>Describe the seven-stage song-to-lesson method.</w:t>
      </w:r>
    </w:p>
    <w:p>
      <w:pPr>
        <w:pStyle w:val="ListNumber"/>
        <w:spacing w:after="80" w:line="290" w:lineRule="auto"/>
        <w:ind w:left="540" w:hanging="279"/>
        <w:numPr>
          <w:ilvl w:val="0"/>
          <w:numId w:val="11"/>
        </w:numPr>
      </w:pPr>
      <w:r>
        <w:rPr>
          <w:rFonts w:ascii="Calibri" w:hAnsi="Calibri" w:eastAsia="Calibri" w:cs="Calibri"/>
          <w:color w:val="17201E"/>
          <w:sz w:val="21"/>
        </w:rPr>
        <w:t>Prepare equivalent vocabulary, listening, and speaking pre- and post-tests.</w:t>
      </w:r>
    </w:p>
    <w:p>
      <w:pPr>
        <w:pStyle w:val="ListNumber"/>
        <w:spacing w:after="80" w:line="290" w:lineRule="auto"/>
        <w:ind w:left="540" w:hanging="279"/>
        <w:numPr>
          <w:ilvl w:val="0"/>
          <w:numId w:val="11"/>
        </w:numPr>
      </w:pPr>
      <w:r>
        <w:rPr>
          <w:rFonts w:ascii="Calibri" w:hAnsi="Calibri" w:eastAsia="Calibri" w:cs="Calibri"/>
          <w:color w:val="17201E"/>
          <w:sz w:val="21"/>
        </w:rPr>
        <w:t>Compare changes in the experimental and control groups.</w:t>
      </w:r>
    </w:p>
    <w:p>
      <w:pPr>
        <w:pStyle w:val="ListNumber"/>
        <w:spacing w:after="80" w:line="290" w:lineRule="auto"/>
        <w:ind w:left="540" w:hanging="279"/>
        <w:numPr>
          <w:ilvl w:val="0"/>
          <w:numId w:val="11"/>
        </w:numPr>
      </w:pPr>
      <w:r>
        <w:rPr>
          <w:rFonts w:ascii="Calibri" w:hAnsi="Calibri" w:eastAsia="Calibri" w:cs="Calibri"/>
          <w:color w:val="17201E"/>
          <w:sz w:val="21"/>
        </w:rPr>
        <w:t>Identify effectiveness, limitations, and conditions for responsible school use.</w:t>
      </w:r>
    </w:p>
    <w:p>
      <w:r>
        <w:br w:type="page"/>
      </w:r>
    </w:p>
    <w:p>
      <w:pPr>
        <w:pStyle w:val="Heading1"/>
        <w:keepNext/>
      </w:pPr>
      <w:r>
        <w:t>5. Әдістеме / Methodology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3F7EA"/>
            <w:tcBorders>
              <w:top w:val="nil"/>
              <w:bottom w:val="nil"/>
              <w:end w:val="nil"/>
              <w:start w:val="single" w:sz="20" w:color="6F8C36"/>
            </w:tcBorders>
          </w:tcPr>
          <w:p>
            <w:pPr>
              <w:spacing w:before="0" w:after="60" w:line="283" w:lineRule="auto"/>
            </w:pPr>
            <w:r>
              <w:rPr>
                <w:rFonts w:ascii="Calibri" w:hAnsi="Calibri" w:eastAsia="Calibri" w:cs="Calibri"/>
                <w:b/>
                <w:color w:val="6F8C36"/>
                <w:sz w:val="18"/>
              </w:rPr>
              <w:t>ҰСЫНЫЛАТЫН ДИЗАЙН / RECOMMENDED DESIGN</w:t>
            </w:r>
          </w:p>
          <w:p>
            <w:pPr>
              <w:spacing w:before="0" w:after="0" w:line="288" w:lineRule="auto"/>
            </w:pPr>
            <w:r>
              <w:rPr>
                <w:rFonts w:ascii="Calibri" w:hAnsi="Calibri" w:eastAsia="Calibri" w:cs="Calibri"/>
                <w:color w:val="17201E"/>
                <w:sz w:val="21"/>
              </w:rPr>
              <w:t>A four-week quasi-experiment with 30 learners: 15 in the experimental group and 15 in the control group. If fewer students are available, retain equal groups and describe the smaller sample as a limitation.</w:t>
            </w:r>
          </w:p>
        </w:tc>
      </w:tr>
    </w:tbl>
    <w:p>
      <w:pPr>
        <w:spacing w:after="40"/>
      </w:pPr>
    </w:p>
    <w:tbl>
      <w:tblPr>
        <w:tblW w:type="dxa" w:w="9360"/>
        <w:jc w:val="left"/>
        <w:tblLayout w:type="fixed"/>
        <w:tblLook w:firstColumn="1" w:firstRow="1" w:lastColumn="0" w:lastRow="0" w:noHBand="0" w:noVBand="1" w:val="04A0"/>
        <w:tblInd w:w="120" w:type="dxa"/>
      </w:tblPr>
      <w:tblGrid>
        <w:gridCol w:w="1180"/>
        <w:gridCol w:w="4090"/>
        <w:gridCol w:w="4090"/>
      </w:tblGrid>
      <w:tr>
        <w:trPr>
          <w:tblHeader w:val="true"/>
        </w:trPr>
        <w:tc>
          <w:tcPr>
            <w:tcW w:type="dxa" w:w="118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Кезең / Phase</w:t>
            </w:r>
          </w:p>
        </w:tc>
        <w:tc>
          <w:tcPr>
            <w:tcW w:type="dxa" w:w="409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Эксперименттік топ / Experimental</w:t>
            </w:r>
          </w:p>
        </w:tc>
        <w:tc>
          <w:tcPr>
            <w:tcW w:type="dxa" w:w="409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Бақылау тобы / Control</w:t>
            </w:r>
          </w:p>
        </w:tc>
      </w:tr>
      <w:tr>
        <w:tc>
          <w:tcPr>
            <w:tcW w:type="dxa" w:w="118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0-апта</w:t>
            </w:r>
          </w:p>
        </w:tc>
        <w:tc>
          <w:tcPr>
            <w:tcW w:type="dxa" w:w="409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Vocabulary, listening, speaking pre-test; consent and short motivation survey.</w:t>
            </w:r>
          </w:p>
        </w:tc>
        <w:tc>
          <w:tcPr>
            <w:tcW w:type="dxa" w:w="409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The same pre-test, consent, and survey.</w:t>
            </w:r>
          </w:p>
        </w:tc>
      </w:tr>
      <w:tr>
        <w:tc>
          <w:tcPr>
            <w:tcW w:type="dxa" w:w="118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1-4 апта</w:t>
            </w:r>
          </w:p>
        </w:tc>
        <w:tc>
          <w:tcPr>
            <w:tcW w:type="dxa" w:w="409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3 sessions per week, 25-30 minutes, using SONORA song-based lessons.</w:t>
            </w:r>
          </w:p>
        </w:tc>
        <w:tc>
          <w:tcPr>
            <w:tcW w:type="dxa" w:w="409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3 sessions per week, 25-30 minutes, using conventional text/audio exercises on comparable themes.</w:t>
            </w:r>
          </w:p>
        </w:tc>
      </w:tr>
      <w:tr>
        <w:tc>
          <w:tcPr>
            <w:tcW w:type="dxa" w:w="118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4-апта</w:t>
            </w:r>
          </w:p>
        </w:tc>
        <w:tc>
          <w:tcPr>
            <w:tcW w:type="dxa" w:w="409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Equivalent post-test and platform-use summary.</w:t>
            </w:r>
          </w:p>
        </w:tc>
        <w:tc>
          <w:tcPr>
            <w:tcW w:type="dxa" w:w="409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Equivalent post-test.</w:t>
            </w:r>
          </w:p>
        </w:tc>
      </w:tr>
      <w:tr>
        <w:tc>
          <w:tcPr>
            <w:tcW w:type="dxa" w:w="118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5-апта (optional)</w:t>
            </w:r>
          </w:p>
        </w:tc>
        <w:tc>
          <w:tcPr>
            <w:tcW w:type="dxa" w:w="409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Delayed vocabulary check to examine retention.</w:t>
            </w:r>
          </w:p>
        </w:tc>
        <w:tc>
          <w:tcPr>
            <w:tcW w:type="dxa" w:w="409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The same delayed vocabulary check.</w:t>
            </w:r>
          </w:p>
        </w:tc>
      </w:tr>
    </w:tbl>
    <w:p>
      <w:pPr>
        <w:spacing w:after="40"/>
      </w:pPr>
    </w:p>
    <w:p>
      <w:pPr>
        <w:pStyle w:val="Heading2"/>
        <w:keepNext/>
      </w:pPr>
      <w:r>
        <w:t>Қатысушылар / Participants</w:t>
      </w:r>
    </w:p>
    <w:p>
      <w:pPr>
        <w:spacing w:before="0" w:after="160" w:line="300" w:lineRule="auto"/>
        <w:jc w:val="left"/>
      </w:pPr>
      <w:r>
        <w:rPr>
          <w:rFonts w:ascii="Calibri" w:hAnsi="Calibri" w:eastAsia="Calibri" w:cs="Calibri"/>
          <w:b w:val="0"/>
          <w:i w:val="0"/>
          <w:color w:val="17201E"/>
          <w:sz w:val="22"/>
        </w:rPr>
        <w:t>Target sample: approximately 30 teenagers aged 13-17 at CEFR A2-B1. Random assignment is preferred; otherwise, match the groups by pre-test score and report a quasi-experimental design.</w:t>
      </w:r>
    </w:p>
    <w:p>
      <w:pPr>
        <w:pStyle w:val="Heading2"/>
        <w:keepNext/>
      </w:pPr>
      <w:r>
        <w:t>Айнымалылар / Variables</w:t>
      </w:r>
    </w:p>
    <w:tbl>
      <w:tblPr>
        <w:tblW w:type="dxa" w:w="9360"/>
        <w:jc w:val="left"/>
        <w:tblLayout w:type="fixed"/>
        <w:tblLook w:firstColumn="1" w:firstRow="1" w:lastColumn="0" w:lastRow="0" w:noHBand="0" w:noVBand="1" w:val="04A0"/>
        <w:tblInd w:w="120" w:type="dxa"/>
      </w:tblPr>
      <w:tblGrid>
        <w:gridCol w:w="2440"/>
        <w:gridCol w:w="6920"/>
      </w:tblGrid>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Independent variable</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Learning method: SONORA song-based route or conventional exercises.</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Dependent variables</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Vocabulary score, listening-comprehension score, speaking-rubric score, and engagement survey score.</w:t>
            </w:r>
          </w:p>
        </w:tc>
      </w:tr>
      <w:tr>
        <w:tc>
          <w:tcPr>
            <w:tcW w:type="dxa" w:w="2440"/>
            <w:tcMar>
              <w:top w:w="100" w:type="dxa"/>
              <w:start w:w="120" w:type="dxa"/>
              <w:bottom w:w="100" w:type="dxa"/>
              <w:end w:w="120" w:type="dxa"/>
            </w:tcMar>
            <w:vAlign w:val="center"/>
            <w:shd w:fill="EEF5F3"/>
          </w:tcPr>
          <w:p>
            <w:pPr>
              <w:spacing w:before="0" w:after="0" w:line="269" w:lineRule="auto"/>
              <w:jc w:val="left"/>
            </w:pPr>
            <w:r>
              <w:rPr>
                <w:rFonts w:ascii="Calibri" w:hAnsi="Calibri" w:eastAsia="Calibri" w:cs="Calibri"/>
                <w:b/>
                <w:color w:val="245047"/>
                <w:sz w:val="19"/>
              </w:rPr>
              <w:t>Controlled conditions</w:t>
            </w:r>
          </w:p>
        </w:tc>
        <w:tc>
          <w:tcPr>
            <w:tcW w:type="dxa" w:w="6920"/>
            <w:tcMar>
              <w:top w:w="100" w:type="dxa"/>
              <w:start w:w="120" w:type="dxa"/>
              <w:bottom w:w="100" w:type="dxa"/>
              <w:end w:w="120" w:type="dxa"/>
            </w:tcMar>
            <w:vAlign w:val="center"/>
            <w:shd w:fill="FFFFFF"/>
          </w:tcPr>
          <w:p>
            <w:pPr>
              <w:spacing w:before="0" w:after="0" w:line="276" w:lineRule="auto"/>
              <w:jc w:val="left"/>
            </w:pPr>
            <w:r>
              <w:rPr>
                <w:rFonts w:ascii="Calibri" w:hAnsi="Calibri" w:eastAsia="Calibri" w:cs="Calibri"/>
                <w:color w:val="17201E"/>
                <w:sz w:val="19"/>
              </w:rPr>
              <w:t>Duration, number of sessions, target level, approximate lexical load, test timing, and teacher instructions.</w:t>
            </w:r>
          </w:p>
        </w:tc>
      </w:tr>
    </w:tbl>
    <w:p>
      <w:pPr>
        <w:spacing w:after="40"/>
      </w:pPr>
    </w:p>
    <w:p>
      <w:r>
        <w:br w:type="page"/>
      </w:r>
    </w:p>
    <w:p>
      <w:pPr>
        <w:pStyle w:val="Heading2"/>
        <w:keepNext/>
      </w:pPr>
      <w:r>
        <w:t>Зерттеу әдістері / Research methods</w:t>
      </w:r>
    </w:p>
    <w:p>
      <w:pPr>
        <w:pStyle w:val="ListBullet"/>
        <w:spacing w:after="80" w:line="290" w:lineRule="auto"/>
        <w:ind w:left="540" w:hanging="279"/>
      </w:pPr>
      <w:r>
        <w:rPr>
          <w:rFonts w:ascii="Calibri" w:hAnsi="Calibri" w:eastAsia="Calibri" w:cs="Calibri"/>
          <w:color w:val="17201E"/>
          <w:sz w:val="21"/>
        </w:rPr>
        <w:t>Theoretical: literature review, comparison, classification, and synthesis.</w:t>
      </w:r>
    </w:p>
    <w:p>
      <w:pPr>
        <w:pStyle w:val="ListBullet"/>
        <w:spacing w:after="80" w:line="290" w:lineRule="auto"/>
        <w:ind w:left="540" w:hanging="279"/>
      </w:pPr>
      <w:r>
        <w:rPr>
          <w:rFonts w:ascii="Calibri" w:hAnsi="Calibri" w:eastAsia="Calibri" w:cs="Calibri"/>
          <w:color w:val="17201E"/>
          <w:sz w:val="21"/>
        </w:rPr>
        <w:t>Empirical: pre-test/post-test, observation, questionnaire, and analysis of anonymised platform actions.</w:t>
      </w:r>
    </w:p>
    <w:p>
      <w:pPr>
        <w:pStyle w:val="ListBullet"/>
        <w:spacing w:after="80" w:line="290" w:lineRule="auto"/>
        <w:ind w:left="540" w:hanging="279"/>
      </w:pPr>
      <w:r>
        <w:rPr>
          <w:rFonts w:ascii="Calibri" w:hAnsi="Calibri" w:eastAsia="Calibri" w:cs="Calibri"/>
          <w:color w:val="17201E"/>
          <w:sz w:val="21"/>
        </w:rPr>
        <w:t>Statistical: mean and median gain, between-group gain difference, and effect size (Cohen's d when assumptions are reasonable).</w:t>
      </w:r>
    </w:p>
    <w:p>
      <w:pPr>
        <w:pStyle w:val="ListBullet"/>
        <w:spacing w:after="80" w:line="290" w:lineRule="auto"/>
        <w:ind w:left="540" w:hanging="279"/>
      </w:pPr>
      <w:r>
        <w:rPr>
          <w:rFonts w:ascii="Calibri" w:hAnsi="Calibri" w:eastAsia="Calibri" w:cs="Calibri"/>
          <w:color w:val="17201E"/>
          <w:sz w:val="21"/>
        </w:rPr>
        <w:t>Reliability: one shared speaking rubric; a second rater checks at least 20% of speaking samples when feasible.</w:t>
      </w:r>
    </w:p>
    <w:p>
      <w:pPr>
        <w:pStyle w:val="Heading2"/>
        <w:keepNext/>
      </w:pPr>
      <w:r>
        <w:t>Бір сабақтың протоколы / One-session protocol</w:t>
      </w:r>
    </w:p>
    <w:tbl>
      <w:tblPr>
        <w:tblW w:type="dxa" w:w="9360"/>
        <w:jc w:val="left"/>
        <w:tblLayout w:type="fixed"/>
        <w:tblLook w:firstColumn="1" w:firstRow="1" w:lastColumn="0" w:lastRow="0" w:noHBand="0" w:noVBand="1" w:val="04A0"/>
        <w:tblInd w:w="120" w:type="dxa"/>
      </w:tblPr>
      <w:tblGrid>
        <w:gridCol w:w="1560"/>
        <w:gridCol w:w="7800"/>
      </w:tblGrid>
      <w:tr>
        <w:trPr>
          <w:tblHeader w:val="true"/>
        </w:trPr>
        <w:tc>
          <w:tcPr>
            <w:tcW w:type="dxa" w:w="156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Уақыт / Time</w:t>
            </w:r>
          </w:p>
        </w:tc>
        <w:tc>
          <w:tcPr>
            <w:tcW w:type="dxa" w:w="780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Оқу әрекеті / Learning activity</w:t>
            </w:r>
          </w:p>
        </w:tc>
      </w:tr>
      <w:tr>
        <w:tc>
          <w:tcPr>
            <w:tcW w:type="dxa" w:w="156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2 min</w:t>
            </w:r>
          </w:p>
        </w:tc>
        <w:tc>
          <w:tcPr>
            <w:tcW w:type="dxa" w:w="78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Choose the lesson goal and write an initial prediction.</w:t>
            </w:r>
          </w:p>
        </w:tc>
      </w:tr>
      <w:tr>
        <w:tc>
          <w:tcPr>
            <w:tcW w:type="dxa" w:w="156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7 min</w:t>
            </w:r>
          </w:p>
        </w:tc>
        <w:tc>
          <w:tcPr>
            <w:tcW w:type="dxa" w:w="78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Open the authorised source, listen, and complete focused recognition.</w:t>
            </w:r>
          </w:p>
        </w:tc>
      </w:tr>
      <w:tr>
        <w:tc>
          <w:tcPr>
            <w:tcW w:type="dxa" w:w="156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8 min</w:t>
            </w:r>
          </w:p>
        </w:tc>
        <w:tc>
          <w:tcPr>
            <w:tcW w:type="dxa" w:w="78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Study vocabulary, register, and language-form explanations.</w:t>
            </w:r>
          </w:p>
        </w:tc>
      </w:tr>
      <w:tr>
        <w:tc>
          <w:tcPr>
            <w:tcW w:type="dxa" w:w="156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5 min</w:t>
            </w:r>
          </w:p>
        </w:tc>
        <w:tc>
          <w:tcPr>
            <w:tcW w:type="dxa" w:w="78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Complete the checkpoint and retry only incorrect items.</w:t>
            </w:r>
          </w:p>
        </w:tc>
      </w:tr>
      <w:tr>
        <w:tc>
          <w:tcPr>
            <w:tcW w:type="dxa" w:w="156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5 min</w:t>
            </w:r>
          </w:p>
        </w:tc>
        <w:tc>
          <w:tcPr>
            <w:tcW w:type="dxa" w:w="78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Give a guided speaking response and save the session result.</w:t>
            </w:r>
          </w:p>
        </w:tc>
      </w:tr>
    </w:tbl>
    <w:p>
      <w:pPr>
        <w:spacing w:after="40"/>
      </w:pPr>
    </w:p>
    <w:p>
      <w:pPr>
        <w:pStyle w:val="Heading2"/>
        <w:keepNext/>
      </w:pPr>
      <w:r>
        <w:t>Экспериментті өткізу чек-листі / Implementation checklist</w:t>
      </w:r>
    </w:p>
    <w:p>
      <w:pPr>
        <w:pStyle w:val="ListBullet"/>
        <w:spacing w:after="60" w:line="290" w:lineRule="auto"/>
        <w:ind w:left="540" w:hanging="279"/>
      </w:pPr>
      <w:r>
        <w:rPr>
          <w:rFonts w:ascii="Calibri" w:hAnsi="Calibri" w:eastAsia="Calibri" w:cs="Calibri"/>
          <w:color w:val="17201E"/>
          <w:sz w:val="20"/>
        </w:rPr>
        <w:t>Use the same session duration and teacher instructions for both groups.</w:t>
      </w:r>
    </w:p>
    <w:p>
      <w:pPr>
        <w:pStyle w:val="ListBullet"/>
        <w:spacing w:after="60" w:line="290" w:lineRule="auto"/>
        <w:ind w:left="540" w:hanging="279"/>
      </w:pPr>
      <w:r>
        <w:rPr>
          <w:rFonts w:ascii="Calibri" w:hAnsi="Calibri" w:eastAsia="Calibri" w:cs="Calibri"/>
          <w:color w:val="17201E"/>
          <w:sz w:val="20"/>
        </w:rPr>
        <w:t>Review generated lesson content before learners begin.</w:t>
      </w:r>
    </w:p>
    <w:p>
      <w:pPr>
        <w:pStyle w:val="ListBullet"/>
        <w:spacing w:after="60" w:line="290" w:lineRule="auto"/>
        <w:ind w:left="540" w:hanging="279"/>
      </w:pPr>
      <w:r>
        <w:rPr>
          <w:rFonts w:ascii="Calibri" w:hAnsi="Calibri" w:eastAsia="Calibri" w:cs="Calibri"/>
          <w:color w:val="17201E"/>
          <w:sz w:val="20"/>
        </w:rPr>
        <w:t>Record participants with anonymous codes and keep consent forms separately.</w:t>
      </w:r>
    </w:p>
    <w:p>
      <w:pPr>
        <w:pStyle w:val="ListBullet"/>
        <w:spacing w:after="60" w:line="290" w:lineRule="auto"/>
        <w:ind w:left="540" w:hanging="279"/>
      </w:pPr>
      <w:r>
        <w:rPr>
          <w:rFonts w:ascii="Calibri" w:hAnsi="Calibri" w:eastAsia="Calibri" w:cs="Calibri"/>
          <w:color w:val="17201E"/>
          <w:sz w:val="20"/>
        </w:rPr>
        <w:t>Do not change the scoring rubric between the pre-test and post-test.</w:t>
      </w:r>
    </w:p>
    <w:p>
      <w:r>
        <w:br w:type="page"/>
      </w:r>
    </w:p>
    <w:p>
      <w:pPr>
        <w:pStyle w:val="Heading1"/>
        <w:keepNext/>
      </w:pPr>
      <w:r>
        <w:t>6. SONORA оқу моделі / SONORA learning model</w:t>
      </w:r>
    </w:p>
    <w:p>
      <w:pPr>
        <w:spacing w:before="0" w:after="160" w:line="300" w:lineRule="auto"/>
        <w:jc w:val="left"/>
      </w:pPr>
      <w:r>
        <w:rPr>
          <w:rFonts w:ascii="Calibri" w:hAnsi="Calibri" w:eastAsia="Calibri" w:cs="Calibri"/>
          <w:b w:val="0"/>
          <w:i/>
          <w:color w:val="5E6C68"/>
          <w:sz w:val="22"/>
        </w:rPr>
        <w:t>The platform is the research instrument; the object of evaluation is the learning method implemented through it.</w:t>
      </w:r>
    </w:p>
    <w:tbl>
      <w:tblPr>
        <w:tblW w:type="dxa" w:w="9360"/>
        <w:jc w:val="left"/>
        <w:tblLayout w:type="fixed"/>
        <w:tblLook w:firstColumn="1" w:firstRow="1" w:lastColumn="0" w:lastRow="0" w:noHBand="0" w:noVBand="1" w:val="04A0"/>
        <w:tblInd w:w="120" w:type="dxa"/>
      </w:tblPr>
      <w:tblGrid>
        <w:gridCol w:w="560"/>
        <w:gridCol w:w="2400"/>
        <w:gridCol w:w="6400"/>
      </w:tblGrid>
      <w:tr>
        <w:trPr>
          <w:tblHeader w:val="true"/>
        </w:trPr>
        <w:tc>
          <w:tcPr>
            <w:tcW w:type="dxa" w:w="56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w:t>
            </w:r>
          </w:p>
        </w:tc>
        <w:tc>
          <w:tcPr>
            <w:tcW w:type="dxa" w:w="240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Кезең / Stage</w:t>
            </w:r>
          </w:p>
        </w:tc>
        <w:tc>
          <w:tcPr>
            <w:tcW w:type="dxa" w:w="640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Нақты оқу әрекеті / Observable learning action</w:t>
            </w:r>
          </w:p>
        </w:tc>
      </w:tr>
      <w:tr>
        <w:tc>
          <w:tcPr>
            <w:tcW w:type="dxa" w:w="56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1</w:t>
            </w:r>
          </w:p>
        </w:tc>
        <w:tc>
          <w:tcPr>
            <w:tcW w:type="dxa" w:w="24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Баптау / Setup</w:t>
            </w:r>
          </w:p>
        </w:tc>
        <w:tc>
          <w:tcPr>
            <w:tcW w:type="dxa" w:w="64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Learner chooses a goal: vocabulary, listening, speaking, or song meaning.</w:t>
            </w:r>
          </w:p>
        </w:tc>
      </w:tr>
      <w:tr>
        <w:tc>
          <w:tcPr>
            <w:tcW w:type="dxa" w:w="56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2</w:t>
            </w:r>
          </w:p>
        </w:tc>
        <w:tc>
          <w:tcPr>
            <w:tcW w:type="dxa" w:w="24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Мағына / Meaning</w:t>
            </w:r>
          </w:p>
        </w:tc>
        <w:tc>
          <w:tcPr>
            <w:tcW w:type="dxa" w:w="64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Learner writes a prediction and selects a mood before the explanation is revealed.</w:t>
            </w:r>
          </w:p>
        </w:tc>
      </w:tr>
      <w:tr>
        <w:tc>
          <w:tcPr>
            <w:tcW w:type="dxa" w:w="56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3</w:t>
            </w:r>
          </w:p>
        </w:tc>
        <w:tc>
          <w:tcPr>
            <w:tcW w:type="dxa" w:w="24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Тыңдалым / Listening</w:t>
            </w:r>
          </w:p>
        </w:tc>
        <w:tc>
          <w:tcPr>
            <w:tcW w:type="dxa" w:w="64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Learner opens an authorised source, listens, and completes focused recognition tasks.</w:t>
            </w:r>
          </w:p>
        </w:tc>
      </w:tr>
      <w:tr>
        <w:tc>
          <w:tcPr>
            <w:tcW w:type="dxa" w:w="56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4</w:t>
            </w:r>
          </w:p>
        </w:tc>
        <w:tc>
          <w:tcPr>
            <w:tcW w:type="dxa" w:w="24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Сөздік / Vocabulary</w:t>
            </w:r>
          </w:p>
        </w:tc>
        <w:tc>
          <w:tcPr>
            <w:tcW w:type="dxa" w:w="64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Useful words, CEFR level, pronunciation, meaning in EN/KK/RU, example, and active recall.</w:t>
            </w:r>
          </w:p>
        </w:tc>
      </w:tr>
      <w:tr>
        <w:tc>
          <w:tcPr>
            <w:tcW w:type="dxa" w:w="56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5</w:t>
            </w:r>
          </w:p>
        </w:tc>
        <w:tc>
          <w:tcPr>
            <w:tcW w:type="dxa" w:w="24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Тіл зертханасы / Language Lab</w:t>
            </w:r>
          </w:p>
        </w:tc>
        <w:tc>
          <w:tcPr>
            <w:tcW w:type="dxa" w:w="64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Slang, informal or non-standard forms are compared with standard English and usage context.</w:t>
            </w:r>
          </w:p>
        </w:tc>
      </w:tr>
      <w:tr>
        <w:tc>
          <w:tcPr>
            <w:tcW w:type="dxa" w:w="56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6</w:t>
            </w:r>
          </w:p>
        </w:tc>
        <w:tc>
          <w:tcPr>
            <w:tcW w:type="dxa" w:w="24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Бақылау / Checkpoint</w:t>
            </w:r>
          </w:p>
        </w:tc>
        <w:tc>
          <w:tcPr>
            <w:tcW w:type="dxa" w:w="64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Five tasks with hidden answers; on retry, only incorrect items are repeated.</w:t>
            </w:r>
          </w:p>
        </w:tc>
      </w:tr>
      <w:tr>
        <w:tc>
          <w:tcPr>
            <w:tcW w:type="dxa" w:w="56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7</w:t>
            </w:r>
          </w:p>
        </w:tc>
        <w:tc>
          <w:tcPr>
            <w:tcW w:type="dxa" w:w="24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Айтылым / Speaking</w:t>
            </w:r>
          </w:p>
        </w:tc>
        <w:tc>
          <w:tcPr>
            <w:tcW w:type="dxa" w:w="64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A guided response linked to the chosen goal, target vocabulary, and a transparent rubric.</w:t>
            </w:r>
          </w:p>
        </w:tc>
      </w:tr>
    </w:tbl>
    <w:p>
      <w:pPr>
        <w:spacing w:after="40"/>
      </w:pPr>
    </w:p>
    <w:p>
      <w:pPr>
        <w:pStyle w:val="Heading2"/>
        <w:keepNext/>
      </w:pPr>
      <w:r>
        <w:t>Үш тілдің рөлі / Role of three languages</w:t>
      </w:r>
    </w:p>
    <w:p>
      <w:pPr>
        <w:pStyle w:val="ListBullet"/>
        <w:spacing w:after="80" w:line="290" w:lineRule="auto"/>
        <w:ind w:left="540" w:hanging="279"/>
      </w:pPr>
      <w:r>
        <w:rPr>
          <w:rFonts w:ascii="Calibri" w:hAnsi="Calibri" w:eastAsia="Calibri" w:cs="Calibri"/>
          <w:color w:val="17201E"/>
          <w:sz w:val="21"/>
        </w:rPr>
        <w:t>English is the target language and the source of listening, vocabulary, and speaking practice.</w:t>
      </w:r>
    </w:p>
    <w:p>
      <w:pPr>
        <w:pStyle w:val="ListBullet"/>
        <w:spacing w:after="80" w:line="290" w:lineRule="auto"/>
        <w:ind w:left="540" w:hanging="279"/>
      </w:pPr>
      <w:r>
        <w:rPr>
          <w:rFonts w:ascii="Calibri" w:hAnsi="Calibri" w:eastAsia="Calibri" w:cs="Calibri"/>
          <w:color w:val="17201E"/>
          <w:sz w:val="21"/>
        </w:rPr>
        <w:t>Kazakh provides locally meaningful explanations and supports access for Kazakh-medium learners.</w:t>
      </w:r>
    </w:p>
    <w:p>
      <w:pPr>
        <w:pStyle w:val="ListBullet"/>
        <w:spacing w:after="80" w:line="290" w:lineRule="auto"/>
        <w:ind w:left="540" w:hanging="279"/>
      </w:pPr>
      <w:r>
        <w:rPr>
          <w:rFonts w:ascii="Calibri" w:hAnsi="Calibri" w:eastAsia="Calibri" w:cs="Calibri"/>
          <w:color w:val="17201E"/>
          <w:sz w:val="21"/>
        </w:rPr>
        <w:t>Russian provides an additional support language without replacing the English learning task.</w:t>
      </w:r>
    </w:p>
    <w:p>
      <w:pPr>
        <w:pStyle w:val="Heading2"/>
        <w:keepNext/>
      </w:pPr>
      <w:r>
        <w:t>AI-дың рөлі / Role of AI</w:t>
      </w:r>
    </w:p>
    <w:p>
      <w:pPr>
        <w:spacing w:before="0" w:after="160" w:line="300" w:lineRule="auto"/>
        <w:jc w:val="left"/>
      </w:pPr>
      <w:r>
        <w:rPr>
          <w:rFonts w:ascii="Calibri" w:hAnsi="Calibri" w:eastAsia="Calibri" w:cs="Calibri"/>
          <w:b w:val="0"/>
          <w:i w:val="0"/>
          <w:color w:val="17201E"/>
          <w:sz w:val="22"/>
        </w:rPr>
        <w:t>AI proposes a structured lesson from a short user-supplied excerpt. It does not decide the research result. Generated content should be reviewed by the teacher or researcher, and the platform must show when the external provider is temporarily unavailable.</w:t>
      </w:r>
    </w:p>
    <w:p>
      <w:r>
        <w:br w:type="page"/>
      </w:r>
    </w:p>
    <w:p>
      <w:pPr>
        <w:pStyle w:val="Heading1"/>
        <w:keepNext/>
      </w:pPr>
      <w:r>
        <w:t>7. Өлшеу құралдары және деректер / Measures and data</w:t>
      </w:r>
    </w:p>
    <w:tbl>
      <w:tblPr>
        <w:tblW w:type="dxa" w:w="9360"/>
        <w:jc w:val="left"/>
        <w:tblLayout w:type="fixed"/>
        <w:tblLook w:firstColumn="1" w:firstRow="1" w:lastColumn="0" w:lastRow="0" w:noHBand="0" w:noVBand="1" w:val="04A0"/>
        <w:tblInd w:w="120" w:type="dxa"/>
      </w:tblPr>
      <w:tblGrid>
        <w:gridCol w:w="1550"/>
        <w:gridCol w:w="6210"/>
        <w:gridCol w:w="1600"/>
      </w:tblGrid>
      <w:tr>
        <w:trPr>
          <w:tblHeader w:val="true"/>
        </w:trPr>
        <w:tc>
          <w:tcPr>
            <w:tcW w:type="dxa" w:w="155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Дағды / Skill</w:t>
            </w:r>
          </w:p>
        </w:tc>
        <w:tc>
          <w:tcPr>
            <w:tcW w:type="dxa" w:w="621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Өлшем / Measure</w:t>
            </w:r>
          </w:p>
        </w:tc>
        <w:tc>
          <w:tcPr>
            <w:tcW w:type="dxa" w:w="160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Ұпай / Score</w:t>
            </w:r>
          </w:p>
        </w:tc>
      </w:tr>
      <w:tr>
        <w:tc>
          <w:tcPr>
            <w:tcW w:type="dxa" w:w="155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Vocabulary</w:t>
            </w:r>
          </w:p>
        </w:tc>
        <w:tc>
          <w:tcPr>
            <w:tcW w:type="dxa" w:w="621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20 items: meaning, contextual choice, and collocation recognition.</w:t>
            </w:r>
          </w:p>
        </w:tc>
        <w:tc>
          <w:tcPr>
            <w:tcW w:type="dxa" w:w="16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0-20</w:t>
            </w:r>
          </w:p>
        </w:tc>
      </w:tr>
      <w:tr>
        <w:tc>
          <w:tcPr>
            <w:tcW w:type="dxa" w:w="155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Listening</w:t>
            </w:r>
          </w:p>
        </w:tc>
        <w:tc>
          <w:tcPr>
            <w:tcW w:type="dxa" w:w="621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10 short items based on unfamiliar, level-matched audio.</w:t>
            </w:r>
          </w:p>
        </w:tc>
        <w:tc>
          <w:tcPr>
            <w:tcW w:type="dxa" w:w="16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0-10</w:t>
            </w:r>
          </w:p>
        </w:tc>
      </w:tr>
      <w:tr>
        <w:tc>
          <w:tcPr>
            <w:tcW w:type="dxa" w:w="155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Speaking</w:t>
            </w:r>
          </w:p>
        </w:tc>
        <w:tc>
          <w:tcPr>
            <w:tcW w:type="dxa" w:w="621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1.5-2 minute response rated for content, vocabulary, grammar, fluency, and intelligibility.</w:t>
            </w:r>
          </w:p>
        </w:tc>
        <w:tc>
          <w:tcPr>
            <w:tcW w:type="dxa" w:w="16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0-20</w:t>
            </w:r>
          </w:p>
        </w:tc>
      </w:tr>
      <w:tr>
        <w:tc>
          <w:tcPr>
            <w:tcW w:type="dxa" w:w="155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Engagement</w:t>
            </w:r>
          </w:p>
        </w:tc>
        <w:tc>
          <w:tcPr>
            <w:tcW w:type="dxa" w:w="621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Five Likert-scale statements plus one open response.</w:t>
            </w:r>
          </w:p>
        </w:tc>
        <w:tc>
          <w:tcPr>
            <w:tcW w:type="dxa" w:w="16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5-25</w:t>
            </w:r>
          </w:p>
        </w:tc>
      </w:tr>
      <w:tr>
        <w:tc>
          <w:tcPr>
            <w:tcW w:type="dxa" w:w="155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Process data</w:t>
            </w:r>
          </w:p>
        </w:tc>
        <w:tc>
          <w:tcPr>
            <w:tcW w:type="dxa" w:w="621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Completed activities, first-attempt accuracy, retries, active time, and completion status.</w:t>
            </w:r>
          </w:p>
        </w:tc>
        <w:tc>
          <w:tcPr>
            <w:tcW w:type="dxa" w:w="16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Descriptive</w:t>
            </w:r>
          </w:p>
        </w:tc>
      </w:tr>
    </w:tbl>
    <w:p>
      <w:pPr>
        <w:spacing w:after="40"/>
      </w:pPr>
    </w:p>
    <w:p>
      <w:pPr>
        <w:pStyle w:val="Heading2"/>
        <w:keepNext/>
      </w:pPr>
      <w:r>
        <w:t>Нәтижелер кестесі / Results table</w:t>
      </w:r>
    </w:p>
    <w:tbl>
      <w:tblPr>
        <w:tblW w:type="dxa" w:w="9360"/>
        <w:jc w:val="left"/>
        <w:tblLayout w:type="fixed"/>
        <w:tblLook w:firstColumn="1" w:firstRow="1" w:lastColumn="0" w:lastRow="0" w:noHBand="0" w:noVBand="1" w:val="04A0"/>
        <w:tblInd w:w="120" w:type="dxa"/>
      </w:tblPr>
      <w:tblGrid>
        <w:gridCol w:w="1820"/>
        <w:gridCol w:w="1508"/>
        <w:gridCol w:w="1508"/>
        <w:gridCol w:w="1508"/>
        <w:gridCol w:w="1508"/>
        <w:gridCol w:w="1508"/>
      </w:tblGrid>
      <w:tr>
        <w:trPr>
          <w:tblHeader w:val="true"/>
        </w:trPr>
        <w:tc>
          <w:tcPr>
            <w:tcW w:type="dxa" w:w="182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Көрсеткіш / Indicator</w:t>
            </w:r>
          </w:p>
        </w:tc>
        <w:tc>
          <w:tcPr>
            <w:tcW w:type="dxa" w:w="1508"/>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Experimental pre</w:t>
            </w:r>
          </w:p>
        </w:tc>
        <w:tc>
          <w:tcPr>
            <w:tcW w:type="dxa" w:w="1508"/>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Experimental post</w:t>
            </w:r>
          </w:p>
        </w:tc>
        <w:tc>
          <w:tcPr>
            <w:tcW w:type="dxa" w:w="1508"/>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Control pre</w:t>
            </w:r>
          </w:p>
        </w:tc>
        <w:tc>
          <w:tcPr>
            <w:tcW w:type="dxa" w:w="1508"/>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Control post</w:t>
            </w:r>
          </w:p>
        </w:tc>
        <w:tc>
          <w:tcPr>
            <w:tcW w:type="dxa" w:w="1508"/>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Gain difference</w:t>
            </w:r>
          </w:p>
        </w:tc>
      </w:tr>
      <w:tr>
        <w:tc>
          <w:tcPr>
            <w:tcW w:type="dxa" w:w="182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Vocabulary</w:t>
            </w:r>
          </w:p>
        </w:tc>
        <w:tc>
          <w:tcPr>
            <w:tcW w:type="dxa" w:w="1508"/>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calculate</w:t>
            </w:r>
          </w:p>
        </w:tc>
      </w:tr>
      <w:tr>
        <w:tc>
          <w:tcPr>
            <w:tcW w:type="dxa" w:w="182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Listening</w:t>
            </w:r>
          </w:p>
        </w:tc>
        <w:tc>
          <w:tcPr>
            <w:tcW w:type="dxa" w:w="1508"/>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calculate</w:t>
            </w:r>
          </w:p>
        </w:tc>
      </w:tr>
      <w:tr>
        <w:tc>
          <w:tcPr>
            <w:tcW w:type="dxa" w:w="182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Speaking</w:t>
            </w:r>
          </w:p>
        </w:tc>
        <w:tc>
          <w:tcPr>
            <w:tcW w:type="dxa" w:w="1508"/>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calculate</w:t>
            </w:r>
          </w:p>
        </w:tc>
      </w:tr>
      <w:tr>
        <w:tc>
          <w:tcPr>
            <w:tcW w:type="dxa" w:w="182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Engagement</w:t>
            </w:r>
          </w:p>
        </w:tc>
        <w:tc>
          <w:tcPr>
            <w:tcW w:type="dxa" w:w="1508"/>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baseline</w:t>
            </w:r>
          </w:p>
        </w:tc>
        <w:tc>
          <w:tcPr>
            <w:tcW w:type="dxa" w:w="1508"/>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baseline</w:t>
            </w:r>
          </w:p>
        </w:tc>
        <w:tc>
          <w:tcPr>
            <w:tcW w:type="dxa" w:w="1508"/>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to be collected</w:t>
            </w:r>
          </w:p>
        </w:tc>
        <w:tc>
          <w:tcPr>
            <w:tcW w:type="dxa" w:w="1508"/>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calculate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3F7EA"/>
            <w:tcBorders>
              <w:top w:val="nil"/>
              <w:bottom w:val="nil"/>
              <w:end w:val="nil"/>
              <w:start w:val="single" w:sz="20" w:color="6F8C36"/>
            </w:tcBorders>
          </w:tcPr>
          <w:p>
            <w:pPr>
              <w:spacing w:before="0" w:after="60" w:line="283" w:lineRule="auto"/>
            </w:pPr>
            <w:r>
              <w:rPr>
                <w:rFonts w:ascii="Calibri" w:hAnsi="Calibri" w:eastAsia="Calibri" w:cs="Calibri"/>
                <w:b/>
                <w:color w:val="6F8C36"/>
                <w:sz w:val="18"/>
              </w:rPr>
              <w:t>ҚОРЫТЫНДЫ ШЫҒАРУ ЕРЕЖЕСІ / DECISION RULE</w:t>
            </w:r>
          </w:p>
          <w:p>
            <w:pPr>
              <w:spacing w:before="0" w:after="0" w:line="288" w:lineRule="auto"/>
            </w:pPr>
            <w:r>
              <w:rPr>
                <w:rFonts w:ascii="Calibri" w:hAnsi="Calibri" w:eastAsia="Calibri" w:cs="Calibri"/>
                <w:color w:val="17201E"/>
                <w:sz w:val="21"/>
              </w:rPr>
              <w:t>The hypothesis is supported only if the experimental group demonstrates a consistently larger gain than the control group in the targeted skills, while testing conditions remain comparable. A visually attractive platform alone is not evidence of effectiveness.</w:t>
            </w:r>
          </w:p>
        </w:tc>
      </w:tr>
    </w:tbl>
    <w:p>
      <w:pPr>
        <w:spacing w:after="40"/>
      </w:pPr>
    </w:p>
    <w:p>
      <w:pPr>
        <w:pStyle w:val="Heading2"/>
        <w:keepNext/>
      </w:pPr>
      <w:r>
        <w:t>Деректерді талдау формулалары / Analysis formulas</w:t>
      </w:r>
    </w:p>
    <w:p>
      <w:pPr>
        <w:pStyle w:val="ListBullet"/>
        <w:spacing w:after="80" w:line="290" w:lineRule="auto"/>
        <w:ind w:left="540" w:hanging="279"/>
      </w:pPr>
      <w:r>
        <w:rPr>
          <w:rFonts w:ascii="Calibri" w:hAnsi="Calibri" w:eastAsia="Calibri" w:cs="Calibri"/>
          <w:color w:val="17201E"/>
          <w:sz w:val="21"/>
        </w:rPr>
        <w:t>Individual gain = post-test score - pre-test score.</w:t>
      </w:r>
    </w:p>
    <w:p>
      <w:pPr>
        <w:pStyle w:val="ListBullet"/>
        <w:spacing w:after="80" w:line="290" w:lineRule="auto"/>
        <w:ind w:left="540" w:hanging="279"/>
      </w:pPr>
      <w:r>
        <w:rPr>
          <w:rFonts w:ascii="Calibri" w:hAnsi="Calibri" w:eastAsia="Calibri" w:cs="Calibri"/>
          <w:color w:val="17201E"/>
          <w:sz w:val="21"/>
        </w:rPr>
        <w:t>Group mean gain = sum of individual gains / number of participants.</w:t>
      </w:r>
    </w:p>
    <w:p>
      <w:pPr>
        <w:pStyle w:val="ListBullet"/>
        <w:spacing w:after="80" w:line="290" w:lineRule="auto"/>
        <w:ind w:left="540" w:hanging="279"/>
      </w:pPr>
      <w:r>
        <w:rPr>
          <w:rFonts w:ascii="Calibri" w:hAnsi="Calibri" w:eastAsia="Calibri" w:cs="Calibri"/>
          <w:color w:val="17201E"/>
          <w:sz w:val="21"/>
        </w:rPr>
        <w:t>Gain difference = experimental mean gain - control mean gain.</w:t>
      </w:r>
    </w:p>
    <w:p>
      <w:pPr>
        <w:pStyle w:val="ListBullet"/>
        <w:spacing w:after="80" w:line="290" w:lineRule="auto"/>
        <w:ind w:left="540" w:hanging="279"/>
      </w:pPr>
      <w:r>
        <w:rPr>
          <w:rFonts w:ascii="Calibri" w:hAnsi="Calibri" w:eastAsia="Calibri" w:cs="Calibri"/>
          <w:color w:val="17201E"/>
          <w:sz w:val="21"/>
        </w:rPr>
        <w:t>Accuracy = correct first attempts / scored objective attempts × 100%. Subjective reflections are not counted as correct or incorrect.</w:t>
      </w:r>
    </w:p>
    <w:p>
      <w:r>
        <w:br w:type="page"/>
      </w:r>
    </w:p>
    <w:p>
      <w:pPr>
        <w:pStyle w:val="Heading1"/>
        <w:keepNext/>
      </w:pPr>
      <w:r>
        <w:t>8. Этика, қауіпсіздік және шектеулер / Ethics, safety and limitations</w:t>
      </w:r>
    </w:p>
    <w:p>
      <w:pPr>
        <w:pStyle w:val="Heading2"/>
        <w:keepNext/>
      </w:pPr>
      <w:r>
        <w:t>Қауіпсіздік қағидалары / Safeguards</w:t>
      </w:r>
    </w:p>
    <w:p>
      <w:pPr>
        <w:pStyle w:val="ListBullet"/>
        <w:spacing w:after="80" w:line="290" w:lineRule="auto"/>
        <w:ind w:left="540" w:hanging="279"/>
      </w:pPr>
      <w:r>
        <w:rPr>
          <w:rFonts w:ascii="Calibri" w:hAnsi="Calibri" w:eastAsia="Calibri" w:cs="Calibri"/>
          <w:color w:val="17201E"/>
          <w:sz w:val="21"/>
        </w:rPr>
        <w:t>Obtain participant and parent/guardian consent where required; participation is voluntary.</w:t>
      </w:r>
    </w:p>
    <w:p>
      <w:pPr>
        <w:pStyle w:val="ListBullet"/>
        <w:spacing w:after="80" w:line="290" w:lineRule="auto"/>
        <w:ind w:left="540" w:hanging="279"/>
      </w:pPr>
      <w:r>
        <w:rPr>
          <w:rFonts w:ascii="Calibri" w:hAnsi="Calibri" w:eastAsia="Calibri" w:cs="Calibri"/>
          <w:color w:val="17201E"/>
          <w:sz w:val="21"/>
        </w:rPr>
        <w:t>Use anonymised participant codes instead of names in datasets and charts.</w:t>
      </w:r>
    </w:p>
    <w:p>
      <w:pPr>
        <w:pStyle w:val="ListBullet"/>
        <w:spacing w:after="80" w:line="290" w:lineRule="auto"/>
        <w:ind w:left="540" w:hanging="279"/>
      </w:pPr>
      <w:r>
        <w:rPr>
          <w:rFonts w:ascii="Calibri" w:hAnsi="Calibri" w:eastAsia="Calibri" w:cs="Calibri"/>
          <w:color w:val="17201E"/>
          <w:sz w:val="21"/>
        </w:rPr>
        <w:t>Use short excerpts supplied for analysis; do not publish or store complete copyrighted lyrics.</w:t>
      </w:r>
    </w:p>
    <w:p>
      <w:pPr>
        <w:pStyle w:val="ListBullet"/>
        <w:spacing w:after="80" w:line="290" w:lineRule="auto"/>
        <w:ind w:left="540" w:hanging="279"/>
      </w:pPr>
      <w:r>
        <w:rPr>
          <w:rFonts w:ascii="Calibri" w:hAnsi="Calibri" w:eastAsia="Calibri" w:cs="Calibri"/>
          <w:color w:val="17201E"/>
          <w:sz w:val="21"/>
        </w:rPr>
        <w:t>Open audio through authorised sources and explain that external services follow their own data policies.</w:t>
      </w:r>
    </w:p>
    <w:p>
      <w:pPr>
        <w:pStyle w:val="ListBullet"/>
        <w:spacing w:after="80" w:line="290" w:lineRule="auto"/>
        <w:ind w:left="540" w:hanging="279"/>
      </w:pPr>
      <w:r>
        <w:rPr>
          <w:rFonts w:ascii="Calibri" w:hAnsi="Calibri" w:eastAsia="Calibri" w:cs="Calibri"/>
          <w:color w:val="17201E"/>
          <w:sz w:val="21"/>
        </w:rPr>
        <w:t>Classify vulgar, offensive, sexual, drug, or violence references by context and offer school-appropriate alternatives.</w:t>
      </w:r>
    </w:p>
    <w:p>
      <w:pPr>
        <w:pStyle w:val="ListBullet"/>
        <w:spacing w:after="80" w:line="290" w:lineRule="auto"/>
        <w:ind w:left="540" w:hanging="279"/>
      </w:pPr>
      <w:r>
        <w:rPr>
          <w:rFonts w:ascii="Calibri" w:hAnsi="Calibri" w:eastAsia="Calibri" w:cs="Calibri"/>
          <w:color w:val="17201E"/>
          <w:sz w:val="21"/>
        </w:rPr>
        <w:t>Require teacher or researcher review of AI-generated lesson content before formal classroom use.</w:t>
      </w:r>
    </w:p>
    <w:p>
      <w:pPr>
        <w:pStyle w:val="Heading2"/>
        <w:keepNext/>
      </w:pPr>
      <w:r>
        <w:t>Зерттеудің шектеулері / Limitations</w:t>
      </w:r>
    </w:p>
    <w:p>
      <w:pPr>
        <w:pStyle w:val="ListBullet"/>
        <w:spacing w:after="80" w:line="290" w:lineRule="auto"/>
        <w:ind w:left="540" w:hanging="279"/>
      </w:pPr>
      <w:r>
        <w:rPr>
          <w:rFonts w:ascii="Calibri" w:hAnsi="Calibri" w:eastAsia="Calibri" w:cs="Calibri"/>
          <w:color w:val="17201E"/>
          <w:sz w:val="21"/>
        </w:rPr>
        <w:t>A small or non-random sample limits generalisation beyond the participating school.</w:t>
      </w:r>
    </w:p>
    <w:p>
      <w:pPr>
        <w:pStyle w:val="ListBullet"/>
        <w:spacing w:after="80" w:line="290" w:lineRule="auto"/>
        <w:ind w:left="540" w:hanging="279"/>
      </w:pPr>
      <w:r>
        <w:rPr>
          <w:rFonts w:ascii="Calibri" w:hAnsi="Calibri" w:eastAsia="Calibri" w:cs="Calibri"/>
          <w:color w:val="17201E"/>
          <w:sz w:val="21"/>
        </w:rPr>
        <w:t>Learners' prior familiarity with a song can affect listening and vocabulary scores.</w:t>
      </w:r>
    </w:p>
    <w:p>
      <w:pPr>
        <w:pStyle w:val="ListBullet"/>
        <w:spacing w:after="80" w:line="290" w:lineRule="auto"/>
        <w:ind w:left="540" w:hanging="279"/>
      </w:pPr>
      <w:r>
        <w:rPr>
          <w:rFonts w:ascii="Calibri" w:hAnsi="Calibri" w:eastAsia="Calibri" w:cs="Calibri"/>
          <w:color w:val="17201E"/>
          <w:sz w:val="21"/>
        </w:rPr>
        <w:t>AI output quality and external-provider availability may vary.</w:t>
      </w:r>
    </w:p>
    <w:p>
      <w:pPr>
        <w:pStyle w:val="ListBullet"/>
        <w:spacing w:after="80" w:line="290" w:lineRule="auto"/>
        <w:ind w:left="540" w:hanging="279"/>
      </w:pPr>
      <w:r>
        <w:rPr>
          <w:rFonts w:ascii="Calibri" w:hAnsi="Calibri" w:eastAsia="Calibri" w:cs="Calibri"/>
          <w:color w:val="17201E"/>
          <w:sz w:val="21"/>
        </w:rPr>
        <w:t>A four-week intervention measures short-term change; long-term retention requires a delayed test.</w:t>
      </w:r>
    </w:p>
    <w:p>
      <w:pPr>
        <w:pStyle w:val="ListBullet"/>
        <w:spacing w:after="80" w:line="290" w:lineRule="auto"/>
        <w:ind w:left="540" w:hanging="279"/>
      </w:pPr>
      <w:r>
        <w:rPr>
          <w:rFonts w:ascii="Calibri" w:hAnsi="Calibri" w:eastAsia="Calibri" w:cs="Calibri"/>
          <w:color w:val="17201E"/>
          <w:sz w:val="21"/>
        </w:rPr>
        <w:t>Self-reported engagement can be influenced by novelty and social desirability.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5F3"/>
            <w:tcBorders>
              <w:top w:val="nil"/>
              <w:bottom w:val="nil"/>
              <w:end w:val="nil"/>
              <w:start w:val="single" w:sz="20" w:color="245047"/>
            </w:tcBorders>
          </w:tcPr>
          <w:p>
            <w:pPr>
              <w:spacing w:before="0" w:after="60" w:line="283" w:lineRule="auto"/>
            </w:pPr>
            <w:r>
              <w:rPr>
                <w:rFonts w:ascii="Calibri" w:hAnsi="Calibri" w:eastAsia="Calibri" w:cs="Calibri"/>
                <w:b/>
                <w:color w:val="245047"/>
                <w:sz w:val="18"/>
              </w:rPr>
              <w:t>RESPONSIBLE AI POSITION</w:t>
            </w:r>
          </w:p>
          <w:p>
            <w:pPr>
              <w:spacing w:before="0" w:after="0" w:line="288" w:lineRule="auto"/>
            </w:pPr>
            <w:r>
              <w:rPr>
                <w:rFonts w:ascii="Calibri" w:hAnsi="Calibri" w:eastAsia="Calibri" w:cs="Calibri"/>
                <w:color w:val="17201E"/>
                <w:sz w:val="21"/>
              </w:rPr>
              <w:t>Following a human-centred approach, AI supports task generation and explanation; the learner remains active, the teacher retains oversight, and measurable outcomes are verified independently of the model output.</w:t>
            </w:r>
          </w:p>
        </w:tc>
      </w:tr>
    </w:tbl>
    <w:p>
      <w:pPr>
        <w:spacing w:after="40"/>
      </w:pPr>
    </w:p>
    <w:p>
      <w:r>
        <w:br w:type="page"/>
      </w:r>
    </w:p>
    <w:p>
      <w:pPr>
        <w:pStyle w:val="Heading1"/>
        <w:keepNext/>
      </w:pPr>
      <w:r>
        <w:t>9. Питчинг мәтіні - қазақша (шамамен 4 минут)</w:t>
      </w:r>
    </w:p>
    <w:p>
      <w:pPr>
        <w:spacing w:before="0" w:after="160" w:line="300" w:lineRule="auto"/>
        <w:jc w:val="both"/>
      </w:pPr>
      <w:r>
        <w:rPr>
          <w:rFonts w:ascii="Calibri" w:hAnsi="Calibri" w:eastAsia="Calibri" w:cs="Calibri"/>
          <w:b/>
          <w:color w:val="245047"/>
          <w:sz w:val="22"/>
        </w:rPr>
        <w:t xml:space="preserve">Кіріспе. </w:t>
      </w:r>
      <w:r>
        <w:rPr>
          <w:rFonts w:ascii="Calibri" w:hAnsi="Calibri" w:eastAsia="Calibri" w:cs="Calibri"/>
          <w:color w:val="17201E"/>
          <w:sz w:val="22"/>
        </w:rPr>
        <w:t>Құрметті қазылар алқасы! Жасөспірімдердің көбі ағылшын тіліндегі әндерді күн сайын тыңдайды. Олар әуенді, орындаушыны, кейде қайырмасын жақсы біледі. Бірақ “Бұл ән маған ағылшын тілін үйретті ме?” деген сұраққа нақты жауап беру қиын. Себебі жай тыңдау жаңа сөзді түсінуге, сленгтің қай жерде қолданылатынын ажыратуға немесе өз ойын ағылшынша айтуға автоматты түрде әкелмейді.</w:t>
      </w:r>
    </w:p>
    <w:p>
      <w:pPr>
        <w:spacing w:before="0" w:after="160" w:line="300" w:lineRule="auto"/>
        <w:jc w:val="both"/>
      </w:pPr>
      <w:r>
        <w:rPr>
          <w:rFonts w:ascii="Calibri" w:hAnsi="Calibri" w:eastAsia="Calibri" w:cs="Calibri"/>
          <w:b/>
          <w:color w:val="245047"/>
          <w:sz w:val="22"/>
        </w:rPr>
        <w:t xml:space="preserve">Мәселе және идея. </w:t>
      </w:r>
      <w:r>
        <w:rPr>
          <w:rFonts w:ascii="Calibri" w:hAnsi="Calibri" w:eastAsia="Calibri" w:cs="Calibri"/>
          <w:color w:val="17201E"/>
          <w:sz w:val="22"/>
        </w:rPr>
        <w:t>Менің жобам осы қызығушылықты жүйелі оқуға айналдыруға бағытталған. Жобаның атауы - SONORA. Бұл қазақ, ағылшын және орыс тілдерінде жұмыс істейтін веб-платформа. Оқушы өзі ұнататын әннің қысқа үзіндісін енгізеді, ал жүйе оны мағына, тыңдалым, сөздік қор, сленг, тілдік құрылымдар, бақылау және айтылымнан тұратын жеті кезеңдік сабаққа айналдырады.</w:t>
      </w:r>
    </w:p>
    <w:p>
      <w:pPr>
        <w:spacing w:before="0" w:after="160" w:line="300" w:lineRule="auto"/>
        <w:jc w:val="both"/>
      </w:pPr>
      <w:r>
        <w:rPr>
          <w:rFonts w:ascii="Calibri" w:hAnsi="Calibri" w:eastAsia="Calibri" w:cs="Calibri"/>
          <w:b/>
          <w:color w:val="245047"/>
          <w:sz w:val="22"/>
        </w:rPr>
        <w:t xml:space="preserve">Айырмашылығы. </w:t>
      </w:r>
      <w:r>
        <w:rPr>
          <w:rFonts w:ascii="Calibri" w:hAnsi="Calibri" w:eastAsia="Calibri" w:cs="Calibri"/>
          <w:color w:val="17201E"/>
          <w:sz w:val="22"/>
        </w:rPr>
        <w:t>SONORA жай ғана ән мәтінін аудармайды. Мысалы, жүйе сөздің мағынасын ғана емес, оның formal, informal немесе slang екенін түсіндіреді. Оқушы “Бұл сөзді түсінуім керек пе?”, “Досыммен сөйлескенде қолдануға бола ма?”, “Мектепте немесе ресми жазбада қолдануға бола ма?” деген практикалық сұрақтарға жауап алады. Әндердегі грамматикалық тұрғыдан стандартқа сай емес формалар нормативті ағылшын тілімен салыстырылады.</w:t>
      </w:r>
    </w:p>
    <w:p>
      <w:pPr>
        <w:spacing w:before="0" w:after="160" w:line="300" w:lineRule="auto"/>
        <w:jc w:val="both"/>
      </w:pPr>
      <w:r>
        <w:rPr>
          <w:rFonts w:ascii="Calibri" w:hAnsi="Calibri" w:eastAsia="Calibri" w:cs="Calibri"/>
          <w:b/>
          <w:color w:val="245047"/>
          <w:sz w:val="22"/>
        </w:rPr>
        <w:t xml:space="preserve">Ғылыми бөлігі. </w:t>
      </w:r>
      <w:r>
        <w:rPr>
          <w:rFonts w:ascii="Calibri" w:hAnsi="Calibri" w:eastAsia="Calibri" w:cs="Calibri"/>
          <w:color w:val="17201E"/>
          <w:sz w:val="22"/>
        </w:rPr>
        <w:t>Бұл жұмыстың басты нәтижесі сайттың өзі емес. Негізгі зерттеу сұрағы: SONORA арқылы төрт апта оқу жасөспірімдердің vocabulary, listening және speaking көрсеткіштерін дәстүрлі тапсырмаларға қарағанда көбірек жақсарта ма? Осыны тексеру үшін бақылау және эксперименттік топтар, алдын ала және қорытынды тесттер, бірыңғай speaking рубрикасы және платформадағы нақты әрекеттер қолданылады.</w:t>
      </w:r>
    </w:p>
    <w:p>
      <w:pPr>
        <w:spacing w:before="0" w:after="160" w:line="300" w:lineRule="auto"/>
        <w:jc w:val="both"/>
      </w:pPr>
      <w:r>
        <w:rPr>
          <w:rFonts w:ascii="Calibri" w:hAnsi="Calibri" w:eastAsia="Calibri" w:cs="Calibri"/>
          <w:b/>
          <w:color w:val="245047"/>
          <w:sz w:val="22"/>
        </w:rPr>
        <w:t xml:space="preserve">Жаңалығы және маңызы. </w:t>
      </w:r>
      <w:r>
        <w:rPr>
          <w:rFonts w:ascii="Calibri" w:hAnsi="Calibri" w:eastAsia="Calibri" w:cs="Calibri"/>
          <w:color w:val="17201E"/>
          <w:sz w:val="22"/>
        </w:rPr>
        <w:t>Жобаның ғылыми жаңалығы - танымал әннің лингвистикалық, мәдени және қауіпсіздік ерекшеліктерін бір оқу маршрутына біріктіру және әр кезеңдегі нақты әрекетті өлшеу. Практикалық маңызы - қазақстандық оқушылар үшін үш тілде түсінікті, қызықты әрі мектепке бейімделген құрал ұсыну.</w:t>
      </w:r>
    </w:p>
    <w:p>
      <w:pPr>
        <w:spacing w:before="0" w:after="160" w:line="300" w:lineRule="auto"/>
        <w:jc w:val="both"/>
      </w:pPr>
      <w:r>
        <w:rPr>
          <w:rFonts w:ascii="Calibri" w:hAnsi="Calibri" w:eastAsia="Calibri" w:cs="Calibri"/>
          <w:b/>
          <w:color w:val="245047"/>
          <w:sz w:val="22"/>
        </w:rPr>
        <w:t xml:space="preserve">Қорытынды. </w:t>
      </w:r>
      <w:r>
        <w:rPr>
          <w:rFonts w:ascii="Calibri" w:hAnsi="Calibri" w:eastAsia="Calibri" w:cs="Calibri"/>
          <w:color w:val="17201E"/>
          <w:sz w:val="22"/>
        </w:rPr>
        <w:t>Менің болжамым бойынша, оқушы өзі ұнататын материалмен белсенді жұмыс істегенде жаңа сөзді жақсырақ есте сақтап, тыңдалымды тереңірек түсініп, ойын ағылшынша сенімдірек жеткізеді. Бірақ бұл тұжырым әдемі интерфейске емес, эксперимент нәтижесіне сүйенуі тиіс. Сондықтан SONORA - бір жағынан жұмыс істейтін өнім, екінші жағынан тексеруге болатын ғылыми әдістеме. Назарларыңызға рақмет!</w:t>
      </w:r>
    </w:p>
    <w:p>
      <w:r>
        <w:br w:type="page"/>
      </w:r>
    </w:p>
    <w:p>
      <w:pPr>
        <w:pStyle w:val="Heading1"/>
        <w:keepNext/>
      </w:pPr>
      <w:r>
        <w:t>10. Pitching script - English (approximately 4 minutes)</w:t>
      </w:r>
    </w:p>
    <w:p>
      <w:pPr>
        <w:spacing w:before="0" w:after="160" w:line="300" w:lineRule="auto"/>
        <w:jc w:val="both"/>
      </w:pPr>
      <w:r>
        <w:rPr>
          <w:rFonts w:ascii="Calibri" w:hAnsi="Calibri" w:eastAsia="Calibri" w:cs="Calibri"/>
          <w:b/>
          <w:color w:val="245047"/>
          <w:sz w:val="22"/>
        </w:rPr>
        <w:t xml:space="preserve">Opening. </w:t>
      </w:r>
      <w:r>
        <w:rPr>
          <w:rFonts w:ascii="Calibri" w:hAnsi="Calibri" w:eastAsia="Calibri" w:cs="Calibri"/>
          <w:color w:val="17201E"/>
          <w:sz w:val="22"/>
        </w:rPr>
        <w:t>Dear members of the jury, teenagers listen to English songs every day. They may know the artist, the melody, and even the chorus. However, it is difficult to answer a simple question: did that listening actually develop their English? Passive exposure does not automatically teach the meaning of new words, the context of slang, or the ability to speak about an idea.</w:t>
      </w:r>
    </w:p>
    <w:p>
      <w:pPr>
        <w:spacing w:before="0" w:after="160" w:line="300" w:lineRule="auto"/>
        <w:jc w:val="both"/>
      </w:pPr>
      <w:r>
        <w:rPr>
          <w:rFonts w:ascii="Calibri" w:hAnsi="Calibri" w:eastAsia="Calibri" w:cs="Calibri"/>
          <w:b/>
          <w:color w:val="245047"/>
          <w:sz w:val="22"/>
        </w:rPr>
        <w:t xml:space="preserve">Problem and solution. </w:t>
      </w:r>
      <w:r>
        <w:rPr>
          <w:rFonts w:ascii="Calibri" w:hAnsi="Calibri" w:eastAsia="Calibri" w:cs="Calibri"/>
          <w:color w:val="17201E"/>
          <w:sz w:val="22"/>
        </w:rPr>
        <w:t>My project turns this existing interest into structured learning. SONORA is a web platform that works in Kazakh, English, and Russian. A learner enters a short excerpt from a song they genuinely like, and the system converts it into a seven-stage route: meaning, listening, vocabulary, slang and register, language patterns, a checkpoint, and speaking.</w:t>
      </w:r>
    </w:p>
    <w:p>
      <w:pPr>
        <w:spacing w:before="0" w:after="160" w:line="300" w:lineRule="auto"/>
        <w:jc w:val="both"/>
      </w:pPr>
      <w:r>
        <w:rPr>
          <w:rFonts w:ascii="Calibri" w:hAnsi="Calibri" w:eastAsia="Calibri" w:cs="Calibri"/>
          <w:b/>
          <w:color w:val="245047"/>
          <w:sz w:val="22"/>
        </w:rPr>
        <w:t xml:space="preserve">What makes it different. </w:t>
      </w:r>
      <w:r>
        <w:rPr>
          <w:rFonts w:ascii="Calibri" w:hAnsi="Calibri" w:eastAsia="Calibri" w:cs="Calibri"/>
          <w:color w:val="17201E"/>
          <w:sz w:val="22"/>
        </w:rPr>
        <w:t>SONORA is not simply a lyrics translator. It explains whether an expression is standard, informal, slang, vulgar, or offensive. It also answers practical questions: should I understand this form, may I use it with friends, and should I avoid it at school or in formal writing? Non-standard song forms are compared with standard English and explained in context.</w:t>
      </w:r>
    </w:p>
    <w:p>
      <w:pPr>
        <w:spacing w:before="0" w:after="160" w:line="300" w:lineRule="auto"/>
        <w:jc w:val="both"/>
      </w:pPr>
      <w:r>
        <w:rPr>
          <w:rFonts w:ascii="Calibri" w:hAnsi="Calibri" w:eastAsia="Calibri" w:cs="Calibri"/>
          <w:b/>
          <w:color w:val="245047"/>
          <w:sz w:val="22"/>
        </w:rPr>
        <w:t xml:space="preserve">Scientific study. </w:t>
      </w:r>
      <w:r>
        <w:rPr>
          <w:rFonts w:ascii="Calibri" w:hAnsi="Calibri" w:eastAsia="Calibri" w:cs="Calibri"/>
          <w:color w:val="17201E"/>
          <w:sz w:val="22"/>
        </w:rPr>
        <w:t>The website is an instrument, not the scientific conclusion. My research question is whether four weeks of learning through SONORA can improve teenagers' vocabulary, listening, and speaking more than conventional exercises. I propose an experimental group and a control group, equivalent pre- and post-tests, one speaking rubric, and anonymised platform records.</w:t>
      </w:r>
    </w:p>
    <w:p>
      <w:pPr>
        <w:spacing w:before="0" w:after="160" w:line="300" w:lineRule="auto"/>
        <w:jc w:val="both"/>
      </w:pPr>
      <w:r>
        <w:rPr>
          <w:rFonts w:ascii="Calibri" w:hAnsi="Calibri" w:eastAsia="Calibri" w:cs="Calibri"/>
          <w:b/>
          <w:color w:val="245047"/>
          <w:sz w:val="22"/>
        </w:rPr>
        <w:t xml:space="preserve">Novelty and value. </w:t>
      </w:r>
      <w:r>
        <w:rPr>
          <w:rFonts w:ascii="Calibri" w:hAnsi="Calibri" w:eastAsia="Calibri" w:cs="Calibri"/>
          <w:color w:val="17201E"/>
          <w:sz w:val="22"/>
        </w:rPr>
        <w:t>The project's novelty is the integration of linguistic meaning, cultural context, content safety, active practice, and measurable progress in one learning model based on popular songs. Its practical value is a motivating and school-appropriate tool adapted for learners in Kazakhstan through three interface languages.</w:t>
      </w:r>
    </w:p>
    <w:p>
      <w:pPr>
        <w:spacing w:before="0" w:after="160" w:line="300" w:lineRule="auto"/>
        <w:jc w:val="both"/>
      </w:pPr>
      <w:r>
        <w:rPr>
          <w:rFonts w:ascii="Calibri" w:hAnsi="Calibri" w:eastAsia="Calibri" w:cs="Calibri"/>
          <w:b/>
          <w:color w:val="245047"/>
          <w:sz w:val="22"/>
        </w:rPr>
        <w:t xml:space="preserve">Closing. </w:t>
      </w:r>
      <w:r>
        <w:rPr>
          <w:rFonts w:ascii="Calibri" w:hAnsi="Calibri" w:eastAsia="Calibri" w:cs="Calibri"/>
          <w:color w:val="17201E"/>
          <w:sz w:val="22"/>
        </w:rPr>
        <w:t>My hypothesis is that learners will remember vocabulary better, understand listening more deeply, and speak more confidently when they actively work with music that matters to them. However, the claim will be accepted only if the collected data support it. SONORA is therefore both a working educational product and a testable research methodology. Thank you for your attention.</w:t>
      </w:r>
    </w:p>
    <w:p>
      <w:r>
        <w:br w:type="page"/>
      </w:r>
    </w:p>
    <w:p>
      <w:pPr>
        <w:pStyle w:val="Heading1"/>
        <w:keepNext/>
      </w:pPr>
      <w:r>
        <w:t>11. Презентацияға дайын құрылым / Presentation-ready outline</w:t>
      </w:r>
    </w:p>
    <w:p>
      <w:pPr>
        <w:spacing w:before="0" w:after="160" w:line="300" w:lineRule="auto"/>
        <w:jc w:val="left"/>
      </w:pPr>
      <w:r>
        <w:rPr>
          <w:rFonts w:ascii="Calibri" w:hAnsi="Calibri" w:eastAsia="Calibri" w:cs="Calibri"/>
          <w:b w:val="0"/>
          <w:i/>
          <w:color w:val="5E6C68"/>
          <w:sz w:val="22"/>
        </w:rPr>
        <w:t>Ұсынылатын көлем: 12 слайд. Әр слайдта бір негізгі ой және бір дәлел болуы керек. Слайдқа ұзын питч мәтінін көшірмеңіз; төмендегі қысқа мәтінді пайдаланыңыз.</w:t>
      </w:r>
    </w:p>
    <w:tbl>
      <w:tblPr>
        <w:tblW w:type="dxa" w:w="9360"/>
        <w:jc w:val="left"/>
        <w:tblLayout w:type="fixed"/>
        <w:tblLook w:firstColumn="1" w:firstRow="1" w:lastColumn="0" w:lastRow="0" w:noHBand="0" w:noVBand="1" w:val="04A0"/>
        <w:tblInd w:w="120" w:type="dxa"/>
      </w:tblPr>
      <w:tblGrid>
        <w:gridCol w:w="480"/>
        <w:gridCol w:w="1640"/>
        <w:gridCol w:w="3900"/>
        <w:gridCol w:w="3340"/>
      </w:tblGrid>
      <w:tr>
        <w:trPr>
          <w:tblHeader w:val="true"/>
        </w:trPr>
        <w:tc>
          <w:tcPr>
            <w:tcW w:type="dxa" w:w="48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w:t>
            </w:r>
          </w:p>
        </w:tc>
        <w:tc>
          <w:tcPr>
            <w:tcW w:type="dxa" w:w="164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Слайд / Slide</w:t>
            </w:r>
          </w:p>
        </w:tc>
        <w:tc>
          <w:tcPr>
            <w:tcW w:type="dxa" w:w="390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Негізгі мәтін / Main line</w:t>
            </w:r>
          </w:p>
        </w:tc>
        <w:tc>
          <w:tcPr>
            <w:tcW w:type="dxa" w:w="3340"/>
            <w:tcMar>
              <w:top w:w="100" w:type="dxa"/>
              <w:start w:w="120" w:type="dxa"/>
              <w:bottom w:w="100" w:type="dxa"/>
              <w:end w:w="120" w:type="dxa"/>
            </w:tcMar>
            <w:vAlign w:val="center"/>
            <w:shd w:fill="245047"/>
          </w:tcPr>
          <w:p>
            <w:pPr>
              <w:jc w:val="center"/>
            </w:pPr>
            <w:r>
              <w:rPr>
                <w:rFonts w:ascii="Calibri" w:hAnsi="Calibri" w:eastAsia="Calibri" w:cs="Calibri"/>
                <w:b/>
                <w:color w:val="FFFFFF"/>
                <w:sz w:val="18"/>
              </w:rPr>
              <w:t>Қолдау мәтіні / Support line</w:t>
            </w:r>
          </w:p>
        </w:tc>
      </w:tr>
      <w:tr>
        <w:tc>
          <w:tcPr>
            <w:tcW w:type="dxa" w:w="48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1</w:t>
            </w:r>
          </w:p>
        </w:tc>
        <w:tc>
          <w:tcPr>
            <w:tcW w:type="dxa" w:w="164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Тақырып / Title</w:t>
            </w:r>
          </w:p>
        </w:tc>
        <w:tc>
          <w:tcPr>
            <w:tcW w:type="dxa" w:w="39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SONORA: AI-assisted learning through popular English songs</w:t>
            </w:r>
          </w:p>
        </w:tc>
        <w:tc>
          <w:tcPr>
            <w:tcW w:type="dxa" w:w="334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Оқушы, мектеп, жетекші / Student, school, supervisor</w:t>
            </w:r>
          </w:p>
        </w:tc>
      </w:tr>
      <w:tr>
        <w:tc>
          <w:tcPr>
            <w:tcW w:type="dxa" w:w="48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2</w:t>
            </w:r>
          </w:p>
        </w:tc>
        <w:tc>
          <w:tcPr>
            <w:tcW w:type="dxa" w:w="164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Мәселе / Problem</w:t>
            </w:r>
          </w:p>
        </w:tc>
        <w:tc>
          <w:tcPr>
            <w:tcW w:type="dxa" w:w="39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Жасөспірімдер ағылшын әндерін тыңдайды, бірақ пассивті тыңдау жүйелі тілдік нәтижеге кепіл болмайды.</w:t>
            </w:r>
          </w:p>
        </w:tc>
        <w:tc>
          <w:tcPr>
            <w:tcW w:type="dxa" w:w="334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Teenagers hear English daily, but exposure alone is not structured learning.</w:t>
            </w:r>
          </w:p>
        </w:tc>
      </w:tr>
      <w:tr>
        <w:tc>
          <w:tcPr>
            <w:tcW w:type="dxa" w:w="48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3</w:t>
            </w:r>
          </w:p>
        </w:tc>
        <w:tc>
          <w:tcPr>
            <w:tcW w:type="dxa" w:w="164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Зерттеу сұрағы / Research question</w:t>
            </w:r>
          </w:p>
        </w:tc>
        <w:tc>
          <w:tcPr>
            <w:tcW w:type="dxa" w:w="39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SONORA арқылы 4 апталық оқу vocabulary, listening және speaking нәтижелерін жақсарта ма?</w:t>
            </w:r>
          </w:p>
        </w:tc>
        <w:tc>
          <w:tcPr>
            <w:tcW w:type="dxa" w:w="334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Does a four-week SONORA intervention outperform conventional exercises?</w:t>
            </w:r>
          </w:p>
        </w:tc>
      </w:tr>
      <w:tr>
        <w:tc>
          <w:tcPr>
            <w:tcW w:type="dxa" w:w="48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4</w:t>
            </w:r>
          </w:p>
        </w:tc>
        <w:tc>
          <w:tcPr>
            <w:tcW w:type="dxa" w:w="164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Болжам / Hypothesis</w:t>
            </w:r>
          </w:p>
        </w:tc>
        <w:tc>
          <w:tcPr>
            <w:tcW w:type="dxa" w:w="39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Сүйікті ән + белсенді тапсырмалар + үштілді түсіндіру = жоғары оқу белсенділігі және тілдік өсім.</w:t>
            </w:r>
          </w:p>
        </w:tc>
        <w:tc>
          <w:tcPr>
            <w:tcW w:type="dxa" w:w="334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Meaningful music plus active tasks is expected to improve engagement and outcomes.</w:t>
            </w:r>
          </w:p>
        </w:tc>
      </w:tr>
      <w:tr>
        <w:tc>
          <w:tcPr>
            <w:tcW w:type="dxa" w:w="48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5</w:t>
            </w:r>
          </w:p>
        </w:tc>
        <w:tc>
          <w:tcPr>
            <w:tcW w:type="dxa" w:w="164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Шешім / Solution</w:t>
            </w:r>
          </w:p>
        </w:tc>
        <w:tc>
          <w:tcPr>
            <w:tcW w:type="dxa" w:w="39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Ән үзіндісі -&gt; жеті кезеңдік сабақ -&gt; тексерілетін нәтиже.</w:t>
            </w:r>
          </w:p>
        </w:tc>
        <w:tc>
          <w:tcPr>
            <w:tcW w:type="dxa" w:w="334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Song excerpt -&gt; seven-stage lesson -&gt; measurable result.</w:t>
            </w:r>
          </w:p>
        </w:tc>
      </w:tr>
      <w:tr>
        <w:tc>
          <w:tcPr>
            <w:tcW w:type="dxa" w:w="48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6</w:t>
            </w:r>
          </w:p>
        </w:tc>
        <w:tc>
          <w:tcPr>
            <w:tcW w:type="dxa" w:w="164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Негізгі функциялар / Core functions</w:t>
            </w:r>
          </w:p>
        </w:tc>
        <w:tc>
          <w:tcPr>
            <w:tcW w:type="dxa" w:w="39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Мағына, listening, vocabulary, slang/register, Language Lab, checkpoint, speaking.</w:t>
            </w:r>
          </w:p>
        </w:tc>
        <w:tc>
          <w:tcPr>
            <w:tcW w:type="dxa" w:w="334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Context-aware language learning rather than translation only.</w:t>
            </w:r>
          </w:p>
        </w:tc>
      </w:tr>
      <w:tr>
        <w:tc>
          <w:tcPr>
            <w:tcW w:type="dxa" w:w="48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7</w:t>
            </w:r>
          </w:p>
        </w:tc>
        <w:tc>
          <w:tcPr>
            <w:tcW w:type="dxa" w:w="164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Ғылыми жаңалық / Novelty</w:t>
            </w:r>
          </w:p>
        </w:tc>
        <w:tc>
          <w:tcPr>
            <w:tcW w:type="dxa" w:w="39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Лингвистика + мәдени контекст + қауіпсіздік + оқу аналитикасы бір модельде.</w:t>
            </w:r>
          </w:p>
        </w:tc>
        <w:tc>
          <w:tcPr>
            <w:tcW w:type="dxa" w:w="334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Linguistic, cultural, safety, and progress analysis in one workflow.</w:t>
            </w:r>
          </w:p>
        </w:tc>
      </w:tr>
      <w:tr>
        <w:tc>
          <w:tcPr>
            <w:tcW w:type="dxa" w:w="48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8</w:t>
            </w:r>
          </w:p>
        </w:tc>
        <w:tc>
          <w:tcPr>
            <w:tcW w:type="dxa" w:w="164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Әдістеме / Methodology</w:t>
            </w:r>
          </w:p>
        </w:tc>
        <w:tc>
          <w:tcPr>
            <w:tcW w:type="dxa" w:w="39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30 оқушы; 15/15; pre-test; 4 апта; post-test; optional delayed test.</w:t>
            </w:r>
          </w:p>
        </w:tc>
        <w:tc>
          <w:tcPr>
            <w:tcW w:type="dxa" w:w="334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Experimental and control groups under comparable learning conditions.</w:t>
            </w:r>
          </w:p>
        </w:tc>
      </w:tr>
      <w:tr>
        <w:tc>
          <w:tcPr>
            <w:tcW w:type="dxa" w:w="48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9</w:t>
            </w:r>
          </w:p>
        </w:tc>
        <w:tc>
          <w:tcPr>
            <w:tcW w:type="dxa" w:w="164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Өлшемдер / Measures</w:t>
            </w:r>
          </w:p>
        </w:tc>
        <w:tc>
          <w:tcPr>
            <w:tcW w:type="dxa" w:w="39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Vocabulary 0-20; listening 0-10; speaking 0-20; engagement 5-25.</w:t>
            </w:r>
          </w:p>
        </w:tc>
        <w:tc>
          <w:tcPr>
            <w:tcW w:type="dxa" w:w="334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The same instruments and rubric are used before and after.</w:t>
            </w:r>
          </w:p>
        </w:tc>
      </w:tr>
      <w:tr>
        <w:tc>
          <w:tcPr>
            <w:tcW w:type="dxa" w:w="48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10</w:t>
            </w:r>
          </w:p>
        </w:tc>
        <w:tc>
          <w:tcPr>
            <w:tcW w:type="dxa" w:w="164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Этика / Ethics</w:t>
            </w:r>
          </w:p>
        </w:tc>
        <w:tc>
          <w:tcPr>
            <w:tcW w:type="dxa" w:w="39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Қысқа үзінділер, аты-жөнсіз кодтар, ата-ана келісімі, мұғалім бақылауы, мектепке лайық контент.</w:t>
            </w:r>
          </w:p>
        </w:tc>
        <w:tc>
          <w:tcPr>
            <w:tcW w:type="dxa" w:w="334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Privacy, copyright awareness, age appropriateness, and human oversight.</w:t>
            </w:r>
          </w:p>
        </w:tc>
      </w:tr>
      <w:tr>
        <w:tc>
          <w:tcPr>
            <w:tcW w:type="dxa" w:w="480"/>
            <w:tcMar>
              <w:top w:w="100" w:type="dxa"/>
              <w:start w:w="120" w:type="dxa"/>
              <w:bottom w:w="100" w:type="dxa"/>
              <w:end w:w="120" w:type="dxa"/>
            </w:tcMar>
            <w:vAlign w:val="center"/>
            <w:shd w:fill="FFFFFF"/>
          </w:tcPr>
          <w:p>
            <w:pPr>
              <w:spacing w:before="0" w:after="0" w:line="264" w:lineRule="auto"/>
              <w:jc w:val="center"/>
            </w:pPr>
            <w:r>
              <w:rPr>
                <w:rFonts w:ascii="Calibri" w:hAnsi="Calibri" w:eastAsia="Calibri" w:cs="Calibri"/>
                <w:b/>
                <w:color w:val="17201E"/>
                <w:sz w:val="17"/>
              </w:rPr>
              <w:t>11</w:t>
            </w:r>
          </w:p>
        </w:tc>
        <w:tc>
          <w:tcPr>
            <w:tcW w:type="dxa" w:w="164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Нәтиже / Results</w:t>
            </w:r>
          </w:p>
        </w:tc>
        <w:tc>
          <w:tcPr>
            <w:tcW w:type="dxa" w:w="390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Нақты эксперименттен кейін ғана диаграммалар толтырылады. Демо пайыздар ғылыми нәтиже емес.</w:t>
            </w:r>
          </w:p>
        </w:tc>
        <w:tc>
          <w:tcPr>
            <w:tcW w:type="dxa" w:w="3340"/>
            <w:tcMar>
              <w:top w:w="100" w:type="dxa"/>
              <w:start w:w="120" w:type="dxa"/>
              <w:bottom w:w="100" w:type="dxa"/>
              <w:end w:w="120" w:type="dxa"/>
            </w:tcMar>
            <w:vAlign w:val="center"/>
            <w:shd w:fill="FFFFFF"/>
          </w:tcPr>
          <w:p>
            <w:pPr>
              <w:spacing w:before="0" w:after="0" w:line="264" w:lineRule="auto"/>
              <w:jc w:val="left"/>
            </w:pPr>
            <w:r>
              <w:rPr>
                <w:rFonts w:ascii="Calibri" w:hAnsi="Calibri" w:eastAsia="Calibri" w:cs="Calibri"/>
                <w:b w:val="0"/>
                <w:color w:val="17201E"/>
                <w:sz w:val="17"/>
              </w:rPr>
              <w:t>Report real gain differences and effect size; never replace data with demo values.</w:t>
            </w:r>
          </w:p>
        </w:tc>
      </w:tr>
      <w:tr>
        <w:tc>
          <w:tcPr>
            <w:tcW w:type="dxa" w:w="480"/>
            <w:tcMar>
              <w:top w:w="100" w:type="dxa"/>
              <w:start w:w="120" w:type="dxa"/>
              <w:bottom w:w="100" w:type="dxa"/>
              <w:end w:w="120" w:type="dxa"/>
            </w:tcMar>
            <w:vAlign w:val="center"/>
            <w:shd w:fill="F4F5F4"/>
          </w:tcPr>
          <w:p>
            <w:pPr>
              <w:spacing w:before="0" w:after="0" w:line="264" w:lineRule="auto"/>
              <w:jc w:val="center"/>
            </w:pPr>
            <w:r>
              <w:rPr>
                <w:rFonts w:ascii="Calibri" w:hAnsi="Calibri" w:eastAsia="Calibri" w:cs="Calibri"/>
                <w:b/>
                <w:color w:val="17201E"/>
                <w:sz w:val="17"/>
              </w:rPr>
              <w:t>12</w:t>
            </w:r>
          </w:p>
        </w:tc>
        <w:tc>
          <w:tcPr>
            <w:tcW w:type="dxa" w:w="164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Қорытынды / Conclusion</w:t>
            </w:r>
          </w:p>
        </w:tc>
        <w:tc>
          <w:tcPr>
            <w:tcW w:type="dxa" w:w="390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SONORA - жұмыс істейтін өнім және тексерілетін педагогикалық әдістеме.</w:t>
            </w:r>
          </w:p>
        </w:tc>
        <w:tc>
          <w:tcPr>
            <w:tcW w:type="dxa" w:w="3340"/>
            <w:tcMar>
              <w:top w:w="100" w:type="dxa"/>
              <w:start w:w="120" w:type="dxa"/>
              <w:bottom w:w="100" w:type="dxa"/>
              <w:end w:w="120" w:type="dxa"/>
            </w:tcMar>
            <w:vAlign w:val="center"/>
            <w:shd w:fill="F4F5F4"/>
          </w:tcPr>
          <w:p>
            <w:pPr>
              <w:spacing w:before="0" w:after="0" w:line="264" w:lineRule="auto"/>
              <w:jc w:val="left"/>
            </w:pPr>
            <w:r>
              <w:rPr>
                <w:rFonts w:ascii="Calibri" w:hAnsi="Calibri" w:eastAsia="Calibri" w:cs="Calibri"/>
                <w:b w:val="0"/>
                <w:color w:val="17201E"/>
                <w:sz w:val="17"/>
              </w:rPr>
              <w:t>Favourite music becomes understanding, practice, speaking, and evidence.</w:t>
            </w:r>
          </w:p>
        </w:tc>
      </w:tr>
    </w:tbl>
    <w:p>
      <w:pPr>
        <w:spacing w:after="40"/>
      </w:pPr>
    </w:p>
    <w:p>
      <w:r>
        <w:br w:type="page"/>
      </w:r>
    </w:p>
    <w:p>
      <w:pPr>
        <w:pStyle w:val="Heading1"/>
        <w:keepNext/>
      </w:pPr>
      <w:r>
        <w:t>12. Қорғауда қойылуы мүмкін сұрақтар / Possible jury questions</w:t>
      </w:r>
    </w:p>
    <w:p>
      <w:pPr>
        <w:keepNext/>
        <w:spacing w:before="0" w:after="60" w:line="300" w:lineRule="auto"/>
        <w:jc w:val="left"/>
      </w:pPr>
      <w:r>
        <w:rPr>
          <w:rFonts w:ascii="Calibri" w:hAnsi="Calibri" w:eastAsia="Calibri" w:cs="Calibri"/>
          <w:b/>
          <w:color w:val="245047"/>
          <w:sz w:val="22"/>
        </w:rPr>
        <w:t>Неліктен әндер таңдалды? / Why songs?</w:t>
      </w:r>
    </w:p>
    <w:p>
      <w:pPr>
        <w:spacing w:before="0" w:after="180" w:line="288" w:lineRule="auto"/>
        <w:jc w:val="left"/>
      </w:pPr>
      <w:r>
        <w:rPr>
          <w:rFonts w:ascii="Calibri" w:hAnsi="Calibri" w:eastAsia="Calibri" w:cs="Calibri"/>
          <w:b w:val="0"/>
          <w:i w:val="0"/>
          <w:color w:val="17201E"/>
          <w:sz w:val="21"/>
        </w:rPr>
        <w:t>Songs are already part of teenagers' lives and provide repeated exposure to pronunciation, vocabulary, rhythm, and cultural meaning. The study tests whether structured activity turns that exposure into measurable learning.</w:t>
      </w:r>
    </w:p>
    <w:p>
      <w:pPr>
        <w:keepNext/>
        <w:spacing w:before="0" w:after="60" w:line="300" w:lineRule="auto"/>
        <w:jc w:val="left"/>
      </w:pPr>
      <w:r>
        <w:rPr>
          <w:rFonts w:ascii="Calibri" w:hAnsi="Calibri" w:eastAsia="Calibri" w:cs="Calibri"/>
          <w:b/>
          <w:color w:val="245047"/>
          <w:sz w:val="22"/>
        </w:rPr>
        <w:t>Жобаның жаңалығы неде? / What is novel?</w:t>
      </w:r>
    </w:p>
    <w:p>
      <w:pPr>
        <w:spacing w:before="0" w:after="180" w:line="288" w:lineRule="auto"/>
        <w:jc w:val="left"/>
      </w:pPr>
      <w:r>
        <w:rPr>
          <w:rFonts w:ascii="Calibri" w:hAnsi="Calibri" w:eastAsia="Calibri" w:cs="Calibri"/>
          <w:b w:val="0"/>
          <w:i w:val="0"/>
          <w:color w:val="17201E"/>
          <w:sz w:val="21"/>
        </w:rPr>
        <w:t>The novelty is the complete learning route: contextual meaning, register and safety, active recall, speaking, and progress evidence in three interface languages.</w:t>
      </w:r>
    </w:p>
    <w:p>
      <w:pPr>
        <w:keepNext/>
        <w:spacing w:before="0" w:after="60" w:line="300" w:lineRule="auto"/>
        <w:jc w:val="left"/>
      </w:pPr>
      <w:r>
        <w:rPr>
          <w:rFonts w:ascii="Calibri" w:hAnsi="Calibri" w:eastAsia="Calibri" w:cs="Calibri"/>
          <w:b/>
          <w:color w:val="245047"/>
          <w:sz w:val="22"/>
        </w:rPr>
        <w:t>AI қателессе не болады? / What if AI is wrong?</w:t>
      </w:r>
    </w:p>
    <w:p>
      <w:pPr>
        <w:spacing w:before="0" w:after="180" w:line="288" w:lineRule="auto"/>
        <w:jc w:val="left"/>
      </w:pPr>
      <w:r>
        <w:rPr>
          <w:rFonts w:ascii="Calibri" w:hAnsi="Calibri" w:eastAsia="Calibri" w:cs="Calibri"/>
          <w:b w:val="0"/>
          <w:i w:val="0"/>
          <w:color w:val="17201E"/>
          <w:sz w:val="21"/>
        </w:rPr>
        <w:t>Generated content is treated as a draft and reviewed by the teacher or researcher. The external model does not calculate the study result.</w:t>
      </w:r>
    </w:p>
    <w:p>
      <w:pPr>
        <w:keepNext/>
        <w:spacing w:before="0" w:after="60" w:line="300" w:lineRule="auto"/>
        <w:jc w:val="left"/>
      </w:pPr>
      <w:r>
        <w:rPr>
          <w:rFonts w:ascii="Calibri" w:hAnsi="Calibri" w:eastAsia="Calibri" w:cs="Calibri"/>
          <w:b/>
          <w:color w:val="245047"/>
          <w:sz w:val="22"/>
        </w:rPr>
        <w:t>Неге үш тіл? / Why three languages?</w:t>
      </w:r>
    </w:p>
    <w:p>
      <w:pPr>
        <w:spacing w:before="0" w:after="180" w:line="288" w:lineRule="auto"/>
        <w:jc w:val="left"/>
      </w:pPr>
      <w:r>
        <w:rPr>
          <w:rFonts w:ascii="Calibri" w:hAnsi="Calibri" w:eastAsia="Calibri" w:cs="Calibri"/>
          <w:b w:val="0"/>
          <w:i w:val="0"/>
          <w:color w:val="17201E"/>
          <w:sz w:val="21"/>
        </w:rPr>
        <w:t>English remains the target language; Kazakh and Russian reduce explanation barriers and increase local accessibility.</w:t>
      </w:r>
    </w:p>
    <w:p>
      <w:pPr>
        <w:keepNext/>
        <w:spacing w:before="0" w:after="60" w:line="300" w:lineRule="auto"/>
        <w:jc w:val="left"/>
      </w:pPr>
      <w:r>
        <w:rPr>
          <w:rFonts w:ascii="Calibri" w:hAnsi="Calibri" w:eastAsia="Calibri" w:cs="Calibri"/>
          <w:b/>
          <w:color w:val="245047"/>
          <w:sz w:val="22"/>
        </w:rPr>
        <w:t>Тиімділікті қалай дәлелдейсіз? / How will you prove effectiveness?</w:t>
      </w:r>
    </w:p>
    <w:p>
      <w:pPr>
        <w:spacing w:before="0" w:after="180" w:line="288" w:lineRule="auto"/>
        <w:jc w:val="left"/>
      </w:pPr>
      <w:r>
        <w:rPr>
          <w:rFonts w:ascii="Calibri" w:hAnsi="Calibri" w:eastAsia="Calibri" w:cs="Calibri"/>
          <w:b w:val="0"/>
          <w:i w:val="0"/>
          <w:color w:val="17201E"/>
          <w:sz w:val="21"/>
        </w:rPr>
        <w:t>By comparing equivalent pre- and post-test gains between experimental and control groups and reporting the sample, procedure, and limitations.</w:t>
      </w:r>
    </w:p>
    <w:p>
      <w:pPr>
        <w:keepNext/>
        <w:spacing w:before="0" w:after="60" w:line="300" w:lineRule="auto"/>
        <w:jc w:val="left"/>
      </w:pPr>
      <w:r>
        <w:rPr>
          <w:rFonts w:ascii="Calibri" w:hAnsi="Calibri" w:eastAsia="Calibri" w:cs="Calibri"/>
          <w:b/>
          <w:color w:val="245047"/>
          <w:sz w:val="22"/>
        </w:rPr>
        <w:t>Spotify не толық мәтін неге жоқ? / Why no full lyrics?</w:t>
      </w:r>
    </w:p>
    <w:p>
      <w:pPr>
        <w:spacing w:before="0" w:after="180" w:line="288" w:lineRule="auto"/>
        <w:jc w:val="left"/>
      </w:pPr>
      <w:r>
        <w:rPr>
          <w:rFonts w:ascii="Calibri" w:hAnsi="Calibri" w:eastAsia="Calibri" w:cs="Calibri"/>
          <w:b w:val="0"/>
          <w:i w:val="0"/>
          <w:color w:val="17201E"/>
          <w:sz w:val="21"/>
        </w:rPr>
        <w:t>The research needs short educational excerpts and authorised audio access, not redistribution of copyrighted lyrics.</w:t>
      </w:r>
    </w:p>
    <w:p>
      <w:pPr>
        <w:keepNext/>
        <w:spacing w:before="0" w:after="60" w:line="300" w:lineRule="auto"/>
        <w:jc w:val="left"/>
      </w:pPr>
      <w:r>
        <w:rPr>
          <w:rFonts w:ascii="Calibri" w:hAnsi="Calibri" w:eastAsia="Calibri" w:cs="Calibri"/>
          <w:b/>
          <w:color w:val="245047"/>
          <w:sz w:val="22"/>
        </w:rPr>
        <w:t>Бұл тек сайт емес пе? / Is this only a website?</w:t>
      </w:r>
    </w:p>
    <w:p>
      <w:pPr>
        <w:spacing w:before="0" w:after="180" w:line="288" w:lineRule="auto"/>
        <w:jc w:val="left"/>
      </w:pPr>
      <w:r>
        <w:rPr>
          <w:rFonts w:ascii="Calibri" w:hAnsi="Calibri" w:eastAsia="Calibri" w:cs="Calibri"/>
          <w:b w:val="0"/>
          <w:i w:val="0"/>
          <w:color w:val="17201E"/>
          <w:sz w:val="21"/>
        </w:rPr>
        <w:t>The site is the intervention tool. The scientific contribution is the method, the controlled comparison, and the evidence collected from learners.</w:t>
      </w:r>
    </w:p>
    <w:p>
      <w:pPr>
        <w:keepNext/>
        <w:spacing w:before="0" w:after="60" w:line="300" w:lineRule="auto"/>
        <w:jc w:val="left"/>
      </w:pPr>
      <w:r>
        <w:rPr>
          <w:rFonts w:ascii="Calibri" w:hAnsi="Calibri" w:eastAsia="Calibri" w:cs="Calibri"/>
          <w:b/>
          <w:color w:val="245047"/>
          <w:sz w:val="22"/>
        </w:rPr>
        <w:t>Нәтиже шықпаса ше? / What if the hypothesis is not supported?</w:t>
      </w:r>
    </w:p>
    <w:p>
      <w:pPr>
        <w:spacing w:before="0" w:after="180" w:line="288" w:lineRule="auto"/>
        <w:jc w:val="left"/>
      </w:pPr>
      <w:r>
        <w:rPr>
          <w:rFonts w:ascii="Calibri" w:hAnsi="Calibri" w:eastAsia="Calibri" w:cs="Calibri"/>
          <w:b w:val="0"/>
          <w:i w:val="0"/>
          <w:color w:val="17201E"/>
          <w:sz w:val="21"/>
        </w:rPr>
        <w:t>That is still a valid scientific result. The project will identify which skills changed, which did not, and how the method should be revised.</w:t>
      </w:r>
    </w:p>
    <w:p>
      <w:r>
        <w:br w:type="page"/>
      </w:r>
    </w:p>
    <w:p>
      <w:pPr>
        <w:pStyle w:val="Heading1"/>
        <w:keepNext/>
      </w:pPr>
      <w:r>
        <w:t>13. Әдебиеттер / References</w:t>
      </w:r>
    </w:p>
    <w:p>
      <w:pPr>
        <w:spacing w:after="160" w:line="288" w:lineRule="auto"/>
        <w:ind w:left="403" w:hanging="403"/>
      </w:pPr>
      <w:r>
        <w:rPr>
          <w:rFonts w:ascii="Calibri" w:hAnsi="Calibri" w:eastAsia="Calibri" w:cs="Calibri"/>
          <w:color w:val="17201E"/>
          <w:sz w:val="20"/>
        </w:rPr>
        <w:t>Council of Europe. (2020). Common European Framework of Reference for Languages: Learning, Teaching, Assessment - Companion Volume. Council of Europe Publishing. https://rm.coe.int/cefr-companion-volume-with-new-descriptors-2020/16809ea0d4</w:t>
      </w:r>
    </w:p>
    <w:p>
      <w:pPr>
        <w:spacing w:after="160" w:line="288" w:lineRule="auto"/>
        <w:ind w:left="403" w:hanging="403"/>
      </w:pPr>
      <w:r>
        <w:rPr>
          <w:rFonts w:ascii="Calibri" w:hAnsi="Calibri" w:eastAsia="Calibri" w:cs="Calibri"/>
          <w:color w:val="17201E"/>
          <w:sz w:val="20"/>
        </w:rPr>
        <w:t>Ludke, K. M., Ferreira, F., &amp; Overy, K. (2014). Singing can facilitate foreign language learning. Memory &amp; Cognition, 42, 41-52. https://doi.org/10.3758/s13421-013-0342-5</w:t>
      </w:r>
    </w:p>
    <w:p>
      <w:pPr>
        <w:spacing w:after="160" w:line="288" w:lineRule="auto"/>
        <w:ind w:left="403" w:hanging="403"/>
      </w:pPr>
      <w:r>
        <w:rPr>
          <w:rFonts w:ascii="Calibri" w:hAnsi="Calibri" w:eastAsia="Calibri" w:cs="Calibri"/>
          <w:color w:val="17201E"/>
          <w:sz w:val="20"/>
        </w:rPr>
        <w:t>Pavia, N., Webb, S., &amp; Faez, F. (2019). Incidental vocabulary learning through listening to songs. Studies in Second Language Acquisition, 41(4), 745-768. https://doi.org/10.1017/S0272263119000020</w:t>
      </w:r>
    </w:p>
    <w:p>
      <w:pPr>
        <w:spacing w:after="160" w:line="288" w:lineRule="auto"/>
        <w:ind w:left="403" w:hanging="403"/>
      </w:pPr>
      <w:r>
        <w:rPr>
          <w:rFonts w:ascii="Calibri" w:hAnsi="Calibri" w:eastAsia="Calibri" w:cs="Calibri"/>
          <w:color w:val="17201E"/>
          <w:sz w:val="20"/>
        </w:rPr>
        <w:t>UNESCO. (2023). Guidance for generative AI in education and research. UNESCO. https://unesdoc.unesco.org/ark:/48223/pf0000386693</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3F7EA"/>
            <w:tcBorders>
              <w:top w:val="nil"/>
              <w:bottom w:val="nil"/>
              <w:end w:val="nil"/>
              <w:start w:val="single" w:sz="20" w:color="6F8C36"/>
            </w:tcBorders>
          </w:tcPr>
          <w:p>
            <w:pPr>
              <w:spacing w:before="0" w:after="60" w:line="283" w:lineRule="auto"/>
            </w:pPr>
            <w:r>
              <w:rPr>
                <w:rFonts w:ascii="Calibri" w:hAnsi="Calibri" w:eastAsia="Calibri" w:cs="Calibri"/>
                <w:b/>
                <w:color w:val="6F8C36"/>
                <w:sz w:val="18"/>
              </w:rPr>
              <w:t>ДЕРЕККӨЗДЕРДІ ПАЙДАЛАНУ / USE OF SOURCES</w:t>
            </w:r>
          </w:p>
          <w:p>
            <w:pPr>
              <w:spacing w:before="0" w:after="0" w:line="288" w:lineRule="auto"/>
            </w:pPr>
            <w:r>
              <w:rPr>
                <w:rFonts w:ascii="Calibri" w:hAnsi="Calibri" w:eastAsia="Calibri" w:cs="Calibri"/>
                <w:color w:val="17201E"/>
                <w:sz w:val="21"/>
              </w:rPr>
              <w:t>The literature supports the rationale for song-based learning, CEFR-aligned assessment, and human-centred AI use. It does not replace the project's own experiment.</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s="Calibri"/>
        <w:color w:val="5E6C68"/>
        <w:sz w:val="18"/>
      </w:rPr>
      <w:t xml:space="preserve">SONORA  ·  </w:t>
    </w:r>
    <w:r>
      <w:rPr>
        <w:rFonts w:ascii="Calibri" w:hAnsi="Calibri" w:eastAsia="Calibri" w:cs="Calibri"/>
        <w:color w:val="5E6C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s="Calibri"/>
        <w:b/>
        <w:color w:val="5E6C68"/>
        <w:sz w:val="17"/>
      </w:rPr>
      <w:t>SONORA  |  ҒЫЛЫМИ ЖОБА · SCIENTIFIC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Calibri"/>
      <w:color w:val="1720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4504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4504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42B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eastAsia="Calibri"/>
      <w:sz w:val="21"/>
    </w:rPr>
  </w:style>
  <w:style w:type="paragraph" w:styleId="ListBullet2">
    <w:name w:val="List Bullet 2"/>
    <w:basedOn w:val="Normal"/>
    <w:uiPriority w:val="99"/>
    <w:unhideWhenUsed/>
    <w:rsid w:val="00326F90"/>
    <w:pPr>
      <w:numPr>
        <w:numId w:val="2"/>
      </w:numPr>
      <w:spacing w:after="80" w:line="290" w:lineRule="auto"/>
      <w:contextualSpacing/>
    </w:pPr>
    <w:rPr>
      <w:rFonts w:ascii="Calibri" w:hAnsi="Calibri" w:eastAsia="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eastAsia="Calibri"/>
      <w:sz w:val="21"/>
    </w:rPr>
  </w:style>
  <w:style w:type="paragraph" w:styleId="ListNumber2">
    <w:name w:val="List Number 2"/>
    <w:basedOn w:val="Normal"/>
    <w:uiPriority w:val="99"/>
    <w:unhideWhenUsed/>
    <w:rsid w:val="0029639D"/>
    <w:pPr>
      <w:numPr>
        <w:numId w:val="6"/>
      </w:numPr>
      <w:spacing w:after="80" w:line="290" w:lineRule="auto"/>
      <w:contextualSpacing/>
    </w:pPr>
    <w:rPr>
      <w:rFonts w:ascii="Calibri" w:hAnsi="Calibri" w:eastAsia="Calibr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SONORA - Ғылыми жоба материалдары / Scientific Project Materials</dc:title>
  <dc:subject>AI-assisted English learning through popular songs</dc:subject>
  <dc:creator>SONORA scientific project team</dc:creator>
  <cp:keywords>SONORA, English songs, AI, teenagers, vocabulary, listening, speaking</cp:keywords>
  <dc:description>Bilingual Kazakh-English scientific project package.</dc:description>
  <cp:lastModifiedBy/>
  <cp:revision>1</cp:revision>
  <dcterms:created xsi:type="dcterms:W3CDTF">2013-12-23T23:15:00Z</dcterms:created>
  <dcterms:modified xsi:type="dcterms:W3CDTF">2013-12-23T23:15:00Z</dcterms:modified>
  <cp:category/>
</cp:coreProperties>
</file>