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color w:val="009688"/>
          <w:sz w:val="24"/>
        </w:rPr>
        <w:t>ASTORASOC</w:t>
      </w:r>
      <w:r>
        <w:rPr>
          <w:color w:val="60737D"/>
          <w:sz w:val="20"/>
        </w:rPr>
        <w:br/>
        <w:t>Incident Response Platform</w:t>
      </w:r>
    </w:p>
    <w:tbl>
      <w:tblPr>
        <w:tblStyle w:val="TableGrid"/>
        <w:tblW w:type="dxa" w:w="9360"/>
        <w:jc w:val="center"/>
        <w:tblLayout w:type="fixed"/>
        <w:tblLook w:firstColumn="1" w:firstRow="1" w:lastColumn="0" w:lastRow="0" w:noHBand="0" w:noVBand="1" w:val="04A0"/>
        <w:tblInd w:w="120" w:type="dxa"/>
        <w:tblBorders>
          <w:top w:val="single" w:sz="4" w:space="0" w:color="063B39"/>
          <w:left w:val="single" w:sz="4" w:space="0" w:color="063B39"/>
          <w:bottom w:val="single" w:sz="4" w:space="0" w:color="063B39"/>
          <w:right w:val="single" w:sz="4" w:space="0" w:color="063B39"/>
          <w:insideH w:val="single" w:sz="4" w:space="0" w:color="063B39"/>
          <w:insideV w:val="single" w:sz="4" w:space="0" w:color="063B39"/>
        </w:tblBorders>
      </w:tblPr>
      <w:tblGrid>
        <w:gridCol w:w="9360"/>
      </w:tblGrid>
      <w:tr>
        <w:tc>
          <w:tcPr>
            <w:tcW w:type="dxa" w:w="9360"/>
            <w:tcMar>
              <w:top w:w="420" w:type="dxa"/>
              <w:start w:w="520" w:type="dxa"/>
              <w:bottom w:w="420" w:type="dxa"/>
              <w:end w:w="520" w:type="dxa"/>
            </w:tcMar>
            <w:vAlign w:val="center"/>
            <w:shd w:fill="071416"/>
          </w:tcPr>
          <w:p>
            <w:pPr>
              <w:spacing w:after="320"/>
              <w:jc w:val="center"/>
            </w:pPr>
            <w:r>
              <w:drawing>
                <wp:inline xmlns:a="http://schemas.openxmlformats.org/drawingml/2006/main" xmlns:pic="http://schemas.openxmlformats.org/drawingml/2006/picture">
                  <wp:extent cx="2423160" cy="363827"/>
                  <wp:docPr id="12" name="Picture 12"/>
                  <wp:cNvGraphicFramePr>
                    <a:graphicFrameLocks noChangeAspect="1"/>
                  </wp:cNvGraphicFramePr>
                  <a:graphic>
                    <a:graphicData uri="http://schemas.openxmlformats.org/drawingml/2006/picture">
                      <pic:pic>
                        <pic:nvPicPr>
                          <pic:cNvPr id="0" name="astoracolor.png"/>
                          <pic:cNvPicPr/>
                        </pic:nvPicPr>
                        <pic:blipFill>
                          <a:blip r:embed="rId22"/>
                          <a:stretch>
                            <a:fillRect/>
                          </a:stretch>
                        </pic:blipFill>
                        <pic:spPr>
                          <a:xfrm>
                            <a:off x="0" y="0"/>
                            <a:ext cx="2423160" cy="363827"/>
                          </a:xfrm>
                          <a:prstGeom prst="rect"/>
                        </pic:spPr>
                      </pic:pic>
                    </a:graphicData>
                  </a:graphic>
                </wp:inline>
              </w:drawing>
            </w:r>
          </w:p>
          <w:p>
            <w:pPr>
              <w:spacing w:after="120"/>
              <w:jc w:val="center"/>
            </w:pPr>
            <w:r>
              <w:rPr>
                <w:b/>
                <w:color w:val="FFFFFF"/>
                <w:sz w:val="68"/>
              </w:rPr>
              <w:t>AstoraSOC</w:t>
            </w:r>
          </w:p>
          <w:p>
            <w:pPr>
              <w:spacing w:after="440"/>
              <w:jc w:val="center"/>
            </w:pPr>
            <w:r>
              <w:rPr>
                <w:color w:val="DDF7F1"/>
                <w:sz w:val="30"/>
              </w:rPr>
              <w:t>Security Operations and Incident Response Manual</w:t>
            </w:r>
          </w:p>
          <w:p>
            <w:pPr>
              <w:spacing w:after="0"/>
              <w:jc w:val="center"/>
            </w:pPr>
            <w:r>
              <w:rPr>
                <w:color w:val="B7D6D0"/>
                <w:sz w:val="20"/>
              </w:rPr>
              <w:t>Architecture | Administration | SOC Workflows | Integrations | Operations</w:t>
            </w:r>
          </w:p>
        </w:tc>
      </w:tr>
    </w:tbl>
    <w:p/>
    <w:tbl>
      <w:tblPr>
        <w:tblStyle w:val="TableGrid"/>
        <w:tblW w:type="dxa" w:w="9360"/>
        <w:jc w:val="center"/>
        <w:tblLayout w:type="fixed"/>
        <w:tblLook w:firstColumn="1" w:firstRow="1" w:lastColumn="0" w:lastRow="0" w:noHBand="0" w:noVBand="1" w:val="04A0"/>
        <w:tblInd w:w="120" w:type="dxa"/>
        <w:tblBorders>
          <w:top w:val="single" w:sz="4" w:space="0" w:color="C8D8D5"/>
          <w:left w:val="single" w:sz="4" w:space="0" w:color="C8D8D5"/>
          <w:bottom w:val="single" w:sz="4" w:space="0" w:color="C8D8D5"/>
          <w:right w:val="single" w:sz="4" w:space="0" w:color="C8D8D5"/>
          <w:insideH w:val="single" w:sz="4" w:space="0" w:color="C8D8D5"/>
          <w:insideV w:val="single" w:sz="4" w:space="0" w:color="C8D8D5"/>
        </w:tblBorders>
      </w:tblPr>
      <w:tblGrid>
        <w:gridCol w:w="3120"/>
        <w:gridCol w:w="3120"/>
        <w:gridCol w:w="3120"/>
      </w:tblGrid>
      <w:tr>
        <w:tc>
          <w:tcPr>
            <w:tcW w:type="dxa" w:w="3120"/>
            <w:tcMar>
              <w:top w:w="160" w:type="dxa"/>
              <w:start w:w="160" w:type="dxa"/>
              <w:bottom w:w="160" w:type="dxa"/>
              <w:end w:w="160" w:type="dxa"/>
            </w:tcMar>
            <w:vAlign w:val="top"/>
            <w:shd w:fill="F1FAF8"/>
          </w:tcPr>
          <w:p>
            <w:r>
              <w:rPr>
                <w:b/>
                <w:color w:val="009688"/>
                <w:sz w:val="16"/>
              </w:rPr>
              <w:t>PUBLISHER</w:t>
            </w:r>
            <w:r>
              <w:rPr>
                <w:b/>
                <w:color w:val="102027"/>
                <w:sz w:val="18"/>
              </w:rPr>
              <w:br/>
              <w:t>Astora Lab</w:t>
            </w:r>
          </w:p>
        </w:tc>
        <w:tc>
          <w:tcPr>
            <w:tcW w:type="dxa" w:w="3120"/>
            <w:tcMar>
              <w:top w:w="160" w:type="dxa"/>
              <w:start w:w="160" w:type="dxa"/>
              <w:bottom w:w="160" w:type="dxa"/>
              <w:end w:w="160" w:type="dxa"/>
            </w:tcMar>
            <w:vAlign w:val="top"/>
            <w:shd w:fill="F1FAF8"/>
          </w:tcPr>
          <w:p>
            <w:r>
              <w:rPr>
                <w:b/>
                <w:color w:val="009688"/>
                <w:sz w:val="16"/>
              </w:rPr>
              <w:t>WEBSITE</w:t>
            </w:r>
            <w:r>
              <w:rPr>
                <w:b/>
                <w:color w:val="102027"/>
                <w:sz w:val="18"/>
              </w:rPr>
              <w:br/>
              <w:t>www.astoralab.com</w:t>
            </w:r>
          </w:p>
        </w:tc>
        <w:tc>
          <w:tcPr>
            <w:tcW w:type="dxa" w:w="3120"/>
            <w:tcMar>
              <w:top w:w="160" w:type="dxa"/>
              <w:start w:w="160" w:type="dxa"/>
              <w:bottom w:w="160" w:type="dxa"/>
              <w:end w:w="160" w:type="dxa"/>
            </w:tcMar>
            <w:vAlign w:val="top"/>
            <w:shd w:fill="F1FAF8"/>
          </w:tcPr>
          <w:p>
            <w:r>
              <w:rPr>
                <w:b/>
                <w:color w:val="009688"/>
                <w:sz w:val="16"/>
              </w:rPr>
              <w:t>REPOSITORY</w:t>
            </w:r>
            <w:r>
              <w:rPr>
                <w:b/>
                <w:color w:val="102027"/>
                <w:sz w:val="18"/>
              </w:rPr>
              <w:br/>
              <w:t>github.com/astoralab/astorasoc</w:t>
            </w:r>
          </w:p>
        </w:tc>
      </w:tr>
    </w:tbl>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tcMar>
              <w:top w:w="80" w:type="dxa"/>
              <w:start w:w="120" w:type="dxa"/>
              <w:bottom w:w="80" w:type="dxa"/>
              <w:end w:w="120" w:type="dxa"/>
            </w:tcMar>
            <w:vAlign w:val="top"/>
            <w:shd w:fill="E7F6F4"/>
          </w:tcPr>
          <w:p>
            <w:r>
              <w:rPr>
                <w:b/>
                <w:color w:val="063B39"/>
                <w:sz w:val="20"/>
              </w:rPr>
              <w:t>About Astora Lab</w:t>
            </w:r>
            <w:r>
              <w:rPr>
                <w:color w:val="063B39"/>
                <w:sz w:val="18"/>
              </w:rPr>
              <w:br/>
              <w:t>Astora Labs is an open-source cybersecurity lab dedicated to building modern tools for security operations, incident response, digital forensics, and threat intelligence. The name reflects our mission to guide organizations through complex cyber threats with intelligent, research-driven solutions.</w:t>
            </w:r>
          </w:p>
        </w:tc>
      </w:tr>
    </w:tbl>
    <w:p/>
    <w:p>
      <w:pPr>
        <w:spacing w:before="240" w:after="0"/>
        <w:jc w:val="center"/>
      </w:pPr>
      <w:r>
        <w:t>Manual Edition 1.0 | July 2026 | Astora Lab product reference</w:t>
      </w:r>
    </w:p>
    <w:p>
      <w:r>
        <w:br w:type="page"/>
      </w:r>
    </w:p>
    <w:p>
      <w:pPr>
        <w:pStyle w:val="Heading1"/>
      </w:pPr>
      <w:r>
        <w:t>Manual Front Matter</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7060"/>
      </w:tblGrid>
      <w:tr>
        <w:tc>
          <w:tcPr>
            <w:tcW w:type="dxa" w:w="2300"/>
            <w:shd w:fill="E8EEF5"/>
            <w:tcMar>
              <w:top w:w="80" w:type="dxa"/>
              <w:start w:w="120" w:type="dxa"/>
              <w:bottom w:w="80" w:type="dxa"/>
              <w:end w:w="120" w:type="dxa"/>
            </w:tcMar>
            <w:vAlign w:val="top"/>
          </w:tcPr>
          <w:p>
            <w:pPr>
              <w:spacing w:after="40" w:line="276" w:lineRule="auto"/>
            </w:pPr>
            <w:r>
              <w:rPr>
                <w:rFonts w:ascii="Calibri" w:hAnsi="Calibri"/>
                <w:b/>
                <w:color w:val="102027"/>
                <w:sz w:val="18"/>
              </w:rPr>
              <w:t>Field</w:t>
            </w:r>
          </w:p>
        </w:tc>
        <w:tc>
          <w:tcPr>
            <w:tcW w:type="dxa" w:w="7060"/>
            <w:shd w:fill="E8EEF5"/>
            <w:tcMar>
              <w:top w:w="80" w:type="dxa"/>
              <w:start w:w="120" w:type="dxa"/>
              <w:bottom w:w="80" w:type="dxa"/>
              <w:end w:w="120" w:type="dxa"/>
            </w:tcMar>
            <w:vAlign w:val="top"/>
          </w:tcPr>
          <w:p>
            <w:pPr>
              <w:spacing w:after="40" w:line="276" w:lineRule="auto"/>
            </w:pPr>
            <w:r>
              <w:rPr>
                <w:rFonts w:ascii="Calibri" w:hAnsi="Calibri"/>
                <w:b/>
                <w:color w:val="102027"/>
                <w:sz w:val="18"/>
              </w:rPr>
              <w:t>Value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Product</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AstoraSOC</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Company</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Astora Lab</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Website</w:t>
            </w:r>
          </w:p>
        </w:tc>
        <w:tc>
          <w:tcPr>
            <w:tcW w:type="dxa" w:w="7060"/>
            <w:tcMar>
              <w:top w:w="80" w:type="dxa"/>
              <w:start w:w="120" w:type="dxa"/>
              <w:bottom w:w="80" w:type="dxa"/>
              <w:end w:w="120" w:type="dxa"/>
            </w:tcMar>
            <w:vAlign w:val="top"/>
          </w:tcPr>
          <w:p>
            <w:pPr>
              <w:spacing w:after="40" w:line="276" w:lineRule="auto"/>
            </w:pPr>
            <w:r>
              <w:rPr>
                <w:rFonts w:ascii="Calibri" w:hAnsi="Calibri"/>
                <w:sz w:val="18"/>
              </w:rPr>
              <w:t>www.astoralab.com</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Repository</w:t>
            </w:r>
          </w:p>
        </w:tc>
        <w:tc>
          <w:tcPr>
            <w:tcW w:type="dxa" w:w="7060"/>
            <w:tcMar>
              <w:top w:w="80" w:type="dxa"/>
              <w:start w:w="120" w:type="dxa"/>
              <w:bottom w:w="80" w:type="dxa"/>
              <w:end w:w="120" w:type="dxa"/>
            </w:tcMar>
            <w:vAlign w:val="top"/>
          </w:tcPr>
          <w:p>
            <w:pPr>
              <w:spacing w:after="40" w:line="276" w:lineRule="auto"/>
            </w:pPr>
            <w:r>
              <w:rPr>
                <w:rFonts w:ascii="Calibri" w:hAnsi="Calibri"/>
                <w:sz w:val="18"/>
              </w:rPr>
              <w:t>github.com/astoralab/astorasoc</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Document Type</w:t>
            </w:r>
          </w:p>
        </w:tc>
        <w:tc>
          <w:tcPr>
            <w:tcW w:type="dxa" w:w="7060"/>
            <w:tcMar>
              <w:top w:w="80" w:type="dxa"/>
              <w:start w:w="120" w:type="dxa"/>
              <w:bottom w:w="80" w:type="dxa"/>
              <w:end w:w="120" w:type="dxa"/>
            </w:tcMar>
            <w:vAlign w:val="top"/>
          </w:tcPr>
          <w:p>
            <w:pPr>
              <w:spacing w:after="40" w:line="276" w:lineRule="auto"/>
            </w:pPr>
            <w:r>
              <w:rPr>
                <w:rFonts w:ascii="Calibri" w:hAnsi="Calibri"/>
                <w:sz w:val="18"/>
              </w:rPr>
              <w:t>Full product and operations manual</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Prepared For</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AstoraSOC administrators, Lead Analysts, Analysts, Junior Analysts, and incident-response operators</w:t>
            </w:r>
          </w:p>
        </w:tc>
      </w:tr>
      <w:tr>
        <w:tc>
          <w:tcPr>
            <w:tcW w:type="dxa" w:w="2300"/>
            <w:tcMar>
              <w:top w:w="80" w:type="dxa"/>
              <w:start w:w="120" w:type="dxa"/>
              <w:bottom w:w="80" w:type="dxa"/>
              <w:end w:w="120" w:type="dxa"/>
            </w:tcMar>
            <w:vAlign w:val="top"/>
          </w:tcPr>
          <w:p>
            <w:r>
              <w:t>Published 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02 July 2026</w:t>
            </w:r>
          </w:p>
        </w:tc>
      </w:tr>
      <w:tr>
        <w:tc>
          <w:tcPr>
            <w:tcW w:type="dxa" w:w="2300"/>
            <w:tcMar>
              <w:top w:w="80" w:type="dxa"/>
              <w:start w:w="120" w:type="dxa"/>
              <w:bottom w:w="80" w:type="dxa"/>
              <w:end w:w="120" w:type="dxa"/>
            </w:tcMar>
            <w:vAlign w:val="top"/>
          </w:tcPr>
          <w:p>
            <w:r>
              <w:t>Distribution</w:t>
            </w:r>
          </w:p>
        </w:tc>
        <w:tc>
          <w:tcPr>
            <w:tcW w:type="dxa" w:w="7060"/>
            <w:tcMar>
              <w:top w:w="80" w:type="dxa"/>
              <w:start w:w="120" w:type="dxa"/>
              <w:bottom w:w="80" w:type="dxa"/>
              <w:end w:w="120" w:type="dxa"/>
            </w:tcMar>
            <w:vAlign w:val="top"/>
          </w:tcPr>
          <w:p>
            <w:r>
              <w:t>Public open-source product documentation.</w:t>
            </w:r>
          </w:p>
        </w:tc>
      </w:tr>
    </w:tbl>
    <w:p>
      <w:pPr>
        <w:pStyle w:val="Heading1"/>
      </w:pPr>
      <w:r>
        <w:t>Document Control</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00"/>
        <w:gridCol w:w="1700"/>
        <w:gridCol w:w="2200"/>
        <w:gridCol w:w="4460"/>
      </w:tblGrid>
      <w:tr>
        <w:tc>
          <w:tcPr>
            <w:tcW w:type="dxa" w:w="1000"/>
            <w:shd w:fill="E8EEF5"/>
            <w:tcMar>
              <w:top w:w="80" w:type="dxa"/>
              <w:start w:w="120" w:type="dxa"/>
              <w:bottom w:w="80" w:type="dxa"/>
              <w:end w:w="120" w:type="dxa"/>
            </w:tcMar>
            <w:vAlign w:val="top"/>
          </w:tcPr>
          <w:p>
            <w:pPr>
              <w:spacing w:after="40" w:line="276" w:lineRule="auto"/>
            </w:pPr>
            <w:r>
              <w:rPr>
                <w:rFonts w:ascii="Calibri" w:hAnsi="Calibri"/>
                <w:b/>
                <w:color w:val="102027"/>
                <w:sz w:val="18"/>
              </w:rPr>
              <w:t>Version</w:t>
            </w:r>
          </w:p>
        </w:tc>
        <w:tc>
          <w:tcPr>
            <w:tcW w:type="dxa" w:w="1700"/>
            <w:shd w:fill="E8EEF5"/>
            <w:tcMar>
              <w:top w:w="80" w:type="dxa"/>
              <w:start w:w="120" w:type="dxa"/>
              <w:bottom w:w="80" w:type="dxa"/>
              <w:end w:w="120" w:type="dxa"/>
            </w:tcMar>
            <w:vAlign w:val="top"/>
          </w:tcPr>
          <w:p>
            <w:pPr>
              <w:spacing w:after="40" w:line="276" w:lineRule="auto"/>
            </w:pPr>
            <w:r>
              <w:rPr>
                <w:rFonts w:ascii="Calibri" w:hAnsi="Calibri"/>
                <w:b/>
                <w:color w:val="102027"/>
                <w:sz w:val="18"/>
              </w:rPr>
              <w:t>Date</w:t>
            </w:r>
          </w:p>
        </w:tc>
        <w:tc>
          <w:tcPr>
            <w:tcW w:type="dxa" w:w="2200"/>
            <w:shd w:fill="E8EEF5"/>
            <w:tcMar>
              <w:top w:w="80" w:type="dxa"/>
              <w:start w:w="120" w:type="dxa"/>
              <w:bottom w:w="80" w:type="dxa"/>
              <w:end w:w="120" w:type="dxa"/>
            </w:tcMar>
            <w:vAlign w:val="top"/>
          </w:tcPr>
          <w:p>
            <w:pPr>
              <w:spacing w:after="40" w:line="276" w:lineRule="auto"/>
            </w:pPr>
            <w:r>
              <w:rPr>
                <w:rFonts w:ascii="Calibri" w:hAnsi="Calibri"/>
                <w:b/>
                <w:color w:val="102027"/>
                <w:sz w:val="18"/>
              </w:rPr>
              <w:t>Owner</w:t>
            </w:r>
          </w:p>
        </w:tc>
        <w:tc>
          <w:tcPr>
            <w:tcW w:type="dxa" w:w="4460"/>
            <w:shd w:fill="E8EEF5"/>
            <w:tcMar>
              <w:top w:w="80" w:type="dxa"/>
              <w:start w:w="120" w:type="dxa"/>
              <w:bottom w:w="80" w:type="dxa"/>
              <w:end w:w="120" w:type="dxa"/>
            </w:tcMar>
            <w:vAlign w:val="top"/>
          </w:tcPr>
          <w:p>
            <w:pPr>
              <w:spacing w:after="40" w:line="276" w:lineRule="auto"/>
            </w:pPr>
            <w:r>
              <w:rPr>
                <w:rFonts w:ascii="Calibri" w:hAnsi="Calibri"/>
                <w:b/>
                <w:color w:val="102027"/>
                <w:sz w:val="18"/>
              </w:rPr>
              <w:t>Description</w:t>
            </w:r>
          </w:p>
        </w:tc>
      </w:tr>
      <w:tr>
        <w:tc>
          <w:tcPr>
            <w:tcW w:type="dxa" w:w="1000"/>
            <w:tcMar>
              <w:top w:w="80" w:type="dxa"/>
              <w:start w:w="120" w:type="dxa"/>
              <w:bottom w:w="80" w:type="dxa"/>
              <w:end w:w="120" w:type="dxa"/>
            </w:tcMar>
            <w:vAlign w:val="top"/>
          </w:tcPr>
          <w:p>
            <w:pPr>
              <w:spacing w:after="40" w:line="276" w:lineRule="auto"/>
            </w:pPr>
            <w:r>
              <w:rPr>
                <w:rFonts w:ascii="Calibri" w:hAnsi="Calibri"/>
                <w:sz w:val="18"/>
              </w:rPr>
              <w:t>AstoraSOC v1.0</w:t>
            </w:r>
          </w:p>
        </w:tc>
        <w:tc>
          <w:tcPr>
            <w:tcW w:type="dxa" w:w="1700"/>
            <w:tcMar>
              <w:top w:w="80" w:type="dxa"/>
              <w:start w:w="120" w:type="dxa"/>
              <w:bottom w:w="80" w:type="dxa"/>
              <w:end w:w="120" w:type="dxa"/>
            </w:tcMar>
            <w:vAlign w:val="top"/>
          </w:tcPr>
          <w:p>
            <w:pPr>
              <w:spacing w:after="40" w:line="276" w:lineRule="auto"/>
            </w:pPr>
            <w:r>
              <w:rPr>
                <w:rFonts w:ascii="Calibri" w:hAnsi="Calibri"/>
                <w:sz w:val="18"/>
              </w:rPr>
              <w:t>02 July 2026</w:t>
            </w:r>
          </w:p>
        </w:tc>
        <w:tc>
          <w:tcPr>
            <w:tcW w:type="dxa" w:w="2200"/>
            <w:tcMar>
              <w:top w:w="80" w:type="dxa"/>
              <w:start w:w="120" w:type="dxa"/>
              <w:bottom w:w="80" w:type="dxa"/>
              <w:end w:w="120" w:type="dxa"/>
            </w:tcMar>
            <w:vAlign w:val="top"/>
          </w:tcPr>
          <w:p>
            <w:pPr>
              <w:spacing w:after="40" w:line="276" w:lineRule="auto"/>
            </w:pPr>
            <w:r>
              <w:rPr>
                <w:rFonts w:ascii="Calibri" w:hAnsi="Calibri"/>
                <w:sz w:val="18"/>
              </w:rPr>
              <w:t>AstoraSOC Platform Team</w:t>
            </w:r>
          </w:p>
        </w:tc>
        <w:tc>
          <w:tcPr>
            <w:tcW w:type="dxa" w:w="4460"/>
            <w:tcMar>
              <w:top w:w="80" w:type="dxa"/>
              <w:start w:w="120" w:type="dxa"/>
              <w:bottom w:w="80" w:type="dxa"/>
              <w:end w:w="120" w:type="dxa"/>
            </w:tcMar>
            <w:vAlign w:val="top"/>
          </w:tcPr>
          <w:p>
            <w:pPr>
              <w:spacing w:after="40" w:line="276" w:lineRule="auto"/>
            </w:pPr>
            <w:r>
              <w:rPr>
                <w:rFonts w:ascii="Calibri" w:hAnsi="Calibri"/>
                <w:sz w:val="18"/>
              </w:rPr>
              <w:t>Professional product manual covering provider-neutral alert normalization, asset intelligence, case-type playbooks, AI-assisted reporting, and enterprise SOC reporting workflow.</w:t>
            </w:r>
          </w:p>
        </w:tc>
      </w:tr>
    </w:tbl>
    <w:p>
      <w:pPr>
        <w:pStyle w:val="Heading2"/>
      </w:pPr>
      <w:r>
        <w:t>Document Purpose</w:t>
      </w:r>
    </w:p>
    <w:p>
      <w:r>
        <w:t>This document provides comprehensive technical, administrative, and operational guidance for AstoraSOC v1.0, the Astora Lab SOC &amp; Incident Response Platform. It describes platform architecture, security controls, alert management workflows, incident response processes, case management, IOC intelligence, containment operations, asset management, reporting capabilities, integrations, and role-based responsibilities.</w:t>
      </w:r>
    </w:p>
    <w:p>
      <w:r>
        <w:t>The document is intended for system administrators, SOC leads, analysts, incident responders, and security operations personnel responsible for deploying, managing, and operating the AstoraSOC platform within an organizational security environment.</w:t>
      </w:r>
    </w:p>
    <w:p>
      <w:r>
        <w:t>This documentation serves as the primary reference for platform configuration, day-to-day operations, workflow governance, and security management.</w:t>
      </w:r>
    </w:p>
    <w:p>
      <w:pPr>
        <w:pStyle w:val="Heading2"/>
      </w:pPr>
      <w:r>
        <w:t>About Astora Lab</w:t>
      </w:r>
    </w:p>
    <w:p>
      <w:r>
        <w:t>Astora Labs is an open-source cybersecurity lab dedicated to building modern tools for security operations, incident response, digital forensics, and threat intelligence. The name reflects our mission to guide organizations through complex cyber threats with intelligent, research-driven solutions.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3000"/>
        <w:gridCol w:w="4160"/>
      </w:tblGrid>
      <w:tr>
        <w:tc>
          <w:tcPr>
            <w:tcW w:type="dxa" w:w="2200"/>
            <w:shd w:fill="DDF7F1"/>
            <w:tcMar>
              <w:top w:w="80" w:type="dxa"/>
              <w:start w:w="120" w:type="dxa"/>
              <w:bottom w:w="80" w:type="dxa"/>
              <w:end w:w="120" w:type="dxa"/>
            </w:tcMar>
            <w:vAlign w:val="top"/>
          </w:tcPr>
          <w:p>
            <w:pPr>
              <w:spacing w:after="40" w:line="276" w:lineRule="auto"/>
            </w:pPr>
            <w:r>
              <w:rPr>
                <w:rFonts w:ascii="Calibri" w:hAnsi="Calibri"/>
                <w:b/>
                <w:color w:val="102027"/>
                <w:sz w:val="18"/>
              </w:rPr>
              <w:t>Organization</w:t>
            </w:r>
          </w:p>
        </w:tc>
        <w:tc>
          <w:tcPr>
            <w:tcW w:type="dxa" w:w="3000"/>
            <w:shd w:fill="DDF7F1"/>
            <w:tcMar>
              <w:top w:w="80" w:type="dxa"/>
              <w:start w:w="120" w:type="dxa"/>
              <w:bottom w:w="80" w:type="dxa"/>
              <w:end w:w="120" w:type="dxa"/>
            </w:tcMar>
            <w:vAlign w:val="top"/>
          </w:tcPr>
          <w:p>
            <w:pPr>
              <w:spacing w:after="40" w:line="276" w:lineRule="auto"/>
            </w:pPr>
            <w:r>
              <w:rPr>
                <w:rFonts w:ascii="Calibri" w:hAnsi="Calibri"/>
                <w:b/>
                <w:color w:val="102027"/>
                <w:sz w:val="18"/>
              </w:rPr>
              <w:t>Website</w:t>
            </w:r>
          </w:p>
        </w:tc>
        <w:tc>
          <w:tcPr>
            <w:tcW w:type="dxa" w:w="4160"/>
            <w:shd w:fill="DDF7F1"/>
            <w:tcMar>
              <w:top w:w="80" w:type="dxa"/>
              <w:start w:w="120" w:type="dxa"/>
              <w:bottom w:w="80" w:type="dxa"/>
              <w:end w:w="120" w:type="dxa"/>
            </w:tcMar>
            <w:vAlign w:val="top"/>
          </w:tcPr>
          <w:p>
            <w:pPr>
              <w:spacing w:after="40" w:line="276" w:lineRule="auto"/>
            </w:pPr>
            <w:r>
              <w:rPr>
                <w:rFonts w:ascii="Calibri" w:hAnsi="Calibri"/>
                <w:b/>
                <w:color w:val="102027"/>
                <w:sz w:val="18"/>
              </w:rPr>
              <w:t>Repository</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Astora Lab</w:t>
            </w:r>
          </w:p>
        </w:tc>
        <w:tc>
          <w:tcPr>
            <w:tcW w:type="dxa" w:w="3000"/>
            <w:tcMar>
              <w:top w:w="80" w:type="dxa"/>
              <w:start w:w="120" w:type="dxa"/>
              <w:bottom w:w="80" w:type="dxa"/>
              <w:end w:w="120" w:type="dxa"/>
            </w:tcMar>
            <w:vAlign w:val="top"/>
          </w:tcPr>
          <w:p>
            <w:pPr>
              <w:spacing w:after="40" w:line="276" w:lineRule="auto"/>
            </w:pPr>
            <w:r>
              <w:rPr>
                <w:rFonts w:ascii="Calibri" w:hAnsi="Calibri"/>
                <w:sz w:val="18"/>
              </w:rPr>
              <w:t>www.astoralab.com</w:t>
            </w:r>
          </w:p>
        </w:tc>
        <w:tc>
          <w:tcPr>
            <w:tcW w:type="dxa" w:w="4160"/>
            <w:tcMar>
              <w:top w:w="80" w:type="dxa"/>
              <w:start w:w="120" w:type="dxa"/>
              <w:bottom w:w="80" w:type="dxa"/>
              <w:end w:w="120" w:type="dxa"/>
            </w:tcMar>
            <w:vAlign w:val="top"/>
          </w:tcPr>
          <w:p>
            <w:pPr>
              <w:spacing w:after="40" w:line="276" w:lineRule="auto"/>
            </w:pPr>
            <w:r>
              <w:rPr>
                <w:rFonts w:ascii="Calibri" w:hAnsi="Calibri"/>
                <w:sz w:val="18"/>
              </w:rPr>
              <w:t>github.com/astoralab/astorasoc</w:t>
            </w:r>
          </w:p>
        </w:tc>
      </w:tr>
    </w:tbl>
    <w:p>
      <w:pPr>
        <w:pStyle w:val="Heading2"/>
      </w:pPr>
      <w:r>
        <w:t>Audience</w:t>
      </w:r>
    </w:p>
    <w:p>
      <w:pPr>
        <w:pStyle w:val="ListBullet"/>
      </w:pPr>
      <w:r>
        <w:rPr>
          <w:b/>
        </w:rPr>
        <w:t xml:space="preserve">Administrators: </w:t>
      </w:r>
      <w:r>
        <w:t>Configure AstoraSOC, manage users, SMTP/email delivery, assets, playbooks, audit logs, and platform settings.</w:t>
      </w:r>
    </w:p>
    <w:p>
      <w:pPr>
        <w:pStyle w:val="ListBullet"/>
      </w:pPr>
      <w:r>
        <w:rPr>
          <w:b/>
        </w:rPr>
        <w:t xml:space="preserve">Lead Analysts: </w:t>
      </w:r>
      <w:r>
        <w:t>Review alerts and closure requests, assign cases, approve containment, and maintain SOC governance.</w:t>
      </w:r>
    </w:p>
    <w:p>
      <w:pPr>
        <w:pStyle w:val="ListBullet"/>
      </w:pPr>
      <w:r>
        <w:rPr>
          <w:b/>
        </w:rPr>
        <w:t xml:space="preserve">Analysts: </w:t>
      </w:r>
      <w:r>
        <w:t>Investigate assigned cases, collect evidence, manage IOCs, request containment, complete tasks, and submit closure review.</w:t>
      </w:r>
    </w:p>
    <w:p>
      <w:pPr>
        <w:pStyle w:val="ListBullet"/>
      </w:pPr>
      <w:r>
        <w:rPr>
          <w:b/>
        </w:rPr>
        <w:t xml:space="preserve">Junior Analysts: </w:t>
      </w:r>
      <w:r>
        <w:t>Triage incoming alerts, identify false positives, and send valid alerts to Lead review.</w:t>
      </w:r>
    </w:p>
    <w:p>
      <w:pPr>
        <w:pStyle w:val="ListBullet"/>
      </w:pPr>
      <w:r>
        <w:rPr>
          <w:b/>
        </w:rPr>
        <w:t xml:space="preserve">Security Engineers: </w:t>
      </w:r>
      <w:r>
        <w:t>Integrate AstoraSOC with SIEM, SOAR, EDR, firewall, and custom API sources through webhook and future provider models.</w:t>
      </w:r>
    </w:p>
    <w:p>
      <w:pPr>
        <w:pStyle w:val="Heading2"/>
      </w:pPr>
      <w:r>
        <w:t>Scope</w:t>
      </w:r>
    </w:p>
    <w:p>
      <w:r>
        <w:t>This document covers AstoraSOC application behavior, operational workflows, role restrictions, security controls, integrations, deployment practices, data model, troubleshooting, and recommended SOC runbooks. The public project reference is github.com/astoralab/astorasoc, and organizational information is available at www.astoralab.com. This document does not replace organization-specific incident response policy, legal guidance, or production hardening review.</w:t>
      </w:r>
    </w:p>
    <w:p>
      <w:pPr>
        <w:pStyle w:val="Heading1"/>
      </w:pPr>
      <w:r>
        <w:t>Manual Table of Contents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200"/>
        <w:gridCol w:w="3000"/>
        <w:gridCol w:w="5160"/>
      </w:tblGrid>
      <w:tr>
        <w:tc>
          <w:tcPr>
            <w:tcW w:type="dxa" w:w="1200"/>
            <w:shd w:fill="E8EEF5"/>
            <w:tcMar>
              <w:top w:w="80" w:type="dxa"/>
              <w:start w:w="120" w:type="dxa"/>
              <w:bottom w:w="80" w:type="dxa"/>
              <w:end w:w="120" w:type="dxa"/>
            </w:tcMar>
            <w:vAlign w:val="top"/>
          </w:tcPr>
          <w:p>
            <w:pPr>
              <w:spacing w:after="40" w:line="276" w:lineRule="auto"/>
            </w:pPr>
            <w:r>
              <w:rPr>
                <w:rFonts w:ascii="Calibri" w:hAnsi="Calibri"/>
                <w:b/>
                <w:color w:val="102027"/>
                <w:sz w:val="18"/>
              </w:rPr>
              <w:t>Section No.</w:t>
            </w:r>
          </w:p>
        </w:tc>
        <w:tc>
          <w:tcPr>
            <w:tcW w:type="dxa" w:w="3000"/>
            <w:shd w:fill="E8EEF5"/>
            <w:tcMar>
              <w:top w:w="80" w:type="dxa"/>
              <w:start w:w="120" w:type="dxa"/>
              <w:bottom w:w="80" w:type="dxa"/>
              <w:end w:w="120" w:type="dxa"/>
            </w:tcMar>
            <w:vAlign w:val="top"/>
          </w:tcPr>
          <w:p>
            <w:pPr>
              <w:spacing w:after="40" w:line="276" w:lineRule="auto"/>
            </w:pPr>
            <w:r>
              <w:rPr>
                <w:rFonts w:ascii="Calibri" w:hAnsi="Calibri"/>
                <w:b/>
                <w:color w:val="102027"/>
                <w:sz w:val="18"/>
              </w:rPr>
              <w:t>Section Title</w:t>
            </w:r>
          </w:p>
        </w:tc>
        <w:tc>
          <w:tcPr>
            <w:tcW w:type="dxa" w:w="5160"/>
            <w:shd w:fill="E8EEF5"/>
            <w:tcMar>
              <w:top w:w="80" w:type="dxa"/>
              <w:start w:w="120" w:type="dxa"/>
              <w:bottom w:w="80" w:type="dxa"/>
              <w:end w:w="120" w:type="dxa"/>
            </w:tcMar>
            <w:vAlign w:val="top"/>
          </w:tcPr>
          <w:p>
            <w:pPr>
              <w:spacing w:after="40" w:line="276" w:lineRule="auto"/>
            </w:pPr>
            <w:r>
              <w:rPr>
                <w:rFonts w:ascii="Calibri" w:hAnsi="Calibri"/>
                <w:b/>
                <w:color w:val="102027"/>
                <w:sz w:val="18"/>
              </w:rPr>
              <w:t>Purpose</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1</w:t>
            </w:r>
          </w:p>
        </w:tc>
        <w:tc>
          <w:tcPr>
            <w:tcW w:type="dxa" w:w="3000"/>
            <w:tcMar>
              <w:top w:w="80" w:type="dxa"/>
              <w:start w:w="120" w:type="dxa"/>
              <w:bottom w:w="80" w:type="dxa"/>
              <w:end w:w="120" w:type="dxa"/>
            </w:tcMar>
            <w:vAlign w:val="top"/>
          </w:tcPr>
          <w:p>
            <w:pPr>
              <w:spacing w:after="40" w:line="276" w:lineRule="auto"/>
            </w:pPr>
            <w:r>
              <w:rPr>
                <w:rFonts w:ascii="Calibri" w:hAnsi="Calibri"/>
                <w:sz w:val="18"/>
              </w:rPr>
              <w:t>Executive Overview</w:t>
            </w:r>
          </w:p>
        </w:tc>
        <w:tc>
          <w:tcPr>
            <w:tcW w:type="dxa" w:w="5160"/>
            <w:tcMar>
              <w:top w:w="80" w:type="dxa"/>
              <w:start w:w="120" w:type="dxa"/>
              <w:bottom w:w="80" w:type="dxa"/>
              <w:end w:w="120" w:type="dxa"/>
            </w:tcMar>
            <w:vAlign w:val="top"/>
          </w:tcPr>
          <w:p>
            <w:pPr>
              <w:spacing w:after="40" w:line="276" w:lineRule="auto"/>
            </w:pPr>
            <w:r>
              <w:rPr>
                <w:rFonts w:ascii="Calibri" w:hAnsi="Calibri"/>
                <w:sz w:val="18"/>
              </w:rPr>
              <w:t>Introduces AstoraSOC positioning, operational value, and core SOC capabilities.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2</w:t>
            </w:r>
          </w:p>
        </w:tc>
        <w:tc>
          <w:tcPr>
            <w:tcW w:type="dxa" w:w="3000"/>
            <w:tcMar>
              <w:top w:w="80" w:type="dxa"/>
              <w:start w:w="120" w:type="dxa"/>
              <w:bottom w:w="80" w:type="dxa"/>
              <w:end w:w="120" w:type="dxa"/>
            </w:tcMar>
            <w:vAlign w:val="top"/>
          </w:tcPr>
          <w:p>
            <w:pPr>
              <w:spacing w:after="40" w:line="276" w:lineRule="auto"/>
            </w:pPr>
            <w:r>
              <w:rPr>
                <w:rFonts w:ascii="Calibri" w:hAnsi="Calibri"/>
                <w:sz w:val="18"/>
              </w:rPr>
              <w:t>Product Goals and Design Principles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Defines design goals, workflow principles, platform scope, IR governance, and response quality controls.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3</w:t>
            </w:r>
          </w:p>
        </w:tc>
        <w:tc>
          <w:tcPr>
            <w:tcW w:type="dxa" w:w="3000"/>
            <w:tcMar>
              <w:top w:w="80" w:type="dxa"/>
              <w:start w:w="120" w:type="dxa"/>
              <w:bottom w:w="80" w:type="dxa"/>
              <w:end w:w="120" w:type="dxa"/>
            </w:tcMar>
            <w:vAlign w:val="top"/>
          </w:tcPr>
          <w:p>
            <w:pPr>
              <w:spacing w:after="40" w:line="276" w:lineRule="auto"/>
            </w:pPr>
            <w:r>
              <w:rPr>
                <w:rFonts w:ascii="Calibri" w:hAnsi="Calibri"/>
                <w:sz w:val="18"/>
              </w:rPr>
              <w:t>System Architecture</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Describes application layers, data flow, and core platform components.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4</w:t>
            </w:r>
          </w:p>
        </w:tc>
        <w:tc>
          <w:tcPr>
            <w:tcW w:type="dxa" w:w="3000"/>
            <w:tcMar>
              <w:top w:w="80" w:type="dxa"/>
              <w:start w:w="120" w:type="dxa"/>
              <w:bottom w:w="80" w:type="dxa"/>
              <w:end w:w="120" w:type="dxa"/>
            </w:tcMar>
            <w:vAlign w:val="top"/>
          </w:tcPr>
          <w:p>
            <w:pPr>
              <w:spacing w:after="40" w:line="276" w:lineRule="auto"/>
            </w:pPr>
            <w:r>
              <w:rPr>
                <w:rFonts w:ascii="Calibri" w:hAnsi="Calibri"/>
                <w:sz w:val="18"/>
              </w:rPr>
              <w:t>Deployment and Configuration</w:t>
            </w:r>
          </w:p>
        </w:tc>
        <w:tc>
          <w:tcPr>
            <w:tcW w:type="dxa" w:w="5160"/>
            <w:tcMar>
              <w:top w:w="80" w:type="dxa"/>
              <w:start w:w="120" w:type="dxa"/>
              <w:bottom w:w="80" w:type="dxa"/>
              <w:end w:w="120" w:type="dxa"/>
            </w:tcMar>
            <w:vAlign w:val="top"/>
          </w:tcPr>
          <w:p>
            <w:pPr>
              <w:spacing w:after="40" w:line="276" w:lineRule="auto"/>
            </w:pPr>
            <w:r>
              <w:rPr>
                <w:rFonts w:ascii="Calibri" w:hAnsi="Calibri"/>
                <w:sz w:val="18"/>
              </w:rPr>
              <w:t>Explains installation, environment configuration, and operational setup.</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5</w:t>
            </w:r>
          </w:p>
        </w:tc>
        <w:tc>
          <w:tcPr>
            <w:tcW w:type="dxa" w:w="3000"/>
            <w:tcMar>
              <w:top w:w="80" w:type="dxa"/>
              <w:start w:w="120" w:type="dxa"/>
              <w:bottom w:w="80" w:type="dxa"/>
              <w:end w:w="120" w:type="dxa"/>
            </w:tcMar>
            <w:vAlign w:val="top"/>
          </w:tcPr>
          <w:p>
            <w:pPr>
              <w:spacing w:after="40" w:line="276" w:lineRule="auto"/>
            </w:pPr>
            <w:r>
              <w:rPr>
                <w:rFonts w:ascii="Calibri" w:hAnsi="Calibri"/>
                <w:sz w:val="18"/>
              </w:rPr>
              <w:t>Authentication, Sessions, and Security Controls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Documents login security, API keys, retention controls, uploads, and secure settings.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6</w:t>
            </w:r>
          </w:p>
        </w:tc>
        <w:tc>
          <w:tcPr>
            <w:tcW w:type="dxa" w:w="3000"/>
            <w:tcMar>
              <w:top w:w="80" w:type="dxa"/>
              <w:start w:w="120" w:type="dxa"/>
              <w:bottom w:w="80" w:type="dxa"/>
              <w:end w:w="120" w:type="dxa"/>
            </w:tcMar>
            <w:vAlign w:val="top"/>
          </w:tcPr>
          <w:p>
            <w:pPr>
              <w:spacing w:after="40" w:line="276" w:lineRule="auto"/>
            </w:pPr>
            <w:r>
              <w:rPr>
                <w:rFonts w:ascii="Calibri" w:hAnsi="Calibri"/>
                <w:sz w:val="18"/>
              </w:rPr>
              <w:t>RBAC and Role-Based Workflows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Defines Admin, Lead, Analyst, Junior Analyst, Viewer, and custom role behavior.</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7</w:t>
            </w:r>
          </w:p>
        </w:tc>
        <w:tc>
          <w:tcPr>
            <w:tcW w:type="dxa" w:w="3000"/>
            <w:tcMar>
              <w:top w:w="80" w:type="dxa"/>
              <w:start w:w="120" w:type="dxa"/>
              <w:bottom w:w="80" w:type="dxa"/>
              <w:end w:w="120" w:type="dxa"/>
            </w:tcMar>
            <w:vAlign w:val="top"/>
          </w:tcPr>
          <w:p>
            <w:pPr>
              <w:spacing w:after="40" w:line="276" w:lineRule="auto"/>
            </w:pPr>
            <w:r>
              <w:rPr>
                <w:rFonts w:ascii="Calibri" w:hAnsi="Calibri"/>
                <w:sz w:val="18"/>
              </w:rPr>
              <w:t>Dashboard and Operations Posture View</w:t>
            </w:r>
          </w:p>
        </w:tc>
        <w:tc>
          <w:tcPr>
            <w:tcW w:type="dxa" w:w="5160"/>
            <w:tcMar>
              <w:top w:w="80" w:type="dxa"/>
              <w:start w:w="120" w:type="dxa"/>
              <w:bottom w:w="80" w:type="dxa"/>
              <w:end w:w="120" w:type="dxa"/>
            </w:tcMar>
            <w:vAlign w:val="top"/>
          </w:tcPr>
          <w:p>
            <w:pPr>
              <w:spacing w:after="40" w:line="276" w:lineRule="auto"/>
            </w:pPr>
            <w:r>
              <w:rPr>
                <w:rFonts w:ascii="Calibri" w:hAnsi="Calibri"/>
                <w:sz w:val="18"/>
              </w:rPr>
              <w:t>Explains SOC workload, case analytics, asset intelligence, IOC activity, and dashboard filters.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8</w:t>
            </w:r>
          </w:p>
        </w:tc>
        <w:tc>
          <w:tcPr>
            <w:tcW w:type="dxa" w:w="3000"/>
            <w:tcMar>
              <w:top w:w="80" w:type="dxa"/>
              <w:start w:w="120" w:type="dxa"/>
              <w:bottom w:w="80" w:type="dxa"/>
              <w:end w:w="120" w:type="dxa"/>
            </w:tcMar>
            <w:vAlign w:val="top"/>
          </w:tcPr>
          <w:p>
            <w:pPr>
              <w:spacing w:after="40" w:line="276" w:lineRule="auto"/>
            </w:pPr>
            <w:r>
              <w:rPr>
                <w:rFonts w:ascii="Calibri" w:hAnsi="Calibri"/>
                <w:sz w:val="18"/>
              </w:rPr>
              <w:t>Alerts and SIEM Intake</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Documents provider-neutral alert ingestion, normalization, triage, and raw payload handling.</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9</w:t>
            </w:r>
          </w:p>
        </w:tc>
        <w:tc>
          <w:tcPr>
            <w:tcW w:type="dxa" w:w="3000"/>
            <w:tcMar>
              <w:top w:w="80" w:type="dxa"/>
              <w:start w:w="120" w:type="dxa"/>
              <w:bottom w:w="80" w:type="dxa"/>
              <w:end w:w="120" w:type="dxa"/>
            </w:tcMar>
            <w:vAlign w:val="top"/>
          </w:tcPr>
          <w:p>
            <w:pPr>
              <w:spacing w:after="40" w:line="276" w:lineRule="auto"/>
            </w:pPr>
            <w:r>
              <w:rPr>
                <w:rFonts w:ascii="Calibri" w:hAnsi="Calibri"/>
                <w:sz w:val="18"/>
              </w:rPr>
              <w:t>Review Queue</w:t>
            </w:r>
          </w:p>
        </w:tc>
        <w:tc>
          <w:tcPr>
            <w:tcW w:type="dxa" w:w="5160"/>
            <w:tcMar>
              <w:top w:w="80" w:type="dxa"/>
              <w:start w:w="120" w:type="dxa"/>
              <w:bottom w:w="80" w:type="dxa"/>
              <w:end w:w="120" w:type="dxa"/>
            </w:tcMar>
            <w:vAlign w:val="top"/>
          </w:tcPr>
          <w:p>
            <w:pPr>
              <w:spacing w:after="40" w:line="276" w:lineRule="auto"/>
            </w:pPr>
            <w:r>
              <w:rPr>
                <w:rFonts w:ascii="Calibri" w:hAnsi="Calibri"/>
                <w:sz w:val="18"/>
              </w:rPr>
              <w:t>Explains Lead/Admin review decisions for alerts, closures, containment, and false positives.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10</w:t>
            </w:r>
          </w:p>
        </w:tc>
        <w:tc>
          <w:tcPr>
            <w:tcW w:type="dxa" w:w="3000"/>
            <w:tcMar>
              <w:top w:w="80" w:type="dxa"/>
              <w:start w:w="120" w:type="dxa"/>
              <w:bottom w:w="80" w:type="dxa"/>
              <w:end w:w="120" w:type="dxa"/>
            </w:tcMar>
            <w:vAlign w:val="top"/>
          </w:tcPr>
          <w:p>
            <w:pPr>
              <w:spacing w:after="40" w:line="276" w:lineRule="auto"/>
            </w:pPr>
            <w:r>
              <w:rPr>
                <w:rFonts w:ascii="Calibri" w:hAnsi="Calibri"/>
                <w:sz w:val="18"/>
              </w:rPr>
              <w:t>Case Investigation Workspace</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Describes investigation fields, tasks, notes, evidence, IOCs, timeline, containment, and closure workflow.</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11</w:t>
            </w:r>
          </w:p>
        </w:tc>
        <w:tc>
          <w:tcPr>
            <w:tcW w:type="dxa" w:w="3000"/>
            <w:tcMar>
              <w:top w:w="80" w:type="dxa"/>
              <w:start w:w="120" w:type="dxa"/>
              <w:bottom w:w="80" w:type="dxa"/>
              <w:end w:w="120" w:type="dxa"/>
            </w:tcMar>
            <w:vAlign w:val="top"/>
          </w:tcPr>
          <w:p>
            <w:pPr>
              <w:spacing w:after="40" w:line="276" w:lineRule="auto"/>
            </w:pPr>
            <w:r>
              <w:rPr>
                <w:rFonts w:ascii="Calibri" w:hAnsi="Calibri"/>
                <w:sz w:val="18"/>
              </w:rPr>
              <w:t>Asset Management</w:t>
            </w:r>
          </w:p>
        </w:tc>
        <w:tc>
          <w:tcPr>
            <w:tcW w:type="dxa" w:w="5160"/>
            <w:tcMar>
              <w:top w:w="80" w:type="dxa"/>
              <w:start w:w="120" w:type="dxa"/>
              <w:bottom w:w="80" w:type="dxa"/>
              <w:end w:w="120" w:type="dxa"/>
            </w:tcMar>
            <w:vAlign w:val="top"/>
          </w:tcPr>
          <w:p>
            <w:pPr>
              <w:spacing w:after="40" w:line="276" w:lineRule="auto"/>
            </w:pPr>
            <w:r>
              <w:rPr>
                <w:rFonts w:ascii="Calibri" w:hAnsi="Calibri"/>
                <w:sz w:val="18"/>
              </w:rPr>
              <w:t>Covers asset intelligence, criticality, risk scoring, business function, and alert/case linkage.</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12</w:t>
            </w:r>
          </w:p>
        </w:tc>
        <w:tc>
          <w:tcPr>
            <w:tcW w:type="dxa" w:w="3000"/>
            <w:tcMar>
              <w:top w:w="80" w:type="dxa"/>
              <w:start w:w="120" w:type="dxa"/>
              <w:bottom w:w="80" w:type="dxa"/>
              <w:end w:w="120" w:type="dxa"/>
            </w:tcMar>
            <w:vAlign w:val="top"/>
          </w:tcPr>
          <w:p>
            <w:pPr>
              <w:spacing w:after="40" w:line="276" w:lineRule="auto"/>
            </w:pPr>
            <w:r>
              <w:rPr>
                <w:rFonts w:ascii="Calibri" w:hAnsi="Calibri"/>
                <w:sz w:val="18"/>
              </w:rPr>
              <w:t>Playbook Engine and Tasks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Explains playbook matching, case-type templates, task generation, and investigation checklists.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13</w:t>
            </w:r>
          </w:p>
        </w:tc>
        <w:tc>
          <w:tcPr>
            <w:tcW w:type="dxa" w:w="3000"/>
            <w:tcMar>
              <w:top w:w="80" w:type="dxa"/>
              <w:start w:w="120" w:type="dxa"/>
              <w:bottom w:w="80" w:type="dxa"/>
              <w:end w:w="120" w:type="dxa"/>
            </w:tcMar>
            <w:vAlign w:val="top"/>
          </w:tcPr>
          <w:p>
            <w:pPr>
              <w:spacing w:after="40" w:line="276" w:lineRule="auto"/>
            </w:pPr>
            <w:r>
              <w:rPr>
                <w:rFonts w:ascii="Calibri" w:hAnsi="Calibri"/>
                <w:sz w:val="18"/>
              </w:rPr>
              <w:t>IOC Intelligence</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Documents IOC extraction, classification, normalization, correlation, and analyst actions.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14</w:t>
            </w:r>
          </w:p>
        </w:tc>
        <w:tc>
          <w:tcPr>
            <w:tcW w:type="dxa" w:w="3000"/>
            <w:tcMar>
              <w:top w:w="80" w:type="dxa"/>
              <w:start w:w="120" w:type="dxa"/>
              <w:bottom w:w="80" w:type="dxa"/>
              <w:end w:w="120" w:type="dxa"/>
            </w:tcMar>
            <w:vAlign w:val="top"/>
          </w:tcPr>
          <w:p>
            <w:pPr>
              <w:spacing w:after="40" w:line="276" w:lineRule="auto"/>
            </w:pPr>
            <w:r>
              <w:rPr>
                <w:rFonts w:ascii="Calibri" w:hAnsi="Calibri"/>
                <w:sz w:val="18"/>
              </w:rPr>
              <w:t>Evidence Management</w:t>
            </w:r>
          </w:p>
        </w:tc>
        <w:tc>
          <w:tcPr>
            <w:tcW w:type="dxa" w:w="5160"/>
            <w:tcMar>
              <w:top w:w="80" w:type="dxa"/>
              <w:start w:w="120" w:type="dxa"/>
              <w:bottom w:w="80" w:type="dxa"/>
              <w:end w:w="120" w:type="dxa"/>
            </w:tcMar>
            <w:vAlign w:val="top"/>
          </w:tcPr>
          <w:p>
            <w:pPr>
              <w:spacing w:after="40" w:line="276" w:lineRule="auto"/>
            </w:pPr>
            <w:r>
              <w:rPr>
                <w:rFonts w:ascii="Calibri" w:hAnsi="Calibri"/>
                <w:sz w:val="18"/>
              </w:rPr>
              <w:t>Explains evidence uploads, hashing, metadata, previews, and report usage.</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15</w:t>
            </w:r>
          </w:p>
        </w:tc>
        <w:tc>
          <w:tcPr>
            <w:tcW w:type="dxa" w:w="3000"/>
            <w:tcMar>
              <w:top w:w="80" w:type="dxa"/>
              <w:start w:w="120" w:type="dxa"/>
              <w:bottom w:w="80" w:type="dxa"/>
              <w:end w:w="120" w:type="dxa"/>
            </w:tcMar>
            <w:vAlign w:val="top"/>
          </w:tcPr>
          <w:p>
            <w:pPr>
              <w:spacing w:after="40" w:line="276" w:lineRule="auto"/>
            </w:pPr>
            <w:r>
              <w:rPr>
                <w:rFonts w:ascii="Calibri" w:hAnsi="Calibri"/>
                <w:sz w:val="18"/>
              </w:rPr>
              <w:t>Containment Queue and IR Workflow</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Defines approved containment lifecycle, execution states, rollback, and auditability.</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16</w:t>
            </w:r>
          </w:p>
        </w:tc>
        <w:tc>
          <w:tcPr>
            <w:tcW w:type="dxa" w:w="3000"/>
            <w:tcMar>
              <w:top w:w="80" w:type="dxa"/>
              <w:start w:w="120" w:type="dxa"/>
              <w:bottom w:w="80" w:type="dxa"/>
              <w:end w:w="120" w:type="dxa"/>
            </w:tcMar>
            <w:vAlign w:val="top"/>
          </w:tcPr>
          <w:p>
            <w:pPr>
              <w:spacing w:after="40" w:line="276" w:lineRule="auto"/>
            </w:pPr>
            <w:r>
              <w:rPr>
                <w:rFonts w:ascii="Calibri" w:hAnsi="Calibri"/>
                <w:sz w:val="18"/>
              </w:rPr>
              <w:t>Email and In-App Notifications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Documents notification delivery, SMTP settings, and workflow messaging.</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17</w:t>
            </w:r>
          </w:p>
        </w:tc>
        <w:tc>
          <w:tcPr>
            <w:tcW w:type="dxa" w:w="3000"/>
            <w:tcMar>
              <w:top w:w="80" w:type="dxa"/>
              <w:start w:w="120" w:type="dxa"/>
              <w:bottom w:w="80" w:type="dxa"/>
              <w:end w:w="120" w:type="dxa"/>
            </w:tcMar>
            <w:vAlign w:val="top"/>
          </w:tcPr>
          <w:p>
            <w:pPr>
              <w:spacing w:after="40" w:line="276" w:lineRule="auto"/>
            </w:pPr>
            <w:r>
              <w:rPr>
                <w:rFonts w:ascii="Calibri" w:hAnsi="Calibri"/>
                <w:sz w:val="18"/>
              </w:rPr>
              <w:t>Reports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Explains enterprise DOCX/PDF reports, AI fallback, remediation details, charts, and closure constraints.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18</w:t>
            </w:r>
          </w:p>
        </w:tc>
        <w:tc>
          <w:tcPr>
            <w:tcW w:type="dxa" w:w="3000"/>
            <w:tcMar>
              <w:top w:w="80" w:type="dxa"/>
              <w:start w:w="120" w:type="dxa"/>
              <w:bottom w:w="80" w:type="dxa"/>
              <w:end w:w="120" w:type="dxa"/>
            </w:tcMar>
            <w:vAlign w:val="top"/>
          </w:tcPr>
          <w:p>
            <w:pPr>
              <w:spacing w:after="40" w:line="276" w:lineRule="auto"/>
            </w:pPr>
            <w:r>
              <w:rPr>
                <w:rFonts w:ascii="Calibri" w:hAnsi="Calibri"/>
                <w:sz w:val="18"/>
              </w:rPr>
              <w:t>Audit Logs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Defines audit scope for authentication, workflows, settings, retention, and response actions.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19</w:t>
            </w:r>
          </w:p>
        </w:tc>
        <w:tc>
          <w:tcPr>
            <w:tcW w:type="dxa" w:w="3000"/>
            <w:tcMar>
              <w:top w:w="80" w:type="dxa"/>
              <w:start w:w="120" w:type="dxa"/>
              <w:bottom w:w="80" w:type="dxa"/>
              <w:end w:w="120" w:type="dxa"/>
            </w:tcMar>
            <w:vAlign w:val="top"/>
          </w:tcPr>
          <w:p>
            <w:pPr>
              <w:spacing w:after="40" w:line="276" w:lineRule="auto"/>
            </w:pPr>
            <w:r>
              <w:rPr>
                <w:rFonts w:ascii="Calibri" w:hAnsi="Calibri"/>
                <w:sz w:val="18"/>
              </w:rPr>
              <w:t>Chat and Collaboration</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Documents secure team collaboration, mentions, reactions, attachments, and profile context.</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20</w:t>
            </w:r>
          </w:p>
        </w:tc>
        <w:tc>
          <w:tcPr>
            <w:tcW w:type="dxa" w:w="3000"/>
            <w:tcMar>
              <w:top w:w="80" w:type="dxa"/>
              <w:start w:w="120" w:type="dxa"/>
              <w:bottom w:w="80" w:type="dxa"/>
              <w:end w:w="120" w:type="dxa"/>
            </w:tcMar>
            <w:vAlign w:val="top"/>
          </w:tcPr>
          <w:p>
            <w:pPr>
              <w:spacing w:after="40" w:line="276" w:lineRule="auto"/>
            </w:pPr>
            <w:r>
              <w:rPr>
                <w:rFonts w:ascii="Calibri" w:hAnsi="Calibri"/>
                <w:sz w:val="18"/>
              </w:rPr>
              <w:t>API and Webhook Reference</w:t>
            </w:r>
          </w:p>
        </w:tc>
        <w:tc>
          <w:tcPr>
            <w:tcW w:type="dxa" w:w="5160"/>
            <w:tcMar>
              <w:top w:w="80" w:type="dxa"/>
              <w:start w:w="120" w:type="dxa"/>
              <w:bottom w:w="80" w:type="dxa"/>
              <w:end w:w="120" w:type="dxa"/>
            </w:tcMar>
            <w:vAlign w:val="top"/>
          </w:tcPr>
          <w:p>
            <w:pPr>
              <w:spacing w:after="40" w:line="276" w:lineRule="auto"/>
            </w:pPr>
            <w:r>
              <w:rPr>
                <w:rFonts w:ascii="Calibri" w:hAnsi="Calibri"/>
                <w:sz w:val="18"/>
              </w:rPr>
              <w:t>Provides webhook authentication, accepted fields, and sample JSON payloads.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21</w:t>
            </w:r>
          </w:p>
        </w:tc>
        <w:tc>
          <w:tcPr>
            <w:tcW w:type="dxa" w:w="3000"/>
            <w:tcMar>
              <w:top w:w="80" w:type="dxa"/>
              <w:start w:w="120" w:type="dxa"/>
              <w:bottom w:w="80" w:type="dxa"/>
              <w:end w:w="120" w:type="dxa"/>
            </w:tcMar>
            <w:vAlign w:val="top"/>
          </w:tcPr>
          <w:p>
            <w:pPr>
              <w:spacing w:after="40" w:line="276" w:lineRule="auto"/>
            </w:pPr>
            <w:r>
              <w:rPr>
                <w:rFonts w:ascii="Calibri" w:hAnsi="Calibri"/>
                <w:sz w:val="18"/>
              </w:rPr>
              <w:t>SIEM and SOAR Integration Guide</w:t>
            </w:r>
          </w:p>
        </w:tc>
        <w:tc>
          <w:tcPr>
            <w:tcW w:type="dxa" w:w="5160"/>
            <w:tcMar>
              <w:top w:w="80" w:type="dxa"/>
              <w:start w:w="120" w:type="dxa"/>
              <w:bottom w:w="80" w:type="dxa"/>
              <w:end w:w="120" w:type="dxa"/>
            </w:tcMar>
            <w:vAlign w:val="top"/>
          </w:tcPr>
          <w:p>
            <w:pPr>
              <w:spacing w:after="40" w:line="276" w:lineRule="auto"/>
            </w:pPr>
            <w:r>
              <w:rPr>
                <w:rFonts w:ascii="Calibri" w:hAnsi="Calibri"/>
                <w:sz w:val="18"/>
              </w:rPr>
              <w:t>Explains direct webhook, bridge script, SOAR relay, and polling integration patterns.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22</w:t>
            </w:r>
          </w:p>
        </w:tc>
        <w:tc>
          <w:tcPr>
            <w:tcW w:type="dxa" w:w="3000"/>
            <w:tcMar>
              <w:top w:w="80" w:type="dxa"/>
              <w:start w:w="120" w:type="dxa"/>
              <w:bottom w:w="80" w:type="dxa"/>
              <w:end w:w="120" w:type="dxa"/>
            </w:tcMar>
            <w:vAlign w:val="top"/>
          </w:tcPr>
          <w:p>
            <w:pPr>
              <w:spacing w:after="40" w:line="276" w:lineRule="auto"/>
            </w:pPr>
            <w:r>
              <w:rPr>
                <w:rFonts w:ascii="Calibri" w:hAnsi="Calibri"/>
                <w:sz w:val="18"/>
              </w:rPr>
              <w:t>Operational Runbooks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Provides repeatable operating procedures for daily SOC use.</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23</w:t>
            </w:r>
          </w:p>
        </w:tc>
        <w:tc>
          <w:tcPr>
            <w:tcW w:type="dxa" w:w="3000"/>
            <w:tcMar>
              <w:top w:w="80" w:type="dxa"/>
              <w:start w:w="120" w:type="dxa"/>
              <w:bottom w:w="80" w:type="dxa"/>
              <w:end w:w="120" w:type="dxa"/>
            </w:tcMar>
            <w:vAlign w:val="top"/>
          </w:tcPr>
          <w:p>
            <w:pPr>
              <w:spacing w:after="40" w:line="276" w:lineRule="auto"/>
            </w:pPr>
            <w:r>
              <w:rPr>
                <w:rFonts w:ascii="Calibri" w:hAnsi="Calibri"/>
                <w:sz w:val="18"/>
              </w:rPr>
              <w:t>Troubleshooting</w:t>
            </w:r>
          </w:p>
        </w:tc>
        <w:tc>
          <w:tcPr>
            <w:tcW w:type="dxa" w:w="5160"/>
            <w:tcMar>
              <w:top w:w="80" w:type="dxa"/>
              <w:start w:w="120" w:type="dxa"/>
              <w:bottom w:w="80" w:type="dxa"/>
              <w:end w:w="120" w:type="dxa"/>
            </w:tcMar>
            <w:vAlign w:val="top"/>
          </w:tcPr>
          <w:p>
            <w:pPr>
              <w:spacing w:after="40" w:line="276" w:lineRule="auto"/>
            </w:pPr>
            <w:r>
              <w:rPr>
                <w:rFonts w:ascii="Calibri" w:hAnsi="Calibri"/>
                <w:sz w:val="18"/>
              </w:rPr>
              <w:t>Lists common symptoms, causes, and corrective actions.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24</w:t>
            </w:r>
          </w:p>
        </w:tc>
        <w:tc>
          <w:tcPr>
            <w:tcW w:type="dxa" w:w="3000"/>
            <w:tcMar>
              <w:top w:w="80" w:type="dxa"/>
              <w:start w:w="120" w:type="dxa"/>
              <w:bottom w:w="80" w:type="dxa"/>
              <w:end w:w="120" w:type="dxa"/>
            </w:tcMar>
            <w:vAlign w:val="top"/>
          </w:tcPr>
          <w:p>
            <w:pPr>
              <w:spacing w:after="40" w:line="276" w:lineRule="auto"/>
            </w:pPr>
            <w:r>
              <w:rPr>
                <w:rFonts w:ascii="Calibri" w:hAnsi="Calibri"/>
                <w:sz w:val="18"/>
              </w:rPr>
              <w:t>Maintenance and Roadmap</w:t>
            </w:r>
          </w:p>
        </w:tc>
        <w:tc>
          <w:tcPr>
            <w:tcW w:type="dxa" w:w="5160"/>
            <w:tcMar>
              <w:top w:w="80" w:type="dxa"/>
              <w:start w:w="120" w:type="dxa"/>
              <w:bottom w:w="80" w:type="dxa"/>
              <w:end w:w="120" w:type="dxa"/>
            </w:tcMar>
            <w:vAlign w:val="top"/>
          </w:tcPr>
          <w:p>
            <w:pPr>
              <w:spacing w:after="40" w:line="276" w:lineRule="auto"/>
            </w:pPr>
            <w:r>
              <w:rPr>
                <w:rFonts w:ascii="Calibri" w:hAnsi="Calibri"/>
                <w:sz w:val="18"/>
              </w:rPr>
              <w:t>Covers operational maintenance and planned enhancement areas.</w:t>
            </w:r>
          </w:p>
        </w:tc>
      </w:tr>
      <w:tr>
        <w:tc>
          <w:tcPr>
            <w:tcW w:type="dxa" w:w="1200"/>
            <w:tcMar>
              <w:top w:w="80" w:type="dxa"/>
              <w:start w:w="120" w:type="dxa"/>
              <w:bottom w:w="80" w:type="dxa"/>
              <w:end w:w="120" w:type="dxa"/>
            </w:tcMar>
            <w:vAlign w:val="top"/>
          </w:tcPr>
          <w:p>
            <w:pPr>
              <w:spacing w:after="40" w:line="276" w:lineRule="auto"/>
            </w:pPr>
            <w:r>
              <w:rPr>
                <w:rFonts w:ascii="Calibri" w:hAnsi="Calibri"/>
                <w:sz w:val="18"/>
              </w:rPr>
              <w:t>25</w:t>
            </w:r>
          </w:p>
        </w:tc>
        <w:tc>
          <w:tcPr>
            <w:tcW w:type="dxa" w:w="3000"/>
            <w:tcMar>
              <w:top w:w="80" w:type="dxa"/>
              <w:start w:w="120" w:type="dxa"/>
              <w:bottom w:w="80" w:type="dxa"/>
              <w:end w:w="120" w:type="dxa"/>
            </w:tcMar>
            <w:vAlign w:val="top"/>
          </w:tcPr>
          <w:p>
            <w:pPr>
              <w:spacing w:after="40" w:line="276" w:lineRule="auto"/>
            </w:pPr>
            <w:r>
              <w:rPr>
                <w:rFonts w:ascii="Calibri" w:hAnsi="Calibri"/>
                <w:sz w:val="18"/>
              </w:rPr>
              <w:t>Appendices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Provides status definitions, severity/criticality guidance, and operational checklists.</w:t>
            </w:r>
          </w:p>
        </w:tc>
      </w:tr>
    </w:tbl>
    <w:p>
      <w:r>
        <w:br w:type="page"/>
      </w:r>
    </w:p>
    <w:p>
      <w:pPr>
        <w:pStyle w:val="Heading1"/>
      </w:pPr>
      <w:r>
        <w:t>1. Executive Overview</w:t>
      </w:r>
    </w:p>
    <w:p>
      <w:r>
        <w:t>AstoraSOC is a modern SOC and incident-response workflow platform built by Astora Lab for security teams that need fast triage, governed investigation, asset-aware response, IOC intelligence, and professional reporting without the operational weight of a large enterprise SOAR deployment. The platform sits beside SIEM, SOAR, EDR, vulnerability, and monitoring tools and converts security signals into structured review, investigation, containment, closure, and audit workflows.</w:t>
      </w:r>
    </w:p>
    <w:p>
      <w:r>
        <w:t>The product is intentionally provider-neutral. Wazuh is supported as an integration example, but AstoraSOC is designed for alerts from Splunk, Microsoft Sentinel, Elastic Security, QRadar, Security Onion, Graylog, Chronicle/SecOps, LogRhythm, ArcSight, AlienVault/USM, Shuffle, custom API clients, and future detection sources that can send normalized JSON.</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tcMar>
              <w:top w:w="80" w:type="dxa"/>
              <w:start w:w="120" w:type="dxa"/>
              <w:bottom w:w="80" w:type="dxa"/>
              <w:end w:w="120" w:type="dxa"/>
            </w:tcMar>
            <w:vAlign w:val="top"/>
            <w:shd w:fill="E7F0FA"/>
          </w:tcPr>
          <w:p>
            <w:r>
              <w:rPr>
                <w:b/>
                <w:color w:val="102027"/>
                <w:sz w:val="20"/>
              </w:rPr>
              <w:t>Operational Positioning</w:t>
            </w:r>
            <w:r>
              <w:rPr>
                <w:color w:val="102027"/>
                <w:sz w:val="18"/>
              </w:rPr>
              <w:br/>
              <w:t>Detection platforms identify signals; AstoraSOC normalizes them, preserves context, routes review, manages investigation, records response, and produces executive-ready reports.</w:t>
            </w:r>
          </w:p>
        </w:tc>
      </w:tr>
    </w:tbl>
    <w:p/>
    <w:p>
      <w:pPr>
        <w:pStyle w:val="Heading2"/>
      </w:pPr>
      <w:r>
        <w:t>Core Capabilities</w:t>
      </w:r>
    </w:p>
    <w:p>
      <w:pPr>
        <w:pStyle w:val="ListBullet"/>
      </w:pPr>
      <w:r>
        <w:t>SOC-focused dashboard with open cases, review queue health, workload, MTTD, MTTR, severity/status distribution, asset risk, IOC activity, containment readiness, most affected assets, analyst workload, and recent incident activity.</w:t>
      </w:r>
    </w:p>
    <w:p>
      <w:pPr>
        <w:pStyle w:val="ListBullet"/>
      </w:pPr>
      <w:r>
        <w:t>Provider-neutral alert intake through a protected API/webhook, with normalization for different SIEM/SOAR/EDR field names and preservation of original raw payloads.</w:t>
      </w:r>
    </w:p>
    <w:p>
      <w:pPr>
        <w:pStyle w:val="ListBullet"/>
      </w:pPr>
      <w:r>
        <w:t>Role-aware alert triage and Lead review before promotion to cases.</w:t>
      </w:r>
    </w:p>
    <w:p>
      <w:pPr>
        <w:pStyle w:val="ListBullet"/>
      </w:pPr>
      <w:r>
        <w:t>Case investigation workspace with incident type, business impact, root cause, resolution summary, MTTR, IOCs, evidence, notes, timeline, tasks, related activity, containment queue, linked assets, and reports.</w:t>
      </w:r>
    </w:p>
    <w:p>
      <w:pPr>
        <w:pStyle w:val="ListBullet"/>
      </w:pPr>
      <w:r>
        <w:t>Asset Intelligence for hostname/IP matching, asset owner, department, business function, OS, status, criticality, risk score, linked alerts, linked cases, and investigation context.</w:t>
      </w:r>
    </w:p>
    <w:p>
      <w:pPr>
        <w:pStyle w:val="ListBullet"/>
      </w:pPr>
      <w:r>
        <w:t>Playbook Engine that auto-generates tasks based on SIEM rule ID, source category, MITRE tactic, alert type, case type, or generic fallback.</w:t>
      </w:r>
    </w:p>
    <w:p>
      <w:pPr>
        <w:pStyle w:val="ListBullet"/>
      </w:pPr>
      <w:r>
        <w:t>Containment workflow with approval, execution, rollback, execution history, timeline entries, and audit logs.</w:t>
      </w:r>
    </w:p>
    <w:p>
      <w:pPr>
        <w:pStyle w:val="ListBullet"/>
      </w:pPr>
      <w:r>
        <w:t>Professional DOCX/PDF report generation with case-type aware executive summaries, remediation details, evidence register, reviewer approval, timeline highlights, charts, and optional AI enhancement.</w:t>
      </w:r>
    </w:p>
    <w:p>
      <w:pPr>
        <w:pStyle w:val="ListBullet"/>
      </w:pPr>
      <w:r>
        <w:t>Professional HTML email notifications and in-app notification records for important workflow events.</w:t>
      </w:r>
    </w:p>
    <w:p>
      <w:pPr>
        <w:pStyle w:val="ListBullet"/>
      </w:pPr>
      <w:r>
        <w:t>Audit logs, secure file upload validation, CSRF protection, password hashing, protected API keys, and RBAC restrictions.</w:t>
      </w:r>
    </w:p>
    <w:p>
      <w:pPr>
        <w:pStyle w:val="Heading1"/>
      </w:pPr>
      <w:r>
        <w:t>2. Product Goals and Design Principles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7060"/>
      </w:tblGrid>
      <w:tr>
        <w:tc>
          <w:tcPr>
            <w:tcW w:type="dxa" w:w="2300"/>
            <w:shd w:fill="E8EEF5"/>
            <w:tcMar>
              <w:top w:w="80" w:type="dxa"/>
              <w:start w:w="120" w:type="dxa"/>
              <w:bottom w:w="80" w:type="dxa"/>
              <w:end w:w="120" w:type="dxa"/>
            </w:tcMar>
            <w:vAlign w:val="top"/>
          </w:tcPr>
          <w:p>
            <w:pPr>
              <w:spacing w:after="40" w:line="276" w:lineRule="auto"/>
            </w:pPr>
            <w:r>
              <w:rPr>
                <w:rFonts w:ascii="Calibri" w:hAnsi="Calibri"/>
                <w:b/>
                <w:color w:val="102027"/>
                <w:sz w:val="18"/>
              </w:rPr>
              <w:t>Principle</w:t>
            </w:r>
          </w:p>
        </w:tc>
        <w:tc>
          <w:tcPr>
            <w:tcW w:type="dxa" w:w="7060"/>
            <w:shd w:fill="E8EEF5"/>
            <w:tcMar>
              <w:top w:w="80" w:type="dxa"/>
              <w:start w:w="120" w:type="dxa"/>
              <w:bottom w:w="80" w:type="dxa"/>
              <w:end w:w="120" w:type="dxa"/>
            </w:tcMar>
            <w:vAlign w:val="top"/>
          </w:tcPr>
          <w:p>
            <w:pPr>
              <w:spacing w:after="40" w:line="276" w:lineRule="auto"/>
            </w:pPr>
            <w:r>
              <w:rPr>
                <w:rFonts w:ascii="Calibri" w:hAnsi="Calibri"/>
                <w:b/>
                <w:color w:val="102027"/>
                <w:sz w:val="18"/>
              </w:rPr>
              <w:t>Implementation in AstoraSOC</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SOC-first workflow</w:t>
            </w:r>
          </w:p>
        </w:tc>
        <w:tc>
          <w:tcPr>
            <w:tcW w:type="dxa" w:w="7060"/>
            <w:tcMar>
              <w:top w:w="80" w:type="dxa"/>
              <w:start w:w="120" w:type="dxa"/>
              <w:bottom w:w="80" w:type="dxa"/>
              <w:end w:w="120" w:type="dxa"/>
            </w:tcMar>
            <w:vAlign w:val="top"/>
          </w:tcPr>
          <w:p>
            <w:pPr>
              <w:spacing w:after="40" w:line="276" w:lineRule="auto"/>
            </w:pPr>
            <w:r>
              <w:rPr>
                <w:rFonts w:ascii="Calibri" w:hAnsi="Calibri"/>
                <w:sz w:val="18"/>
              </w:rPr>
              <w:t>Screens prioritize cases, review, investigations, affected assets, IOC context, containment, and response timelines.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Lightweight by design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AstoraSOC avoids unnecessary enterprise clutter while still providing structured SOC triage, investigation, review, asset context, reporting, and auditability.</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Governed investigation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Junior Analysts triage, Leads review and assign, Analysts investigate, and containment requires approval.</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Auditability</w:t>
            </w:r>
          </w:p>
        </w:tc>
        <w:tc>
          <w:tcPr>
            <w:tcW w:type="dxa" w:w="7060"/>
            <w:tcMar>
              <w:top w:w="80" w:type="dxa"/>
              <w:start w:w="120" w:type="dxa"/>
              <w:bottom w:w="80" w:type="dxa"/>
              <w:end w:w="120" w:type="dxa"/>
            </w:tcMar>
            <w:vAlign w:val="top"/>
          </w:tcPr>
          <w:p>
            <w:pPr>
              <w:spacing w:after="40" w:line="276" w:lineRule="auto"/>
            </w:pPr>
            <w:r>
              <w:rPr>
                <w:rFonts w:ascii="Calibri" w:hAnsi="Calibri"/>
                <w:sz w:val="18"/>
              </w:rPr>
              <w:t>Important workflow changes are stored in audit logs and/or case timelines.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Secure defaults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CSRF, session timeout, password hashing, upload validation, API key protection, role checks, encrypted secrets, and delivery logs are built in.</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Provider-neutral integrations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Webhook intake, normalized alert fields, and modular containment concepts allow SIEMs, SOAR tools, EDR, firewall APIs, SSH, PowerShell, active response, and playbooks to connect without redesign.</w:t>
            </w:r>
          </w:p>
        </w:tc>
      </w:tr>
    </w:tbl>
    <w:p>
      <w:pPr>
        <w:pStyle w:val="Heading2"/>
      </w:pPr>
      <w:r>
        <w:t>Platform Features Overview</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7060"/>
      </w:tblGrid>
      <w:tr>
        <w:tc>
          <w:tcPr>
            <w:tcW w:type="dxa" w:w="2300"/>
            <w:shd w:fill="E8EEF5"/>
            <w:tcMar>
              <w:top w:w="80" w:type="dxa"/>
              <w:start w:w="120" w:type="dxa"/>
              <w:bottom w:w="80" w:type="dxa"/>
              <w:end w:w="120" w:type="dxa"/>
            </w:tcMar>
            <w:vAlign w:val="top"/>
          </w:tcPr>
          <w:p>
            <w:pPr>
              <w:spacing w:after="40" w:line="276" w:lineRule="auto"/>
            </w:pPr>
            <w:r>
              <w:rPr>
                <w:rFonts w:ascii="Calibri" w:hAnsi="Calibri"/>
                <w:b/>
                <w:color w:val="102027"/>
                <w:sz w:val="18"/>
              </w:rPr>
              <w:t>Capability</w:t>
            </w:r>
          </w:p>
        </w:tc>
        <w:tc>
          <w:tcPr>
            <w:tcW w:type="dxa" w:w="7060"/>
            <w:shd w:fill="E8EEF5"/>
            <w:tcMar>
              <w:top w:w="80" w:type="dxa"/>
              <w:start w:w="120" w:type="dxa"/>
              <w:bottom w:w="80" w:type="dxa"/>
              <w:end w:w="120" w:type="dxa"/>
            </w:tcMar>
            <w:vAlign w:val="top"/>
          </w:tcPr>
          <w:p>
            <w:pPr>
              <w:spacing w:after="40" w:line="276" w:lineRule="auto"/>
            </w:pPr>
            <w:r>
              <w:rPr>
                <w:rFonts w:ascii="Calibri" w:hAnsi="Calibri"/>
                <w:b/>
                <w:color w:val="102027"/>
                <w:sz w:val="18"/>
              </w:rPr>
              <w:t>Purpose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Alert Management</w:t>
            </w:r>
          </w:p>
        </w:tc>
        <w:tc>
          <w:tcPr>
            <w:tcW w:type="dxa" w:w="7060"/>
            <w:tcMar>
              <w:top w:w="80" w:type="dxa"/>
              <w:start w:w="120" w:type="dxa"/>
              <w:bottom w:w="80" w:type="dxa"/>
              <w:end w:w="120" w:type="dxa"/>
            </w:tcMar>
            <w:vAlign w:val="top"/>
          </w:tcPr>
          <w:p>
            <w:pPr>
              <w:spacing w:after="40" w:line="276" w:lineRule="auto"/>
            </w:pPr>
            <w:r>
              <w:rPr>
                <w:rFonts w:ascii="Calibri" w:hAnsi="Calibri"/>
                <w:sz w:val="18"/>
              </w:rPr>
              <w:t>Ingest, normalize, filter, and triage alerts from SIEM, SOAR, EDR, monitoring platforms, and custom webhook clients.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Review Workflow</w:t>
            </w:r>
          </w:p>
        </w:tc>
        <w:tc>
          <w:tcPr>
            <w:tcW w:type="dxa" w:w="7060"/>
            <w:tcMar>
              <w:top w:w="80" w:type="dxa"/>
              <w:start w:w="120" w:type="dxa"/>
              <w:bottom w:w="80" w:type="dxa"/>
              <w:end w:w="120" w:type="dxa"/>
            </w:tcMar>
            <w:vAlign w:val="top"/>
          </w:tcPr>
          <w:p>
            <w:pPr>
              <w:spacing w:after="40" w:line="276" w:lineRule="auto"/>
            </w:pPr>
            <w:r>
              <w:rPr>
                <w:rFonts w:ascii="Calibri" w:hAnsi="Calibri"/>
                <w:sz w:val="18"/>
              </w:rPr>
              <w:t>Route analyst-triaged alerts and closure requests through Lead/Admin review before promotion, closure, or false-positive disposition.</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Case Management</w:t>
            </w:r>
          </w:p>
        </w:tc>
        <w:tc>
          <w:tcPr>
            <w:tcW w:type="dxa" w:w="7060"/>
            <w:tcMar>
              <w:top w:w="80" w:type="dxa"/>
              <w:start w:w="120" w:type="dxa"/>
              <w:bottom w:w="80" w:type="dxa"/>
              <w:end w:w="120" w:type="dxa"/>
            </w:tcMar>
            <w:vAlign w:val="top"/>
          </w:tcPr>
          <w:p>
            <w:pPr>
              <w:spacing w:after="40" w:line="276" w:lineRule="auto"/>
            </w:pPr>
            <w:r>
              <w:rPr>
                <w:rFonts w:ascii="Calibri" w:hAnsi="Calibri"/>
                <w:sz w:val="18"/>
              </w:rPr>
              <w:t>Track investigations with unified AstoraSOC IDs, ownership, severity, workflow status, tasks, evidence, notes, and timelines.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IOC Intelligence</w:t>
            </w:r>
          </w:p>
        </w:tc>
        <w:tc>
          <w:tcPr>
            <w:tcW w:type="dxa" w:w="7060"/>
            <w:tcMar>
              <w:top w:w="80" w:type="dxa"/>
              <w:start w:w="120" w:type="dxa"/>
              <w:bottom w:w="80" w:type="dxa"/>
              <w:end w:w="120" w:type="dxa"/>
            </w:tcMar>
            <w:vAlign w:val="top"/>
          </w:tcPr>
          <w:p>
            <w:pPr>
              <w:spacing w:after="40" w:line="276" w:lineRule="auto"/>
            </w:pPr>
            <w:r>
              <w:rPr>
                <w:rFonts w:ascii="Calibri" w:hAnsi="Calibri"/>
                <w:sz w:val="18"/>
              </w:rPr>
              <w:t>Extract, sanitize, classify, normalize, correlate, and export indicators across alerts, cases, evidence, raw logs, and analyst notes.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Asset Management</w:t>
            </w:r>
          </w:p>
        </w:tc>
        <w:tc>
          <w:tcPr>
            <w:tcW w:type="dxa" w:w="7060"/>
            <w:tcMar>
              <w:top w:w="80" w:type="dxa"/>
              <w:start w:w="120" w:type="dxa"/>
              <w:bottom w:w="80" w:type="dxa"/>
              <w:end w:w="120" w:type="dxa"/>
            </w:tcMar>
            <w:vAlign w:val="top"/>
          </w:tcPr>
          <w:p>
            <w:pPr>
              <w:spacing w:after="40" w:line="276" w:lineRule="auto"/>
            </w:pPr>
            <w:r>
              <w:rPr>
                <w:rFonts w:ascii="Calibri" w:hAnsi="Calibri"/>
                <w:sz w:val="18"/>
              </w:rPr>
              <w:t>Maintain business and technical asset intelligence for hostnames, IPs, owners, departments, business functions, risk, and investigation context.</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Playbooks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Apply reusable investigation task templates based on SIEM rule ID, source category, MITRE tactic, alert type, case type, or generic fallback.</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Containment</w:t>
            </w:r>
          </w:p>
        </w:tc>
        <w:tc>
          <w:tcPr>
            <w:tcW w:type="dxa" w:w="7060"/>
            <w:tcMar>
              <w:top w:w="80" w:type="dxa"/>
              <w:start w:w="120" w:type="dxa"/>
              <w:bottom w:w="80" w:type="dxa"/>
              <w:end w:w="120" w:type="dxa"/>
            </w:tcMar>
            <w:vAlign w:val="top"/>
          </w:tcPr>
          <w:p>
            <w:pPr>
              <w:spacing w:after="40" w:line="276" w:lineRule="auto"/>
            </w:pPr>
            <w:r>
              <w:rPr>
                <w:rFonts w:ascii="Calibri" w:hAnsi="Calibri"/>
                <w:sz w:val="18"/>
              </w:rPr>
              <w:t>Record and govern response actions such as block, isolate, disable, quarantine, firewall, and custom script workflows.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Reporting</w:t>
            </w:r>
          </w:p>
        </w:tc>
        <w:tc>
          <w:tcPr>
            <w:tcW w:type="dxa" w:w="7060"/>
            <w:tcMar>
              <w:top w:w="80" w:type="dxa"/>
              <w:start w:w="120" w:type="dxa"/>
              <w:bottom w:w="80" w:type="dxa"/>
              <w:end w:w="120" w:type="dxa"/>
            </w:tcMar>
            <w:vAlign w:val="top"/>
          </w:tcPr>
          <w:p>
            <w:pPr>
              <w:spacing w:after="40" w:line="276" w:lineRule="auto"/>
            </w:pPr>
            <w:r>
              <w:rPr>
                <w:rFonts w:ascii="Calibri" w:hAnsi="Calibri"/>
                <w:sz w:val="18"/>
              </w:rPr>
              <w:t>Generate professional DOCX/PDF investigation reports with executive impact, remediation details, evidence register, charts, timeline highlights, reviewer approval, and AI-assisted narrative when configured.</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Audit Logs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Preserve security-relevant actions, configuration changes, authentication events, workflow decisions, and retention operations.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Notifications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Deliver in-app and email notifications for assignments, reviews, messages, case updates, and SOC workflow events.</w:t>
            </w:r>
          </w:p>
        </w:tc>
      </w:tr>
    </w:tbl>
    <w:p>
      <w:pPr>
        <w:pStyle w:val="Heading2"/>
      </w:pPr>
      <w:r>
        <w:t>Incident Response Lifecycle</w:t>
      </w:r>
    </w:p>
    <w:p>
      <w:r>
        <w:t>AstoraSOC v1.0 follows a governed incident response lifecycle that supports both provider-driven alerts and manually created investigations. Each phase is designed to preserve accountability, reduce analyst ambiguity, and produce evidence-backed closure.</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7060"/>
      </w:tblGrid>
      <w:tr>
        <w:tc>
          <w:tcPr>
            <w:tcW w:type="dxa" w:w="2300"/>
            <w:shd w:fill="E8EEF5"/>
            <w:tcMar>
              <w:top w:w="80" w:type="dxa"/>
              <w:start w:w="120" w:type="dxa"/>
              <w:bottom w:w="80" w:type="dxa"/>
              <w:end w:w="120" w:type="dxa"/>
            </w:tcMar>
            <w:vAlign w:val="top"/>
          </w:tcPr>
          <w:p>
            <w:pPr>
              <w:spacing w:after="40" w:line="276" w:lineRule="auto"/>
            </w:pPr>
            <w:r>
              <w:rPr>
                <w:rFonts w:ascii="Calibri" w:hAnsi="Calibri"/>
                <w:b/>
                <w:color w:val="102027"/>
                <w:sz w:val="18"/>
              </w:rPr>
              <w:t>Phase</w:t>
            </w:r>
          </w:p>
        </w:tc>
        <w:tc>
          <w:tcPr>
            <w:tcW w:type="dxa" w:w="7060"/>
            <w:shd w:fill="E8EEF5"/>
            <w:tcMar>
              <w:top w:w="80" w:type="dxa"/>
              <w:start w:w="120" w:type="dxa"/>
              <w:bottom w:w="80" w:type="dxa"/>
              <w:end w:w="120" w:type="dxa"/>
            </w:tcMar>
            <w:vAlign w:val="top"/>
          </w:tcPr>
          <w:p>
            <w:pPr>
              <w:spacing w:after="40" w:line="276" w:lineRule="auto"/>
            </w:pPr>
            <w:r>
              <w:rPr>
                <w:rFonts w:ascii="Calibri" w:hAnsi="Calibri"/>
                <w:b/>
                <w:color w:val="102027"/>
                <w:sz w:val="18"/>
              </w:rPr>
              <w:t>AstoraSOC Practice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Detection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External SIEM, SOAR, EDR, vulnerability, monitoring, or manual sources identify security-relevant activity.</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Alert Normalization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AstoraSOC maps provider-specific fields into consistent alert fields while preserving the original raw payload.</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Junior Analyst Triage</w:t>
            </w:r>
          </w:p>
        </w:tc>
        <w:tc>
          <w:tcPr>
            <w:tcW w:type="dxa" w:w="7060"/>
            <w:tcMar>
              <w:top w:w="80" w:type="dxa"/>
              <w:start w:w="120" w:type="dxa"/>
              <w:bottom w:w="80" w:type="dxa"/>
              <w:end w:w="120" w:type="dxa"/>
            </w:tcMar>
            <w:vAlign w:val="top"/>
          </w:tcPr>
          <w:p>
            <w:pPr>
              <w:spacing w:after="40" w:line="276" w:lineRule="auto"/>
            </w:pPr>
            <w:r>
              <w:rPr>
                <w:rFonts w:ascii="Calibri" w:hAnsi="Calibri"/>
                <w:sz w:val="18"/>
              </w:rPr>
              <w:t>Junior Analysts review normalized alerts, asset context, severity, IOCs, and raw data before sending valid items to review or closing clear false positives.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Lead Review</w:t>
            </w:r>
          </w:p>
        </w:tc>
        <w:tc>
          <w:tcPr>
            <w:tcW w:type="dxa" w:w="7060"/>
            <w:tcMar>
              <w:top w:w="80" w:type="dxa"/>
              <w:start w:w="120" w:type="dxa"/>
              <w:bottom w:w="80" w:type="dxa"/>
              <w:end w:w="120" w:type="dxa"/>
            </w:tcMar>
            <w:vAlign w:val="top"/>
          </w:tcPr>
          <w:p>
            <w:pPr>
              <w:spacing w:after="40" w:line="276" w:lineRule="auto"/>
            </w:pPr>
            <w:r>
              <w:rPr>
                <w:rFonts w:ascii="Calibri" w:hAnsi="Calibri"/>
                <w:sz w:val="18"/>
              </w:rPr>
              <w:t>Lead Analysts validate promoted alerts, assign analysts, create cases, or mark false positives with required rationale.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Case Creation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Validated alerts or manual investigations become cases with unified AST tracking IDs and linked context.</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Playbook Assignment</w:t>
            </w:r>
          </w:p>
        </w:tc>
        <w:tc>
          <w:tcPr>
            <w:tcW w:type="dxa" w:w="7060"/>
            <w:tcMar>
              <w:top w:w="80" w:type="dxa"/>
              <w:start w:w="120" w:type="dxa"/>
              <w:bottom w:w="80" w:type="dxa"/>
              <w:end w:w="120" w:type="dxa"/>
            </w:tcMar>
            <w:vAlign w:val="top"/>
          </w:tcPr>
          <w:p>
            <w:pPr>
              <w:spacing w:after="40" w:line="276" w:lineRule="auto"/>
            </w:pPr>
            <w:r>
              <w:rPr>
                <w:rFonts w:ascii="Calibri" w:hAnsi="Calibri"/>
                <w:sz w:val="18"/>
              </w:rPr>
              <w:t>The Playbook Engine applies the best matching SIEM rule, source category, MITRE tactic, alert type, case type, or generic playbook.</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Investigation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Assigned Analysts work the case using summary fields, tasks, timeline, related activity, notes, and asset intelligence.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Evidence Collection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Analysts upload relevant artifacts, preserve SHA256 hashes, and document evidence purpose for reviewer and report use.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IOC Analysis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Indicators are extracted, sanitized, classified, correlated, and reviewed across alerts and cases.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Containment Request</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Analysts request controlled response actions from within an active case, including reason, target, risk, and notes.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Lead Approval</w:t>
            </w:r>
          </w:p>
        </w:tc>
        <w:tc>
          <w:tcPr>
            <w:tcW w:type="dxa" w:w="7060"/>
            <w:tcMar>
              <w:top w:w="80" w:type="dxa"/>
              <w:start w:w="120" w:type="dxa"/>
              <w:bottom w:w="80" w:type="dxa"/>
              <w:end w:w="120" w:type="dxa"/>
            </w:tcMar>
            <w:vAlign w:val="top"/>
          </w:tcPr>
          <w:p>
            <w:pPr>
              <w:spacing w:after="40" w:line="276" w:lineRule="auto"/>
            </w:pPr>
            <w:r>
              <w:rPr>
                <w:rFonts w:ascii="Calibri" w:hAnsi="Calibri"/>
                <w:sz w:val="18"/>
              </w:rPr>
              <w:t>Leads approve, reject, or request more information for containment and closure decisions.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Manual / Provider-Based Execution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Authorized operators record manual execution or future provider-backed response results with audit history.</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Remediation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Teams document patching, configuration changes, account actions, isolation, quarantine, or other response activities.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Validation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Analysts validate remediation through evidence, scans, logs, follow-up monitoring, or reviewer-confirmed checks.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Closure Review</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Assigned Analysts submit closure review; Leads approve closure or request more work.</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Final Report</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Approved closed cases can generate professional DOCX/PDF reports with standard or AI-enhanced narrative.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Lessons Learned</w:t>
            </w:r>
          </w:p>
        </w:tc>
        <w:tc>
          <w:tcPr>
            <w:tcW w:type="dxa" w:w="7060"/>
            <w:tcMar>
              <w:top w:w="80" w:type="dxa"/>
              <w:start w:w="120" w:type="dxa"/>
              <w:bottom w:w="80" w:type="dxa"/>
              <w:end w:w="120" w:type="dxa"/>
            </w:tcMar>
            <w:vAlign w:val="top"/>
          </w:tcPr>
          <w:p>
            <w:pPr>
              <w:spacing w:after="40" w:line="276" w:lineRule="auto"/>
            </w:pPr>
            <w:r>
              <w:rPr>
                <w:rFonts w:ascii="Calibri" w:hAnsi="Calibri"/>
                <w:sz w:val="18"/>
              </w:rPr>
              <w:t>Teams retain findings, recommendations, and audit history for process improvement and recurrence prevention.</w:t>
            </w:r>
          </w:p>
        </w:tc>
      </w:tr>
    </w:tbl>
    <w:p>
      <w:pPr>
        <w:pStyle w:val="Heading2"/>
      </w:pPr>
      <w:r>
        <w:t>Investigation Governance</w:t>
      </w:r>
    </w:p>
    <w:p>
      <w:pPr>
        <w:pStyle w:val="ListBullet"/>
      </w:pPr>
      <w:r>
        <w:t>Junior Analysts triage incoming alerts and document false-positive or review decisions.</w:t>
      </w:r>
    </w:p>
    <w:p>
      <w:pPr>
        <w:pStyle w:val="ListBullet"/>
      </w:pPr>
      <w:r>
        <w:t>Lead Analysts review promoted alerts, create cases, assign one or more Analysts, and govern closure decisions.</w:t>
      </w:r>
    </w:p>
    <w:p>
      <w:pPr>
        <w:pStyle w:val="ListBullet"/>
      </w:pPr>
      <w:r>
        <w:t>Analysts investigate only cases they are assigned to, complete tasks, add notes, upload evidence, review IOCs, and request closure review.</w:t>
      </w:r>
    </w:p>
    <w:p>
      <w:pPr>
        <w:pStyle w:val="ListBullet"/>
      </w:pPr>
      <w:r>
        <w:t>Containment actions require approval before execution unless explicitly configured as low-risk manual documentation.</w:t>
      </w:r>
    </w:p>
    <w:p>
      <w:pPr>
        <w:pStyle w:val="ListBullet"/>
      </w:pPr>
      <w:r>
        <w:t>Closure requires Lead approval and should be supported by evidence, notes, root cause, resolution summary, task completion, and final disposition.</w:t>
      </w:r>
    </w:p>
    <w:p>
      <w:pPr>
        <w:pStyle w:val="ListBullet"/>
      </w:pPr>
      <w:r>
        <w:t>Reports are generated only after approved closure so management and auditors receive final, reviewed records.</w:t>
      </w:r>
    </w:p>
    <w:p>
      <w:pPr>
        <w:pStyle w:val="ListBullet"/>
      </w:pPr>
      <w:r>
        <w:t>Audit logs and case timelines preserve accountability for configuration changes, workflow actions, approvals, evidence, containment, and reporting.</w:t>
      </w:r>
    </w:p>
    <w:p>
      <w:pPr>
        <w:pStyle w:val="Heading2"/>
      </w:pPr>
      <w:r>
        <w:t>Response Quality Controls</w:t>
      </w:r>
    </w:p>
    <w:p>
      <w:pPr>
        <w:pStyle w:val="ListBullet"/>
      </w:pPr>
      <w:r>
        <w:t>Evidence should be attached or the reason for missing evidence should be documented before closure.</w:t>
      </w:r>
    </w:p>
    <w:p>
      <w:pPr>
        <w:pStyle w:val="ListBullet"/>
      </w:pPr>
      <w:r>
        <w:t>Root cause must be documented for confirmed incidents, vulnerabilities, and security operations tasks that require remediation.</w:t>
      </w:r>
    </w:p>
    <w:p>
      <w:pPr>
        <w:pStyle w:val="ListBullet"/>
      </w:pPr>
      <w:r>
        <w:t>Resolution summary must describe the actual remediation, validation, or final disposition.</w:t>
      </w:r>
    </w:p>
    <w:p>
      <w:pPr>
        <w:pStyle w:val="ListBullet"/>
      </w:pPr>
      <w:r>
        <w:t>Containment records must include reason, target, risk, approval status, execution result, rollback status, and analyst notes where applicable.</w:t>
      </w:r>
    </w:p>
    <w:p>
      <w:pPr>
        <w:pStyle w:val="ListBullet"/>
      </w:pPr>
      <w:r>
        <w:t>Reports must hide empty optional fields and avoid database-dump formatting.</w:t>
      </w:r>
    </w:p>
    <w:p>
      <w:pPr>
        <w:pStyle w:val="ListBullet"/>
      </w:pPr>
      <w:r>
        <w:t>Playbooks must match the case type, alert source, MITRE context, or detection logic rather than inserting unrelated tasks.</w:t>
      </w:r>
    </w:p>
    <w:p>
      <w:pPr>
        <w:pStyle w:val="ListBullet"/>
      </w:pPr>
      <w:r>
        <w:t>AI-generated reports must never invent facts, indicators, vulnerabilities, evidence, or remediation actions.</w:t>
      </w:r>
    </w:p>
    <w:p>
      <w:pPr>
        <w:pStyle w:val="Heading2"/>
      </w:pPr>
      <w:r>
        <w:t>Case Closure Readiness Checklist</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00"/>
        <w:gridCol w:w="6560"/>
      </w:tblGrid>
      <w:tr>
        <w:tc>
          <w:tcPr>
            <w:tcW w:type="dxa" w:w="2800"/>
            <w:shd w:fill="E8EEF5"/>
            <w:tcMar>
              <w:top w:w="80" w:type="dxa"/>
              <w:start w:w="120" w:type="dxa"/>
              <w:bottom w:w="80" w:type="dxa"/>
              <w:end w:w="120" w:type="dxa"/>
            </w:tcMar>
            <w:vAlign w:val="top"/>
          </w:tcPr>
          <w:p>
            <w:pPr>
              <w:spacing w:after="40" w:line="276" w:lineRule="auto"/>
            </w:pPr>
            <w:r>
              <w:rPr>
                <w:rFonts w:ascii="Calibri" w:hAnsi="Calibri"/>
                <w:b/>
                <w:color w:val="102027"/>
                <w:sz w:val="18"/>
              </w:rPr>
              <w:t>Check</w:t>
            </w:r>
          </w:p>
        </w:tc>
        <w:tc>
          <w:tcPr>
            <w:tcW w:type="dxa" w:w="6560"/>
            <w:shd w:fill="E8EEF5"/>
            <w:tcMar>
              <w:top w:w="80" w:type="dxa"/>
              <w:start w:w="120" w:type="dxa"/>
              <w:bottom w:w="80" w:type="dxa"/>
              <w:end w:w="120" w:type="dxa"/>
            </w:tcMar>
            <w:vAlign w:val="top"/>
          </w:tcPr>
          <w:p>
            <w:pPr>
              <w:spacing w:after="40" w:line="276" w:lineRule="auto"/>
            </w:pPr>
            <w:r>
              <w:rPr>
                <w:rFonts w:ascii="Calibri" w:hAnsi="Calibri"/>
                <w:b/>
                <w:color w:val="102027"/>
                <w:sz w:val="18"/>
              </w:rPr>
              <w:t>Closure Expectation</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Alert validated</w:t>
            </w:r>
          </w:p>
        </w:tc>
        <w:tc>
          <w:tcPr>
            <w:tcW w:type="dxa" w:w="6560"/>
            <w:tcMar>
              <w:top w:w="80" w:type="dxa"/>
              <w:start w:w="120" w:type="dxa"/>
              <w:bottom w:w="80" w:type="dxa"/>
              <w:end w:w="120" w:type="dxa"/>
            </w:tcMar>
            <w:vAlign w:val="top"/>
          </w:tcPr>
          <w:p>
            <w:pPr>
              <w:spacing w:after="40" w:line="276" w:lineRule="auto"/>
            </w:pPr>
            <w:r>
              <w:rPr>
                <w:rFonts w:ascii="Calibri" w:hAnsi="Calibri"/>
                <w:sz w:val="18"/>
              </w:rPr>
              <w:t>The alert or manual case reason has been reviewed and confirmed.</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Asset linked or documented as unknown</w:t>
            </w:r>
          </w:p>
        </w:tc>
        <w:tc>
          <w:tcPr>
            <w:tcW w:type="dxa" w:w="6560"/>
            <w:tcMar>
              <w:top w:w="80" w:type="dxa"/>
              <w:start w:w="120" w:type="dxa"/>
              <w:bottom w:w="80" w:type="dxa"/>
              <w:end w:w="120" w:type="dxa"/>
            </w:tcMar>
            <w:vAlign w:val="top"/>
          </w:tcPr>
          <w:p>
            <w:pPr>
              <w:spacing w:after="40" w:line="276" w:lineRule="auto"/>
            </w:pPr>
            <w:r>
              <w:rPr>
                <w:rFonts w:ascii="Calibri" w:hAnsi="Calibri"/>
                <w:sz w:val="18"/>
              </w:rPr>
              <w:t>Known affected assets are linked; unavailable asset context is explained.</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IOC reviewed</w:t>
            </w:r>
          </w:p>
        </w:tc>
        <w:tc>
          <w:tcPr>
            <w:tcW w:type="dxa" w:w="6560"/>
            <w:tcMar>
              <w:top w:w="80" w:type="dxa"/>
              <w:start w:w="120" w:type="dxa"/>
              <w:bottom w:w="80" w:type="dxa"/>
              <w:end w:w="120" w:type="dxa"/>
            </w:tcMar>
            <w:vAlign w:val="top"/>
          </w:tcPr>
          <w:p>
            <w:pPr>
              <w:spacing w:after="40" w:line="276" w:lineRule="auto"/>
            </w:pPr>
            <w:r>
              <w:rPr>
                <w:rFonts w:ascii="Calibri" w:hAnsi="Calibri"/>
                <w:sz w:val="18"/>
              </w:rPr>
              <w:t>Indicators have been reviewed, classified, and correlated where relevant.</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Evidence uploaded</w:t>
            </w:r>
          </w:p>
        </w:tc>
        <w:tc>
          <w:tcPr>
            <w:tcW w:type="dxa" w:w="6560"/>
            <w:tcMar>
              <w:top w:w="80" w:type="dxa"/>
              <w:start w:w="120" w:type="dxa"/>
              <w:bottom w:w="80" w:type="dxa"/>
              <w:end w:w="120" w:type="dxa"/>
            </w:tcMar>
            <w:vAlign w:val="top"/>
          </w:tcPr>
          <w:p>
            <w:pPr>
              <w:spacing w:after="40" w:line="276" w:lineRule="auto"/>
            </w:pPr>
            <w:r>
              <w:rPr>
                <w:rFonts w:ascii="Calibri" w:hAnsi="Calibri"/>
                <w:sz w:val="18"/>
              </w:rPr>
              <w:t>Supporting artifacts are uploaded or absence of evidence is documented.</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Analyst notes added</w:t>
            </w:r>
          </w:p>
        </w:tc>
        <w:tc>
          <w:tcPr>
            <w:tcW w:type="dxa" w:w="6560"/>
            <w:tcMar>
              <w:top w:w="80" w:type="dxa"/>
              <w:start w:w="120" w:type="dxa"/>
              <w:bottom w:w="80" w:type="dxa"/>
              <w:end w:w="120" w:type="dxa"/>
            </w:tcMar>
            <w:vAlign w:val="top"/>
          </w:tcPr>
          <w:p>
            <w:pPr>
              <w:spacing w:after="40" w:line="276" w:lineRule="auto"/>
            </w:pPr>
            <w:r>
              <w:rPr>
                <w:rFonts w:ascii="Calibri" w:hAnsi="Calibri"/>
                <w:sz w:val="18"/>
              </w:rPr>
              <w:t>Investigation findings and decisions are recorded in the journal.</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Root cause documented</w:t>
            </w:r>
          </w:p>
        </w:tc>
        <w:tc>
          <w:tcPr>
            <w:tcW w:type="dxa" w:w="6560"/>
            <w:tcMar>
              <w:top w:w="80" w:type="dxa"/>
              <w:start w:w="120" w:type="dxa"/>
              <w:bottom w:w="80" w:type="dxa"/>
              <w:end w:w="120" w:type="dxa"/>
            </w:tcMar>
            <w:vAlign w:val="top"/>
          </w:tcPr>
          <w:p>
            <w:pPr>
              <w:spacing w:after="40" w:line="276" w:lineRule="auto"/>
            </w:pPr>
            <w:r>
              <w:rPr>
                <w:rFonts w:ascii="Calibri" w:hAnsi="Calibri"/>
                <w:sz w:val="18"/>
              </w:rPr>
              <w:t>The underlying cause or best-supported cause assessment is recorded.</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Resolution summary documented</w:t>
            </w:r>
          </w:p>
        </w:tc>
        <w:tc>
          <w:tcPr>
            <w:tcW w:type="dxa" w:w="6560"/>
            <w:tcMar>
              <w:top w:w="80" w:type="dxa"/>
              <w:start w:w="120" w:type="dxa"/>
              <w:bottom w:w="80" w:type="dxa"/>
              <w:end w:w="120" w:type="dxa"/>
            </w:tcMar>
            <w:vAlign w:val="top"/>
          </w:tcPr>
          <w:p>
            <w:pPr>
              <w:spacing w:after="40" w:line="276" w:lineRule="auto"/>
            </w:pPr>
            <w:r>
              <w:rPr>
                <w:rFonts w:ascii="Calibri" w:hAnsi="Calibri"/>
                <w:sz w:val="18"/>
              </w:rPr>
              <w:t>Remediation, validation, false-positive rationale, or final action is summarized.</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Containment actions reviewed</w:t>
            </w:r>
          </w:p>
        </w:tc>
        <w:tc>
          <w:tcPr>
            <w:tcW w:type="dxa" w:w="6560"/>
            <w:tcMar>
              <w:top w:w="80" w:type="dxa"/>
              <w:start w:w="120" w:type="dxa"/>
              <w:bottom w:w="80" w:type="dxa"/>
              <w:end w:w="120" w:type="dxa"/>
            </w:tcMar>
            <w:vAlign w:val="top"/>
          </w:tcPr>
          <w:p>
            <w:pPr>
              <w:spacing w:after="40" w:line="276" w:lineRule="auto"/>
            </w:pPr>
            <w:r>
              <w:rPr>
                <w:rFonts w:ascii="Calibri" w:hAnsi="Calibri"/>
                <w:sz w:val="18"/>
              </w:rPr>
              <w:t>Any requested response action includes approval, execution, and rollback status.</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Playbook tasks completed or marked not applicable</w:t>
            </w:r>
          </w:p>
        </w:tc>
        <w:tc>
          <w:tcPr>
            <w:tcW w:type="dxa" w:w="6560"/>
            <w:tcMar>
              <w:top w:w="80" w:type="dxa"/>
              <w:start w:w="120" w:type="dxa"/>
              <w:bottom w:w="80" w:type="dxa"/>
              <w:end w:w="120" w:type="dxa"/>
            </w:tcMar>
            <w:vAlign w:val="top"/>
          </w:tcPr>
          <w:p>
            <w:pPr>
              <w:spacing w:after="40" w:line="276" w:lineRule="auto"/>
            </w:pPr>
            <w:r>
              <w:rPr>
                <w:rFonts w:ascii="Calibri" w:hAnsi="Calibri"/>
                <w:sz w:val="18"/>
              </w:rPr>
              <w:t>Assigned checklist work is complete or justified.</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Lead closure approval completed</w:t>
            </w:r>
          </w:p>
        </w:tc>
        <w:tc>
          <w:tcPr>
            <w:tcW w:type="dxa" w:w="6560"/>
            <w:tcMar>
              <w:top w:w="80" w:type="dxa"/>
              <w:start w:w="120" w:type="dxa"/>
              <w:bottom w:w="80" w:type="dxa"/>
              <w:end w:w="120" w:type="dxa"/>
            </w:tcMar>
            <w:vAlign w:val="top"/>
          </w:tcPr>
          <w:p>
            <w:pPr>
              <w:spacing w:after="40" w:line="276" w:lineRule="auto"/>
            </w:pPr>
            <w:r>
              <w:rPr>
                <w:rFonts w:ascii="Calibri" w:hAnsi="Calibri"/>
                <w:sz w:val="18"/>
              </w:rPr>
              <w:t>Lead decision is recorded before final closure.</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Final report generated</w:t>
            </w:r>
          </w:p>
        </w:tc>
        <w:tc>
          <w:tcPr>
            <w:tcW w:type="dxa" w:w="6560"/>
            <w:tcMar>
              <w:top w:w="80" w:type="dxa"/>
              <w:start w:w="120" w:type="dxa"/>
              <w:bottom w:w="80" w:type="dxa"/>
              <w:end w:w="120" w:type="dxa"/>
            </w:tcMar>
            <w:vAlign w:val="top"/>
          </w:tcPr>
          <w:p>
            <w:pPr>
              <w:spacing w:after="40" w:line="276" w:lineRule="auto"/>
            </w:pPr>
            <w:r>
              <w:rPr>
                <w:rFonts w:ascii="Calibri" w:hAnsi="Calibri"/>
                <w:sz w:val="18"/>
              </w:rPr>
              <w:t>Approved closed cases can generate DOCX/PDF reports for management and audit records.</w:t>
            </w:r>
          </w:p>
        </w:tc>
      </w:tr>
    </w:tbl>
    <w:p>
      <w:pPr>
        <w:pStyle w:val="Heading2"/>
      </w:pPr>
      <w:r>
        <w:t>What AstoraSOC Is Not</w:t>
      </w:r>
    </w:p>
    <w:p>
      <w:pPr>
        <w:pStyle w:val="ListBullet"/>
      </w:pPr>
      <w:r>
        <w:t>Not a SIEM replacement. Detection and log correlation remain in SIEM platforms such as Wazuh, Splunk, Sentinel, Elastic, QRadar, or Chronicle.</w:t>
      </w:r>
    </w:p>
    <w:p>
      <w:pPr>
        <w:pStyle w:val="ListBullet"/>
      </w:pPr>
      <w:r>
        <w:t>Not a full CMDB. Asset Management focuses on security context, business impact, and investigation correlation rather than full IT asset lifecycle governance.</w:t>
      </w:r>
    </w:p>
    <w:p>
      <w:pPr>
        <w:pStyle w:val="ListBullet"/>
      </w:pPr>
      <w:r>
        <w:t>Not an uncontrolled response executor. Containment is case-driven, approval-aware, audited, and designed for safe provider integrations.</w:t>
      </w:r>
    </w:p>
    <w:p>
      <w:pPr>
        <w:pStyle w:val="ListBullet"/>
      </w:pPr>
      <w:r>
        <w:t>Not a legal evidence vault. Evidence storage supports SOC investigations, hashing, and reports, but formal legal chain-of-custody policy must be defined separately.</w:t>
      </w:r>
    </w:p>
    <w:p>
      <w:pPr>
        <w:pStyle w:val="Heading1"/>
      </w:pPr>
      <w:r>
        <w:t>3. System Architecture</w:t>
      </w:r>
    </w:p>
    <w:p>
      <w:r>
        <w:t>AstoraSOC uses a Flask web application with SQLAlchemy persistence, Jinja templates, WTForms, Flask-Login, CSRF protection, Flask-Limiter, Bootstrap-style UI components, Lucide icons, and custom JavaScript/CSS for the SOC interface. It is deployable through Docker Compose with a web service and relational database.</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00"/>
        <w:gridCol w:w="3100"/>
        <w:gridCol w:w="4660"/>
      </w:tblGrid>
      <w:tr>
        <w:tc>
          <w:tcPr>
            <w:tcW w:type="dxa" w:w="1600"/>
            <w:shd w:fill="E8EEF5"/>
            <w:tcMar>
              <w:top w:w="80" w:type="dxa"/>
              <w:start w:w="120" w:type="dxa"/>
              <w:bottom w:w="80" w:type="dxa"/>
              <w:end w:w="120" w:type="dxa"/>
            </w:tcMar>
            <w:vAlign w:val="top"/>
          </w:tcPr>
          <w:p>
            <w:pPr>
              <w:spacing w:after="40" w:line="276" w:lineRule="auto"/>
            </w:pPr>
            <w:r>
              <w:rPr>
                <w:rFonts w:ascii="Calibri" w:hAnsi="Calibri"/>
                <w:b/>
                <w:color w:val="102027"/>
                <w:sz w:val="18"/>
              </w:rPr>
              <w:t>Layer</w:t>
            </w:r>
          </w:p>
        </w:tc>
        <w:tc>
          <w:tcPr>
            <w:tcW w:type="dxa" w:w="3100"/>
            <w:shd w:fill="E8EEF5"/>
            <w:tcMar>
              <w:top w:w="80" w:type="dxa"/>
              <w:start w:w="120" w:type="dxa"/>
              <w:bottom w:w="80" w:type="dxa"/>
              <w:end w:w="120" w:type="dxa"/>
            </w:tcMar>
            <w:vAlign w:val="top"/>
          </w:tcPr>
          <w:p>
            <w:pPr>
              <w:spacing w:after="40" w:line="276" w:lineRule="auto"/>
            </w:pPr>
            <w:r>
              <w:rPr>
                <w:rFonts w:ascii="Calibri" w:hAnsi="Calibri"/>
                <w:b/>
                <w:color w:val="102027"/>
                <w:sz w:val="18"/>
              </w:rPr>
              <w:t>Primary Components</w:t>
            </w:r>
          </w:p>
        </w:tc>
        <w:tc>
          <w:tcPr>
            <w:tcW w:type="dxa" w:w="4660"/>
            <w:shd w:fill="E8EEF5"/>
            <w:tcMar>
              <w:top w:w="80" w:type="dxa"/>
              <w:start w:w="120" w:type="dxa"/>
              <w:bottom w:w="80" w:type="dxa"/>
              <w:end w:w="120" w:type="dxa"/>
            </w:tcMar>
            <w:vAlign w:val="top"/>
          </w:tcPr>
          <w:p>
            <w:pPr>
              <w:spacing w:after="40" w:line="276" w:lineRule="auto"/>
            </w:pPr>
            <w:r>
              <w:rPr>
                <w:rFonts w:ascii="Calibri" w:hAnsi="Calibri"/>
                <w:b/>
                <w:color w:val="102027"/>
                <w:sz w:val="18"/>
              </w:rPr>
              <w:t>Responsibility</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Frontend</w:t>
            </w:r>
          </w:p>
        </w:tc>
        <w:tc>
          <w:tcPr>
            <w:tcW w:type="dxa" w:w="3100"/>
            <w:tcMar>
              <w:top w:w="80" w:type="dxa"/>
              <w:start w:w="120" w:type="dxa"/>
              <w:bottom w:w="80" w:type="dxa"/>
              <w:end w:w="120" w:type="dxa"/>
            </w:tcMar>
            <w:vAlign w:val="top"/>
          </w:tcPr>
          <w:p>
            <w:pPr>
              <w:spacing w:after="40" w:line="276" w:lineRule="auto"/>
            </w:pPr>
            <w:r>
              <w:rPr>
                <w:rFonts w:ascii="Calibri" w:hAnsi="Calibri"/>
                <w:sz w:val="18"/>
              </w:rPr>
              <w:t>Jinja templates, static CSS, main.js, Lucide icons</w:t>
            </w:r>
          </w:p>
        </w:tc>
        <w:tc>
          <w:tcPr>
            <w:tcW w:type="dxa" w:w="4660"/>
            <w:tcMar>
              <w:top w:w="80" w:type="dxa"/>
              <w:start w:w="120" w:type="dxa"/>
              <w:bottom w:w="80" w:type="dxa"/>
              <w:end w:w="120" w:type="dxa"/>
            </w:tcMar>
            <w:vAlign w:val="top"/>
          </w:tcPr>
          <w:p>
            <w:pPr>
              <w:spacing w:after="40" w:line="276" w:lineRule="auto"/>
            </w:pPr>
            <w:r>
              <w:rPr>
                <w:rFonts w:ascii="Calibri" w:hAnsi="Calibri"/>
                <w:sz w:val="18"/>
              </w:rPr>
              <w:t>SOC screens, filters, role-aware controls, theme behavior, sidebar behavior, notification bell, date filters, modals, and interactive queue cards.</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Application</w:t>
            </w:r>
          </w:p>
        </w:tc>
        <w:tc>
          <w:tcPr>
            <w:tcW w:type="dxa" w:w="3100"/>
            <w:tcMar>
              <w:top w:w="80" w:type="dxa"/>
              <w:start w:w="120" w:type="dxa"/>
              <w:bottom w:w="80" w:type="dxa"/>
              <w:end w:w="120" w:type="dxa"/>
            </w:tcMar>
            <w:vAlign w:val="top"/>
          </w:tcPr>
          <w:p>
            <w:pPr>
              <w:spacing w:after="40" w:line="276" w:lineRule="auto"/>
            </w:pPr>
            <w:r>
              <w:rPr>
                <w:rFonts w:ascii="Calibri" w:hAnsi="Calibri"/>
                <w:sz w:val="18"/>
              </w:rPr>
              <w:t>Flask routes under app/routes</w:t>
            </w:r>
          </w:p>
        </w:tc>
        <w:tc>
          <w:tcPr>
            <w:tcW w:type="dxa" w:w="4660"/>
            <w:tcMar>
              <w:top w:w="80" w:type="dxa"/>
              <w:start w:w="120" w:type="dxa"/>
              <w:bottom w:w="80" w:type="dxa"/>
              <w:end w:w="120" w:type="dxa"/>
            </w:tcMar>
            <w:vAlign w:val="top"/>
          </w:tcPr>
          <w:p>
            <w:pPr>
              <w:spacing w:after="40" w:line="276" w:lineRule="auto"/>
            </w:pPr>
            <w:r>
              <w:rPr>
                <w:rFonts w:ascii="Calibri" w:hAnsi="Calibri"/>
                <w:sz w:val="18"/>
              </w:rPr>
              <w:t>Authentication, dashboard, alerts, cases, assets, playbooks, settings, reports, chats, live state, and webhook endpoints.</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Domain Services</w:t>
            </w:r>
          </w:p>
        </w:tc>
        <w:tc>
          <w:tcPr>
            <w:tcW w:type="dxa" w:w="3100"/>
            <w:tcMar>
              <w:top w:w="80" w:type="dxa"/>
              <w:start w:w="120" w:type="dxa"/>
              <w:bottom w:w="80" w:type="dxa"/>
              <w:end w:w="120" w:type="dxa"/>
            </w:tcMar>
            <w:vAlign w:val="top"/>
          </w:tcPr>
          <w:p>
            <w:pPr>
              <w:spacing w:after="40" w:line="276" w:lineRule="auto"/>
            </w:pPr>
            <w:r>
              <w:rPr>
                <w:rFonts w:ascii="Calibri" w:hAnsi="Calibri"/>
                <w:sz w:val="18"/>
              </w:rPr>
              <w:t>utils.py, playbooks.py, email_notifications.py, ioc_intel.py, docx_reports.py</w:t>
            </w:r>
          </w:p>
        </w:tc>
        <w:tc>
          <w:tcPr>
            <w:tcW w:type="dxa" w:w="4660"/>
            <w:tcMar>
              <w:top w:w="80" w:type="dxa"/>
              <w:start w:w="120" w:type="dxa"/>
              <w:bottom w:w="80" w:type="dxa"/>
              <w:end w:w="120" w:type="dxa"/>
            </w:tcMar>
            <w:vAlign w:val="top"/>
          </w:tcPr>
          <w:p>
            <w:pPr>
              <w:spacing w:after="40" w:line="276" w:lineRule="auto"/>
            </w:pPr>
            <w:r>
              <w:rPr>
                <w:rFonts w:ascii="Calibri" w:hAnsi="Calibri"/>
                <w:sz w:val="18"/>
              </w:rPr>
              <w:t>Task generation, notifications, encryption helpers, IOC extraction/labels, report generation, upload validation, audit logging, timeline entries.</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Persistence</w:t>
            </w:r>
          </w:p>
        </w:tc>
        <w:tc>
          <w:tcPr>
            <w:tcW w:type="dxa" w:w="3100"/>
            <w:tcMar>
              <w:top w:w="80" w:type="dxa"/>
              <w:start w:w="120" w:type="dxa"/>
              <w:bottom w:w="80" w:type="dxa"/>
              <w:end w:w="120" w:type="dxa"/>
            </w:tcMar>
            <w:vAlign w:val="top"/>
          </w:tcPr>
          <w:p>
            <w:pPr>
              <w:spacing w:after="40" w:line="276" w:lineRule="auto"/>
            </w:pPr>
            <w:r>
              <w:rPr>
                <w:rFonts w:ascii="Calibri" w:hAnsi="Calibri"/>
                <w:sz w:val="18"/>
              </w:rPr>
              <w:t>SQLAlchemy models and migrations</w:t>
            </w:r>
          </w:p>
        </w:tc>
        <w:tc>
          <w:tcPr>
            <w:tcW w:type="dxa" w:w="4660"/>
            <w:tcMar>
              <w:top w:w="80" w:type="dxa"/>
              <w:start w:w="120" w:type="dxa"/>
              <w:bottom w:w="80" w:type="dxa"/>
              <w:end w:w="120" w:type="dxa"/>
            </w:tcMar>
            <w:vAlign w:val="top"/>
          </w:tcPr>
          <w:p>
            <w:pPr>
              <w:spacing w:after="40" w:line="276" w:lineRule="auto"/>
            </w:pPr>
            <w:r>
              <w:rPr>
                <w:rFonts w:ascii="Calibri" w:hAnsi="Calibri"/>
                <w:sz w:val="18"/>
              </w:rPr>
              <w:t>Users, assets, alerts, cases, IOCs, evidence, tasks, playbooks, containment actions, reports, audit logs, settings, notifications, chats.</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Integration Edge</w:t>
            </w:r>
          </w:p>
        </w:tc>
        <w:tc>
          <w:tcPr>
            <w:tcW w:type="dxa" w:w="3100"/>
            <w:tcMar>
              <w:top w:w="80" w:type="dxa"/>
              <w:start w:w="120" w:type="dxa"/>
              <w:bottom w:w="80" w:type="dxa"/>
              <w:end w:w="120" w:type="dxa"/>
            </w:tcMar>
            <w:vAlign w:val="top"/>
          </w:tcPr>
          <w:p>
            <w:pPr>
              <w:spacing w:after="40" w:line="276" w:lineRule="auto"/>
            </w:pPr>
            <w:r>
              <w:rPr>
                <w:rFonts w:ascii="Calibri" w:hAnsi="Calibri"/>
                <w:sz w:val="18"/>
              </w:rPr>
              <w:t>/api/webhook/alert, SIEM/SOAR webhooks, and optional source-specific bridge scripts</w:t>
            </w:r>
          </w:p>
        </w:tc>
        <w:tc>
          <w:tcPr>
            <w:tcW w:type="dxa" w:w="4660"/>
            <w:tcMar>
              <w:top w:w="80" w:type="dxa"/>
              <w:start w:w="120" w:type="dxa"/>
              <w:bottom w:w="80" w:type="dxa"/>
              <w:end w:w="120" w:type="dxa"/>
            </w:tcMar>
            <w:vAlign w:val="top"/>
          </w:tcPr>
          <w:p>
            <w:pPr>
              <w:spacing w:after="40" w:line="276" w:lineRule="auto"/>
            </w:pPr>
            <w:r>
              <w:rPr>
                <w:rFonts w:ascii="Calibri" w:hAnsi="Calibri"/>
                <w:sz w:val="18"/>
              </w:rPr>
              <w:t>Receives security alerts using X-API-Key and normalizes them into AstoraSOC alert records.</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Runtime</w:t>
            </w:r>
          </w:p>
        </w:tc>
        <w:tc>
          <w:tcPr>
            <w:tcW w:type="dxa" w:w="3100"/>
            <w:tcMar>
              <w:top w:w="80" w:type="dxa"/>
              <w:start w:w="120" w:type="dxa"/>
              <w:bottom w:w="80" w:type="dxa"/>
              <w:end w:w="120" w:type="dxa"/>
            </w:tcMar>
            <w:vAlign w:val="top"/>
          </w:tcPr>
          <w:p>
            <w:pPr>
              <w:spacing w:after="40" w:line="276" w:lineRule="auto"/>
            </w:pPr>
            <w:r>
              <w:rPr>
                <w:rFonts w:ascii="Calibri" w:hAnsi="Calibri"/>
                <w:sz w:val="18"/>
              </w:rPr>
              <w:t>Docker Compose, Flask app container, database container</w:t>
            </w:r>
          </w:p>
        </w:tc>
        <w:tc>
          <w:tcPr>
            <w:tcW w:type="dxa" w:w="4660"/>
            <w:tcMar>
              <w:top w:w="80" w:type="dxa"/>
              <w:start w:w="120" w:type="dxa"/>
              <w:bottom w:w="80" w:type="dxa"/>
              <w:end w:w="120" w:type="dxa"/>
            </w:tcMar>
            <w:vAlign w:val="top"/>
          </w:tcPr>
          <w:p>
            <w:pPr>
              <w:spacing w:after="40" w:line="276" w:lineRule="auto"/>
            </w:pPr>
            <w:r>
              <w:rPr>
                <w:rFonts w:ascii="Calibri" w:hAnsi="Calibri"/>
                <w:sz w:val="18"/>
              </w:rPr>
              <w:t>Local or server deployment with configurable environment variables and mounted upload storage.</w:t>
            </w:r>
          </w:p>
        </w:tc>
      </w:tr>
    </w:tbl>
    <w:p>
      <w:pPr>
        <w:pStyle w:val="Heading2"/>
      </w:pPr>
      <w:r>
        <w:t>High-Level Data Flow</w:t>
      </w:r>
    </w:p>
    <w:p>
      <w:pPr>
        <w:pStyle w:val="ListNumber"/>
      </w:pPr>
      <w:r>
        <w:t>A SIEM, SOAR, EDR, monitoring platform, or bridge script sends an alert to POST /api/webhook/alert using the X-API-Key header.</w:t>
      </w:r>
    </w:p>
    <w:p>
      <w:pPr>
        <w:pStyle w:val="ListNumber"/>
      </w:pPr>
      <w:r>
        <w:t>AstoraSOC validates the API key, parses fields, assigns a tracking ID, extracts IOCs, links known assets where possible, stores raw JSON, and notifies the alert queue.</w:t>
      </w:r>
    </w:p>
    <w:p>
      <w:pPr>
        <w:pStyle w:val="ListNumber"/>
      </w:pPr>
      <w:r>
        <w:t>A Junior Analyst or authorized triage user reviews the alert and either marks it false positive or sends it to Lead review.</w:t>
      </w:r>
    </w:p>
    <w:p>
      <w:pPr>
        <w:pStyle w:val="ListNumber"/>
      </w:pPr>
      <w:r>
        <w:t>A Lead reviews the alert and promotes it to a case or requests more work.</w:t>
      </w:r>
    </w:p>
    <w:p>
      <w:pPr>
        <w:pStyle w:val="ListNumber"/>
      </w:pPr>
      <w:r>
        <w:t>When a case is created, AstoraSOC applies the best matching playbook template and generates investigation tasks.</w:t>
      </w:r>
    </w:p>
    <w:p>
      <w:pPr>
        <w:pStyle w:val="ListNumber"/>
      </w:pPr>
      <w:r>
        <w:t>Analysts investigate assigned cases, add notes, upload evidence, manage IOCs, request containment, and submit closure review.</w:t>
      </w:r>
    </w:p>
    <w:p>
      <w:pPr>
        <w:pStyle w:val="ListNumber"/>
      </w:pPr>
      <w:r>
        <w:t>Leads approve closure or request more work. Containment actions follow request, approval, execution, rollback, timeline, and audit workflows.</w:t>
      </w:r>
    </w:p>
    <w:p>
      <w:pPr>
        <w:pStyle w:val="ListNumber"/>
      </w:pPr>
      <w:r>
        <w:t>Reports are generated from case data, including alert metadata, IOCs, evidence, timeline, tasks, containment actions, and closure details.</w:t>
      </w:r>
    </w:p>
    <w:p>
      <w:pPr>
        <w:pStyle w:val="Heading2"/>
      </w:pPr>
      <w:r>
        <w:t>Core Data Model</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100"/>
        <w:gridCol w:w="4560"/>
      </w:tblGrid>
      <w:tr>
        <w:tc>
          <w:tcPr>
            <w:tcW w:type="dxa" w:w="1700"/>
            <w:shd w:fill="E8EEF5"/>
            <w:tcMar>
              <w:top w:w="80" w:type="dxa"/>
              <w:start w:w="120" w:type="dxa"/>
              <w:bottom w:w="80" w:type="dxa"/>
              <w:end w:w="120" w:type="dxa"/>
            </w:tcMar>
            <w:vAlign w:val="top"/>
          </w:tcPr>
          <w:p>
            <w:pPr>
              <w:spacing w:after="40" w:line="276" w:lineRule="auto"/>
            </w:pPr>
            <w:r>
              <w:rPr>
                <w:rFonts w:ascii="Calibri" w:hAnsi="Calibri"/>
                <w:b/>
                <w:color w:val="102027"/>
                <w:sz w:val="18"/>
              </w:rPr>
              <w:t>Model</w:t>
            </w:r>
          </w:p>
        </w:tc>
        <w:tc>
          <w:tcPr>
            <w:tcW w:type="dxa" w:w="3100"/>
            <w:shd w:fill="E8EEF5"/>
            <w:tcMar>
              <w:top w:w="80" w:type="dxa"/>
              <w:start w:w="120" w:type="dxa"/>
              <w:bottom w:w="80" w:type="dxa"/>
              <w:end w:w="120" w:type="dxa"/>
            </w:tcMar>
            <w:vAlign w:val="top"/>
          </w:tcPr>
          <w:p>
            <w:pPr>
              <w:spacing w:after="40" w:line="276" w:lineRule="auto"/>
            </w:pPr>
            <w:r>
              <w:rPr>
                <w:rFonts w:ascii="Calibri" w:hAnsi="Calibri"/>
                <w:b/>
                <w:color w:val="102027"/>
                <w:sz w:val="18"/>
              </w:rPr>
              <w:t>Purpose</w:t>
            </w:r>
          </w:p>
        </w:tc>
        <w:tc>
          <w:tcPr>
            <w:tcW w:type="dxa" w:w="4560"/>
            <w:shd w:fill="E8EEF5"/>
            <w:tcMar>
              <w:top w:w="80" w:type="dxa"/>
              <w:start w:w="120" w:type="dxa"/>
              <w:bottom w:w="80" w:type="dxa"/>
              <w:end w:w="120" w:type="dxa"/>
            </w:tcMar>
            <w:vAlign w:val="top"/>
          </w:tcPr>
          <w:p>
            <w:pPr>
              <w:spacing w:after="40" w:line="276" w:lineRule="auto"/>
            </w:pPr>
            <w:r>
              <w:rPr>
                <w:rFonts w:ascii="Calibri" w:hAnsi="Calibri"/>
                <w:b/>
                <w:color w:val="102027"/>
                <w:sz w:val="18"/>
              </w:rPr>
              <w:t>Important Fields</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User</w:t>
            </w:r>
          </w:p>
        </w:tc>
        <w:tc>
          <w:tcPr>
            <w:tcW w:type="dxa" w:w="3100"/>
            <w:tcMar>
              <w:top w:w="80" w:type="dxa"/>
              <w:start w:w="120" w:type="dxa"/>
              <w:bottom w:w="80" w:type="dxa"/>
              <w:end w:w="120" w:type="dxa"/>
            </w:tcMar>
            <w:vAlign w:val="top"/>
          </w:tcPr>
          <w:p>
            <w:pPr>
              <w:spacing w:after="40" w:line="276" w:lineRule="auto"/>
            </w:pPr>
            <w:r>
              <w:rPr>
                <w:rFonts w:ascii="Calibri" w:hAnsi="Calibri"/>
                <w:sz w:val="18"/>
              </w:rPr>
              <w:t>Authenticated platform identity and role holder.</w:t>
            </w:r>
          </w:p>
        </w:tc>
        <w:tc>
          <w:tcPr>
            <w:tcW w:type="dxa" w:w="4560"/>
            <w:tcMar>
              <w:top w:w="80" w:type="dxa"/>
              <w:start w:w="120" w:type="dxa"/>
              <w:bottom w:w="80" w:type="dxa"/>
              <w:end w:w="120" w:type="dxa"/>
            </w:tcMar>
            <w:vAlign w:val="top"/>
          </w:tcPr>
          <w:p>
            <w:pPr>
              <w:spacing w:after="40" w:line="276" w:lineRule="auto"/>
            </w:pPr>
            <w:r>
              <w:rPr>
                <w:rFonts w:ascii="Calibri" w:hAnsi="Calibri"/>
                <w:sz w:val="18"/>
              </w:rPr>
              <w:t>username, email, pending_email, notification_preference, password_hash, role, active state, profile fields, session state.</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Asset</w:t>
            </w:r>
          </w:p>
        </w:tc>
        <w:tc>
          <w:tcPr>
            <w:tcW w:type="dxa" w:w="3100"/>
            <w:tcMar>
              <w:top w:w="80" w:type="dxa"/>
              <w:start w:w="120" w:type="dxa"/>
              <w:bottom w:w="80" w:type="dxa"/>
              <w:end w:w="120" w:type="dxa"/>
            </w:tcMar>
            <w:vAlign w:val="top"/>
          </w:tcPr>
          <w:p>
            <w:pPr>
              <w:spacing w:after="40" w:line="276" w:lineRule="auto"/>
            </w:pPr>
            <w:r>
              <w:rPr>
                <w:rFonts w:ascii="Calibri" w:hAnsi="Calibri"/>
                <w:sz w:val="18"/>
              </w:rPr>
              <w:t>Security asset intelligence for impact and correlation.</w:t>
            </w:r>
          </w:p>
        </w:tc>
        <w:tc>
          <w:tcPr>
            <w:tcW w:type="dxa" w:w="4560"/>
            <w:tcMar>
              <w:top w:w="80" w:type="dxa"/>
              <w:start w:w="120" w:type="dxa"/>
              <w:bottom w:w="80" w:type="dxa"/>
              <w:end w:w="120" w:type="dxa"/>
            </w:tcMar>
            <w:vAlign w:val="top"/>
          </w:tcPr>
          <w:p>
            <w:pPr>
              <w:spacing w:after="40" w:line="276" w:lineRule="auto"/>
            </w:pPr>
            <w:r>
              <w:rPr>
                <w:rFonts w:ascii="Calibri" w:hAnsi="Calibri"/>
                <w:sz w:val="18"/>
              </w:rPr>
              <w:t>asset name, hostname, IP address, asset owner, department, business function, OS, asset type, criticality, status, risk score, linked alerts/cases.</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Alert</w:t>
            </w:r>
          </w:p>
        </w:tc>
        <w:tc>
          <w:tcPr>
            <w:tcW w:type="dxa" w:w="3100"/>
            <w:tcMar>
              <w:top w:w="80" w:type="dxa"/>
              <w:start w:w="120" w:type="dxa"/>
              <w:bottom w:w="80" w:type="dxa"/>
              <w:end w:w="120" w:type="dxa"/>
            </w:tcMar>
            <w:vAlign w:val="top"/>
          </w:tcPr>
          <w:p>
            <w:pPr>
              <w:spacing w:after="40" w:line="276" w:lineRule="auto"/>
            </w:pPr>
            <w:r>
              <w:rPr>
                <w:rFonts w:ascii="Calibri" w:hAnsi="Calibri"/>
                <w:sz w:val="18"/>
              </w:rPr>
              <w:t>Incoming normalized security event before or during case promotion.</w:t>
            </w:r>
          </w:p>
        </w:tc>
        <w:tc>
          <w:tcPr>
            <w:tcW w:type="dxa" w:w="4560"/>
            <w:tcMar>
              <w:top w:w="80" w:type="dxa"/>
              <w:start w:w="120" w:type="dxa"/>
              <w:bottom w:w="80" w:type="dxa"/>
              <w:end w:w="120" w:type="dxa"/>
            </w:tcMar>
            <w:vAlign w:val="top"/>
          </w:tcPr>
          <w:p>
            <w:pPr>
              <w:spacing w:after="40" w:line="276" w:lineRule="auto"/>
            </w:pPr>
            <w:r>
              <w:rPr>
                <w:rFonts w:ascii="Calibri" w:hAnsi="Calibri"/>
                <w:sz w:val="18"/>
              </w:rPr>
              <w:t>tracking ID, source, event ID, detection name, rule ID, severity, status, host, user, IPs, MITRE, raw JSON, normalized debug fields, asset, case.</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Case</w:t>
            </w:r>
          </w:p>
        </w:tc>
        <w:tc>
          <w:tcPr>
            <w:tcW w:type="dxa" w:w="3100"/>
            <w:tcMar>
              <w:top w:w="80" w:type="dxa"/>
              <w:start w:w="120" w:type="dxa"/>
              <w:bottom w:w="80" w:type="dxa"/>
              <w:end w:w="120" w:type="dxa"/>
            </w:tcMar>
            <w:vAlign w:val="top"/>
          </w:tcPr>
          <w:p>
            <w:pPr>
              <w:spacing w:after="40" w:line="276" w:lineRule="auto"/>
            </w:pPr>
            <w:r>
              <w:rPr>
                <w:rFonts w:ascii="Calibri" w:hAnsi="Calibri"/>
                <w:sz w:val="18"/>
              </w:rPr>
              <w:t>Primary investigation container.</w:t>
            </w:r>
          </w:p>
        </w:tc>
        <w:tc>
          <w:tcPr>
            <w:tcW w:type="dxa" w:w="4560"/>
            <w:tcMar>
              <w:top w:w="80" w:type="dxa"/>
              <w:start w:w="120" w:type="dxa"/>
              <w:bottom w:w="80" w:type="dxa"/>
              <w:end w:w="120" w:type="dxa"/>
            </w:tcMar>
            <w:vAlign w:val="top"/>
          </w:tcPr>
          <w:p>
            <w:pPr>
              <w:spacing w:after="40" w:line="276" w:lineRule="auto"/>
            </w:pPr>
            <w:r>
              <w:rPr>
                <w:rFonts w:ascii="Calibri" w:hAnsi="Calibri"/>
                <w:sz w:val="18"/>
              </w:rPr>
              <w:t>tracking ID, title, incident type, description, severity, status, source, business impact, root cause, resolution summary, rule/MITRE, affected host/user/IPs, asset, assignments, due date, closure metadata.</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IOC</w:t>
            </w:r>
          </w:p>
        </w:tc>
        <w:tc>
          <w:tcPr>
            <w:tcW w:type="dxa" w:w="3100"/>
            <w:tcMar>
              <w:top w:w="80" w:type="dxa"/>
              <w:start w:w="120" w:type="dxa"/>
              <w:bottom w:w="80" w:type="dxa"/>
              <w:end w:w="120" w:type="dxa"/>
            </w:tcMar>
            <w:vAlign w:val="top"/>
          </w:tcPr>
          <w:p>
            <w:pPr>
              <w:spacing w:after="40" w:line="276" w:lineRule="auto"/>
            </w:pPr>
            <w:r>
              <w:rPr>
                <w:rFonts w:ascii="Calibri" w:hAnsi="Calibri"/>
                <w:sz w:val="18"/>
              </w:rPr>
              <w:t>Indicator record tied to alerts and/or cases.</w:t>
            </w:r>
          </w:p>
        </w:tc>
        <w:tc>
          <w:tcPr>
            <w:tcW w:type="dxa" w:w="4560"/>
            <w:tcMar>
              <w:top w:w="80" w:type="dxa"/>
              <w:start w:w="120" w:type="dxa"/>
              <w:bottom w:w="80" w:type="dxa"/>
              <w:end w:w="120" w:type="dxa"/>
            </w:tcMar>
            <w:vAlign w:val="top"/>
          </w:tcPr>
          <w:p>
            <w:pPr>
              <w:spacing w:after="40" w:line="276" w:lineRule="auto"/>
            </w:pPr>
            <w:r>
              <w:rPr>
                <w:rFonts w:ascii="Calibri" w:hAnsi="Calibri"/>
                <w:sz w:val="18"/>
              </w:rPr>
              <w:t>type, value, normalized value, confidence, source, tags, first/last seen, notes.</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Evidence</w:t>
            </w:r>
          </w:p>
        </w:tc>
        <w:tc>
          <w:tcPr>
            <w:tcW w:type="dxa" w:w="3100"/>
            <w:tcMar>
              <w:top w:w="80" w:type="dxa"/>
              <w:start w:w="120" w:type="dxa"/>
              <w:bottom w:w="80" w:type="dxa"/>
              <w:end w:w="120" w:type="dxa"/>
            </w:tcMar>
            <w:vAlign w:val="top"/>
          </w:tcPr>
          <w:p>
            <w:pPr>
              <w:spacing w:after="40" w:line="276" w:lineRule="auto"/>
            </w:pPr>
            <w:r>
              <w:rPr>
                <w:rFonts w:ascii="Calibri" w:hAnsi="Calibri"/>
                <w:sz w:val="18"/>
              </w:rPr>
              <w:t>Uploaded investigation file with hash and report context.</w:t>
            </w:r>
          </w:p>
        </w:tc>
        <w:tc>
          <w:tcPr>
            <w:tcW w:type="dxa" w:w="4560"/>
            <w:tcMar>
              <w:top w:w="80" w:type="dxa"/>
              <w:start w:w="120" w:type="dxa"/>
              <w:bottom w:w="80" w:type="dxa"/>
              <w:end w:w="120" w:type="dxa"/>
            </w:tcMar>
            <w:vAlign w:val="top"/>
          </w:tcPr>
          <w:p>
            <w:pPr>
              <w:spacing w:after="40" w:line="276" w:lineRule="auto"/>
            </w:pPr>
            <w:r>
              <w:rPr>
                <w:rFonts w:ascii="Calibri" w:hAnsi="Calibri"/>
                <w:sz w:val="18"/>
              </w:rPr>
              <w:t>original filename, evidence type, stored filename, SHA256, uploader, upload time, purpose/description inferred from investigation context.</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Task</w:t>
            </w:r>
          </w:p>
        </w:tc>
        <w:tc>
          <w:tcPr>
            <w:tcW w:type="dxa" w:w="3100"/>
            <w:tcMar>
              <w:top w:w="80" w:type="dxa"/>
              <w:start w:w="120" w:type="dxa"/>
              <w:bottom w:w="80" w:type="dxa"/>
              <w:end w:w="120" w:type="dxa"/>
            </w:tcMar>
            <w:vAlign w:val="top"/>
          </w:tcPr>
          <w:p>
            <w:pPr>
              <w:spacing w:after="40" w:line="276" w:lineRule="auto"/>
            </w:pPr>
            <w:r>
              <w:rPr>
                <w:rFonts w:ascii="Calibri" w:hAnsi="Calibri"/>
                <w:sz w:val="18"/>
              </w:rPr>
              <w:t>Investigation checklist item.</w:t>
            </w:r>
          </w:p>
        </w:tc>
        <w:tc>
          <w:tcPr>
            <w:tcW w:type="dxa" w:w="4560"/>
            <w:tcMar>
              <w:top w:w="80" w:type="dxa"/>
              <w:start w:w="120" w:type="dxa"/>
              <w:bottom w:w="80" w:type="dxa"/>
              <w:end w:w="120" w:type="dxa"/>
            </w:tcMar>
            <w:vAlign w:val="top"/>
          </w:tcPr>
          <w:p>
            <w:pPr>
              <w:spacing w:after="40" w:line="276" w:lineRule="auto"/>
            </w:pPr>
            <w:r>
              <w:rPr>
                <w:rFonts w:ascii="Calibri" w:hAnsi="Calibri"/>
                <w:sz w:val="18"/>
              </w:rPr>
              <w:t>title, complete state, source Auto/Analyst, playbook template, completion metadata, deletion/edit history where audited.</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PlaybookTemplate</w:t>
            </w:r>
          </w:p>
        </w:tc>
        <w:tc>
          <w:tcPr>
            <w:tcW w:type="dxa" w:w="3100"/>
            <w:tcMar>
              <w:top w:w="80" w:type="dxa"/>
              <w:start w:w="120" w:type="dxa"/>
              <w:bottom w:w="80" w:type="dxa"/>
              <w:end w:w="120" w:type="dxa"/>
            </w:tcMar>
            <w:vAlign w:val="top"/>
          </w:tcPr>
          <w:p>
            <w:pPr>
              <w:spacing w:after="40" w:line="276" w:lineRule="auto"/>
            </w:pPr>
            <w:r>
              <w:rPr>
                <w:rFonts w:ascii="Calibri" w:hAnsi="Calibri"/>
                <w:sz w:val="18"/>
              </w:rPr>
              <w:t>Central task template managed by Admins.</w:t>
            </w:r>
          </w:p>
        </w:tc>
        <w:tc>
          <w:tcPr>
            <w:tcW w:type="dxa" w:w="4560"/>
            <w:tcMar>
              <w:top w:w="80" w:type="dxa"/>
              <w:start w:w="120" w:type="dxa"/>
              <w:bottom w:w="80" w:type="dxa"/>
              <w:end w:w="120" w:type="dxa"/>
            </w:tcMar>
            <w:vAlign w:val="top"/>
          </w:tcPr>
          <w:p>
            <w:pPr>
              <w:spacing w:after="40" w:line="276" w:lineRule="auto"/>
            </w:pPr>
            <w:r>
              <w:rPr>
                <w:rFonts w:ascii="Calibri" w:hAnsi="Calibri"/>
                <w:sz w:val="18"/>
              </w:rPr>
              <w:t>name, category, match type, match value, priority, active flag, tasks text.</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ContainmentAction</w:t>
            </w:r>
          </w:p>
        </w:tc>
        <w:tc>
          <w:tcPr>
            <w:tcW w:type="dxa" w:w="3100"/>
            <w:tcMar>
              <w:top w:w="80" w:type="dxa"/>
              <w:start w:w="120" w:type="dxa"/>
              <w:bottom w:w="80" w:type="dxa"/>
              <w:end w:w="120" w:type="dxa"/>
            </w:tcMar>
            <w:vAlign w:val="top"/>
          </w:tcPr>
          <w:p>
            <w:pPr>
              <w:spacing w:after="40" w:line="276" w:lineRule="auto"/>
            </w:pPr>
            <w:r>
              <w:rPr>
                <w:rFonts w:ascii="Calibri" w:hAnsi="Calibri"/>
                <w:sz w:val="18"/>
              </w:rPr>
              <w:t>Controlled response action record.</w:t>
            </w:r>
          </w:p>
        </w:tc>
        <w:tc>
          <w:tcPr>
            <w:tcW w:type="dxa" w:w="4560"/>
            <w:tcMar>
              <w:top w:w="80" w:type="dxa"/>
              <w:start w:w="120" w:type="dxa"/>
              <w:bottom w:w="80" w:type="dxa"/>
              <w:end w:w="120" w:type="dxa"/>
            </w:tcMar>
            <w:vAlign w:val="top"/>
          </w:tcPr>
          <w:p>
            <w:pPr>
              <w:spacing w:after="40" w:line="276" w:lineRule="auto"/>
            </w:pPr>
            <w:r>
              <w:rPr>
                <w:rFonts w:ascii="Calibri" w:hAnsi="Calibri"/>
                <w:sz w:val="18"/>
              </w:rPr>
              <w:t>CA ID, action type, target, host, status, risk, approvals, execution result, rollback result, provider.</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TimelineEvent</w:t>
            </w:r>
          </w:p>
        </w:tc>
        <w:tc>
          <w:tcPr>
            <w:tcW w:type="dxa" w:w="3100"/>
            <w:tcMar>
              <w:top w:w="80" w:type="dxa"/>
              <w:start w:w="120" w:type="dxa"/>
              <w:bottom w:w="80" w:type="dxa"/>
              <w:end w:w="120" w:type="dxa"/>
            </w:tcMar>
            <w:vAlign w:val="top"/>
          </w:tcPr>
          <w:p>
            <w:pPr>
              <w:spacing w:after="40" w:line="276" w:lineRule="auto"/>
            </w:pPr>
            <w:r>
              <w:rPr>
                <w:rFonts w:ascii="Calibri" w:hAnsi="Calibri"/>
                <w:sz w:val="18"/>
              </w:rPr>
              <w:t>Case-specific chronology.</w:t>
            </w:r>
          </w:p>
        </w:tc>
        <w:tc>
          <w:tcPr>
            <w:tcW w:type="dxa" w:w="4560"/>
            <w:tcMar>
              <w:top w:w="80" w:type="dxa"/>
              <w:start w:w="120" w:type="dxa"/>
              <w:bottom w:w="80" w:type="dxa"/>
              <w:end w:w="120" w:type="dxa"/>
            </w:tcMar>
            <w:vAlign w:val="top"/>
          </w:tcPr>
          <w:p>
            <w:pPr>
              <w:spacing w:after="40" w:line="276" w:lineRule="auto"/>
            </w:pPr>
            <w:r>
              <w:rPr>
                <w:rFonts w:ascii="Calibri" w:hAnsi="Calibri"/>
                <w:sz w:val="18"/>
              </w:rPr>
              <w:t>event type, description, actor, timestamp.</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AuditLog</w:t>
            </w:r>
          </w:p>
        </w:tc>
        <w:tc>
          <w:tcPr>
            <w:tcW w:type="dxa" w:w="3100"/>
            <w:tcMar>
              <w:top w:w="80" w:type="dxa"/>
              <w:start w:w="120" w:type="dxa"/>
              <w:bottom w:w="80" w:type="dxa"/>
              <w:end w:w="120" w:type="dxa"/>
            </w:tcMar>
            <w:vAlign w:val="top"/>
          </w:tcPr>
          <w:p>
            <w:pPr>
              <w:spacing w:after="40" w:line="276" w:lineRule="auto"/>
            </w:pPr>
            <w:r>
              <w:rPr>
                <w:rFonts w:ascii="Calibri" w:hAnsi="Calibri"/>
                <w:sz w:val="18"/>
              </w:rPr>
              <w:t>Platform-level accountability trail.</w:t>
            </w:r>
          </w:p>
        </w:tc>
        <w:tc>
          <w:tcPr>
            <w:tcW w:type="dxa" w:w="4560"/>
            <w:tcMar>
              <w:top w:w="80" w:type="dxa"/>
              <w:start w:w="120" w:type="dxa"/>
              <w:bottom w:w="80" w:type="dxa"/>
              <w:end w:w="120" w:type="dxa"/>
            </w:tcMar>
            <w:vAlign w:val="top"/>
          </w:tcPr>
          <w:p>
            <w:pPr>
              <w:spacing w:after="40" w:line="276" w:lineRule="auto"/>
            </w:pPr>
            <w:r>
              <w:rPr>
                <w:rFonts w:ascii="Calibri" w:hAnsi="Calibri"/>
                <w:sz w:val="18"/>
              </w:rPr>
              <w:t>actor, action, details, IP address, timestamp.</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Notification / EmailDeliveryLog</w:t>
            </w:r>
          </w:p>
        </w:tc>
        <w:tc>
          <w:tcPr>
            <w:tcW w:type="dxa" w:w="3100"/>
            <w:tcMar>
              <w:top w:w="80" w:type="dxa"/>
              <w:start w:w="120" w:type="dxa"/>
              <w:bottom w:w="80" w:type="dxa"/>
              <w:end w:w="120" w:type="dxa"/>
            </w:tcMar>
            <w:vAlign w:val="top"/>
          </w:tcPr>
          <w:p>
            <w:pPr>
              <w:spacing w:after="40" w:line="276" w:lineRule="auto"/>
            </w:pPr>
            <w:r>
              <w:rPr>
                <w:rFonts w:ascii="Calibri" w:hAnsi="Calibri"/>
                <w:sz w:val="18"/>
              </w:rPr>
              <w:t>In-app and email notification tracking.</w:t>
            </w:r>
          </w:p>
        </w:tc>
        <w:tc>
          <w:tcPr>
            <w:tcW w:type="dxa" w:w="4560"/>
            <w:tcMar>
              <w:top w:w="80" w:type="dxa"/>
              <w:start w:w="120" w:type="dxa"/>
              <w:bottom w:w="80" w:type="dxa"/>
              <w:end w:w="120" w:type="dxa"/>
            </w:tcMar>
            <w:vAlign w:val="top"/>
          </w:tcPr>
          <w:p>
            <w:pPr>
              <w:spacing w:after="40" w:line="276" w:lineRule="auto"/>
            </w:pPr>
            <w:r>
              <w:rPr>
                <w:rFonts w:ascii="Calibri" w:hAnsi="Calibri"/>
                <w:sz w:val="18"/>
              </w:rPr>
              <w:t>recipient, type/category, message/subject, status, errors, timestamps.</w:t>
            </w:r>
          </w:p>
        </w:tc>
      </w:tr>
    </w:tbl>
    <w:p>
      <w:pPr>
        <w:pStyle w:val="Heading1"/>
      </w:pPr>
      <w:r>
        <w:t>4. Deployment and Configuration</w:t>
      </w:r>
    </w:p>
    <w:p>
      <w:r>
        <w:t>AstoraSOC supports lab, LAN, and production-style deployments on Windows or Linux. The platform can run directly from Docker for simple internal use, or behind Apache, Nginx, Traefik, Cloudflare Tunnel, or the included host proxy for production-style access, HTTPS, and real client IP logging.</w:t>
      </w:r>
    </w:p>
    <w:p>
      <w:pPr>
        <w:pStyle w:val="Heading2"/>
      </w:pPr>
      <w:r>
        <w:t>Quick Start</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0"/>
        <w:gridCol w:w="8460"/>
      </w:tblGrid>
      <w:tr>
        <w:tc>
          <w:tcPr>
            <w:tcW w:type="dxa" w:w="900"/>
            <w:shd w:fill="E8EEF5"/>
            <w:tcMar>
              <w:top w:w="80" w:type="dxa"/>
              <w:start w:w="120" w:type="dxa"/>
              <w:bottom w:w="80" w:type="dxa"/>
              <w:end w:w="120" w:type="dxa"/>
            </w:tcMar>
            <w:vAlign w:val="top"/>
          </w:tcPr>
          <w:p>
            <w:pPr>
              <w:spacing w:after="40" w:line="276" w:lineRule="auto"/>
            </w:pPr>
            <w:r>
              <w:rPr>
                <w:rFonts w:ascii="Calibri" w:hAnsi="Calibri"/>
                <w:b/>
                <w:color w:val="102027"/>
                <w:sz w:val="18"/>
              </w:rPr>
              <w:t>Step</w:t>
            </w:r>
          </w:p>
        </w:tc>
        <w:tc>
          <w:tcPr>
            <w:tcW w:type="dxa" w:w="8460"/>
            <w:shd w:fill="E8EEF5"/>
            <w:tcMar>
              <w:top w:w="80" w:type="dxa"/>
              <w:start w:w="120" w:type="dxa"/>
              <w:bottom w:w="80" w:type="dxa"/>
              <w:end w:w="120" w:type="dxa"/>
            </w:tcMar>
            <w:vAlign w:val="top"/>
          </w:tcPr>
          <w:p>
            <w:pPr>
              <w:spacing w:after="40" w:line="276" w:lineRule="auto"/>
            </w:pPr>
            <w:r>
              <w:rPr>
                <w:rFonts w:ascii="Calibri" w:hAnsi="Calibri"/>
                <w:b/>
                <w:color w:val="102027"/>
                <w:sz w:val="18"/>
              </w:rPr>
              <w:t>Command / Action</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1</w:t>
            </w:r>
          </w:p>
        </w:tc>
        <w:tc>
          <w:tcPr>
            <w:tcW w:type="dxa" w:w="8460"/>
            <w:tcMar>
              <w:top w:w="80" w:type="dxa"/>
              <w:start w:w="120" w:type="dxa"/>
              <w:bottom w:w="80" w:type="dxa"/>
              <w:end w:w="120" w:type="dxa"/>
            </w:tcMar>
            <w:vAlign w:val="top"/>
          </w:tcPr>
          <w:p>
            <w:pPr>
              <w:spacing w:after="40" w:line="276" w:lineRule="auto"/>
            </w:pPr>
            <w:r>
              <w:rPr>
                <w:rFonts w:ascii="Calibri" w:hAnsi="Calibri"/>
                <w:sz w:val="18"/>
              </w:rPr>
              <w:t>cd Raven</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2</w:t>
            </w:r>
          </w:p>
        </w:tc>
        <w:tc>
          <w:tcPr>
            <w:tcW w:type="dxa" w:w="8460"/>
            <w:tcMar>
              <w:top w:w="80" w:type="dxa"/>
              <w:start w:w="120" w:type="dxa"/>
              <w:bottom w:w="80" w:type="dxa"/>
              <w:end w:w="120" w:type="dxa"/>
            </w:tcMar>
            <w:vAlign w:val="top"/>
          </w:tcPr>
          <w:p>
            <w:pPr>
              <w:spacing w:after="40" w:line="276" w:lineRule="auto"/>
            </w:pPr>
            <w:r>
              <w:rPr>
                <w:rFonts w:ascii="Calibri" w:hAnsi="Calibri"/>
                <w:sz w:val="18"/>
              </w:rPr>
              <w:t>copy .env.example .env</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3</w:t>
            </w:r>
          </w:p>
        </w:tc>
        <w:tc>
          <w:tcPr>
            <w:tcW w:type="dxa" w:w="8460"/>
            <w:tcMar>
              <w:top w:w="80" w:type="dxa"/>
              <w:start w:w="120" w:type="dxa"/>
              <w:bottom w:w="80" w:type="dxa"/>
              <w:end w:w="120" w:type="dxa"/>
            </w:tcMar>
            <w:vAlign w:val="top"/>
          </w:tcPr>
          <w:p>
            <w:pPr>
              <w:spacing w:after="40" w:line="276" w:lineRule="auto"/>
            </w:pPr>
            <w:r>
              <w:rPr>
                <w:rFonts w:ascii="Calibri" w:hAnsi="Calibri"/>
                <w:sz w:val="18"/>
              </w:rPr>
              <w:t>docker compose up --build -d web</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4</w:t>
            </w:r>
          </w:p>
        </w:tc>
        <w:tc>
          <w:tcPr>
            <w:tcW w:type="dxa" w:w="8460"/>
            <w:tcMar>
              <w:top w:w="80" w:type="dxa"/>
              <w:start w:w="120" w:type="dxa"/>
              <w:bottom w:w="80" w:type="dxa"/>
              <w:end w:w="120" w:type="dxa"/>
            </w:tcMar>
            <w:vAlign w:val="top"/>
          </w:tcPr>
          <w:p>
            <w:pPr>
              <w:spacing w:after="40" w:line="276" w:lineRule="auto"/>
            </w:pPr>
            <w:r>
              <w:rPr>
                <w:rFonts w:ascii="Calibri" w:hAnsi="Calibri"/>
                <w:sz w:val="18"/>
              </w:rPr>
              <w:t>docker compose exec web flask --app run.py init-db</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5</w:t>
            </w:r>
          </w:p>
        </w:tc>
        <w:tc>
          <w:tcPr>
            <w:tcW w:type="dxa" w:w="8460"/>
            <w:tcMar>
              <w:top w:w="80" w:type="dxa"/>
              <w:start w:w="120" w:type="dxa"/>
              <w:bottom w:w="80" w:type="dxa"/>
              <w:end w:w="120" w:type="dxa"/>
            </w:tcMar>
            <w:vAlign w:val="top"/>
          </w:tcPr>
          <w:p>
            <w:pPr>
              <w:spacing w:after="40" w:line="276" w:lineRule="auto"/>
            </w:pPr>
            <w:r>
              <w:rPr>
                <w:rFonts w:ascii="Calibri" w:hAnsi="Calibri"/>
                <w:sz w:val="18"/>
              </w:rPr>
              <w:t>docker compose exec web flask --app run.py upgrade-db</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6</w:t>
            </w:r>
          </w:p>
        </w:tc>
        <w:tc>
          <w:tcPr>
            <w:tcW w:type="dxa" w:w="8460"/>
            <w:tcMar>
              <w:top w:w="80" w:type="dxa"/>
              <w:start w:w="120" w:type="dxa"/>
              <w:bottom w:w="80" w:type="dxa"/>
              <w:end w:w="120" w:type="dxa"/>
            </w:tcMar>
            <w:vAlign w:val="top"/>
          </w:tcPr>
          <w:p>
            <w:pPr>
              <w:spacing w:after="40" w:line="276" w:lineRule="auto"/>
            </w:pPr>
            <w:r>
              <w:rPr>
                <w:rFonts w:ascii="Calibri" w:hAnsi="Calibri"/>
                <w:sz w:val="18"/>
              </w:rPr>
              <w:t>docker compose exec web flask --app run.py seed-admin</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7</w:t>
            </w:r>
          </w:p>
        </w:tc>
        <w:tc>
          <w:tcPr>
            <w:tcW w:type="dxa" w:w="8460"/>
            <w:tcMar>
              <w:top w:w="80" w:type="dxa"/>
              <w:start w:w="120" w:type="dxa"/>
              <w:bottom w:w="80" w:type="dxa"/>
              <w:end w:w="120" w:type="dxa"/>
            </w:tcMar>
            <w:vAlign w:val="top"/>
          </w:tcPr>
          <w:p>
            <w:pPr>
              <w:spacing w:after="40" w:line="276" w:lineRule="auto"/>
            </w:pPr>
            <w:r>
              <w:rPr>
                <w:rFonts w:ascii="Calibri" w:hAnsi="Calibri"/>
                <w:sz w:val="18"/>
              </w:rPr>
              <w:t>For direct Docker access, open the mapped Docker port. For proxy access, start the proxy or configure Apache/Nginx as described below.</w:t>
            </w:r>
          </w:p>
        </w:tc>
      </w:tr>
    </w:tbl>
    <w:p>
      <w:pPr>
        <w:pStyle w:val="Heading2"/>
      </w:pPr>
      <w:r>
        <w:t>Port Models</w:t>
      </w:r>
    </w:p>
    <w:p>
      <w:r>
        <w:t>AstoraSOC does not require both 5000 and 5001. The application listens on port 5000 inside the container. Port 5001 is used only when the container is kept private and a proxy owns the public port.</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2800"/>
        <w:gridCol w:w="4260"/>
      </w:tblGrid>
      <w:tr>
        <w:tc>
          <w:tcPr>
            <w:tcW w:type="dxa" w:w="2300"/>
            <w:shd w:fill="E8EEF5"/>
            <w:tcMar>
              <w:top w:w="80" w:type="dxa"/>
              <w:start w:w="120" w:type="dxa"/>
              <w:bottom w:w="80" w:type="dxa"/>
              <w:end w:w="120" w:type="dxa"/>
            </w:tcMar>
            <w:vAlign w:val="top"/>
          </w:tcPr>
          <w:p>
            <w:pPr>
              <w:spacing w:after="40" w:line="276" w:lineRule="auto"/>
            </w:pPr>
            <w:r>
              <w:rPr>
                <w:rFonts w:ascii="Calibri" w:hAnsi="Calibri"/>
                <w:b/>
                <w:color w:val="102027"/>
                <w:sz w:val="18"/>
              </w:rPr>
              <w:t>Mode</w:t>
            </w:r>
          </w:p>
        </w:tc>
        <w:tc>
          <w:tcPr>
            <w:tcW w:type="dxa" w:w="2800"/>
            <w:shd w:fill="E8EEF5"/>
            <w:tcMar>
              <w:top w:w="80" w:type="dxa"/>
              <w:start w:w="120" w:type="dxa"/>
              <w:bottom w:w="80" w:type="dxa"/>
              <w:end w:w="120" w:type="dxa"/>
            </w:tcMar>
            <w:vAlign w:val="top"/>
          </w:tcPr>
          <w:p>
            <w:pPr>
              <w:spacing w:after="40" w:line="276" w:lineRule="auto"/>
            </w:pPr>
            <w:r>
              <w:rPr>
                <w:rFonts w:ascii="Calibri" w:hAnsi="Calibri"/>
                <w:b/>
                <w:color w:val="102027"/>
                <w:sz w:val="18"/>
              </w:rPr>
              <w:t>Host Port</w:t>
            </w:r>
          </w:p>
        </w:tc>
        <w:tc>
          <w:tcPr>
            <w:tcW w:type="dxa" w:w="4260"/>
            <w:shd w:fill="E8EEF5"/>
            <w:tcMar>
              <w:top w:w="80" w:type="dxa"/>
              <w:start w:w="120" w:type="dxa"/>
              <w:bottom w:w="80" w:type="dxa"/>
              <w:end w:w="120" w:type="dxa"/>
            </w:tcMar>
            <w:vAlign w:val="top"/>
          </w:tcPr>
          <w:p>
            <w:pPr>
              <w:spacing w:after="40" w:line="276" w:lineRule="auto"/>
            </w:pPr>
            <w:r>
              <w:rPr>
                <w:rFonts w:ascii="Calibri" w:hAnsi="Calibri"/>
                <w:b/>
                <w:color w:val="102027"/>
                <w:sz w:val="18"/>
              </w:rPr>
              <w:t>When to Use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Direct Docker</w:t>
            </w:r>
          </w:p>
        </w:tc>
        <w:tc>
          <w:tcPr>
            <w:tcW w:type="dxa" w:w="2800"/>
            <w:tcMar>
              <w:top w:w="80" w:type="dxa"/>
              <w:start w:w="120" w:type="dxa"/>
              <w:bottom w:w="80" w:type="dxa"/>
              <w:end w:w="120" w:type="dxa"/>
            </w:tcMar>
            <w:vAlign w:val="top"/>
          </w:tcPr>
          <w:p>
            <w:pPr>
              <w:spacing w:after="40" w:line="276" w:lineRule="auto"/>
            </w:pPr>
            <w:r>
              <w:rPr>
                <w:rFonts w:ascii="Calibri" w:hAnsi="Calibri"/>
                <w:sz w:val="18"/>
              </w:rPr>
              <w:t>0.0.0.0:5000 -&gt; container 5000</w:t>
            </w:r>
          </w:p>
        </w:tc>
        <w:tc>
          <w:tcPr>
            <w:tcW w:type="dxa" w:w="4260"/>
            <w:tcMar>
              <w:top w:w="80" w:type="dxa"/>
              <w:start w:w="120" w:type="dxa"/>
              <w:bottom w:w="80" w:type="dxa"/>
              <w:end w:w="120" w:type="dxa"/>
            </w:tcMar>
            <w:vAlign w:val="top"/>
          </w:tcPr>
          <w:p>
            <w:pPr>
              <w:spacing w:after="40" w:line="276" w:lineRule="auto"/>
            </w:pPr>
            <w:r>
              <w:rPr>
                <w:rFonts w:ascii="Calibri" w:hAnsi="Calibri"/>
                <w:sz w:val="18"/>
              </w:rPr>
              <w:t>Simple lab or internal Linux deployment without Apache/Nginx. Users open http://SERVER-IP:5000.</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Private Docker backend</w:t>
            </w:r>
          </w:p>
        </w:tc>
        <w:tc>
          <w:tcPr>
            <w:tcW w:type="dxa" w:w="2800"/>
            <w:tcMar>
              <w:top w:w="80" w:type="dxa"/>
              <w:start w:w="120" w:type="dxa"/>
              <w:bottom w:w="80" w:type="dxa"/>
              <w:end w:w="120" w:type="dxa"/>
            </w:tcMar>
            <w:vAlign w:val="top"/>
          </w:tcPr>
          <w:p>
            <w:pPr>
              <w:spacing w:after="40" w:line="276" w:lineRule="auto"/>
            </w:pPr>
            <w:r>
              <w:rPr>
                <w:rFonts w:ascii="Calibri" w:hAnsi="Calibri"/>
                <w:sz w:val="18"/>
              </w:rPr>
              <w:t>127.0.0.1:5001 -&gt; container 5000</w:t>
            </w:r>
          </w:p>
        </w:tc>
        <w:tc>
          <w:tcPr>
            <w:tcW w:type="dxa" w:w="4260"/>
            <w:tcMar>
              <w:top w:w="80" w:type="dxa"/>
              <w:start w:w="120" w:type="dxa"/>
              <w:bottom w:w="80" w:type="dxa"/>
              <w:end w:w="120" w:type="dxa"/>
            </w:tcMar>
            <w:vAlign w:val="top"/>
          </w:tcPr>
          <w:p>
            <w:pPr>
              <w:spacing w:after="40" w:line="276" w:lineRule="auto"/>
            </w:pPr>
            <w:r>
              <w:rPr>
                <w:rFonts w:ascii="Calibri" w:hAnsi="Calibri"/>
                <w:sz w:val="18"/>
              </w:rPr>
              <w:t>Recommended when Apache, Nginx, host proxy, Traefik, or Cloudflare Tunnel is the public entrypoint.</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Production HTTPS</w:t>
            </w:r>
          </w:p>
        </w:tc>
        <w:tc>
          <w:tcPr>
            <w:tcW w:type="dxa" w:w="2800"/>
            <w:tcMar>
              <w:top w:w="80" w:type="dxa"/>
              <w:start w:w="120" w:type="dxa"/>
              <w:bottom w:w="80" w:type="dxa"/>
              <w:end w:w="120" w:type="dxa"/>
            </w:tcMar>
            <w:vAlign w:val="top"/>
          </w:tcPr>
          <w:p>
            <w:pPr>
              <w:spacing w:after="40" w:line="276" w:lineRule="auto"/>
            </w:pPr>
            <w:r>
              <w:rPr>
                <w:rFonts w:ascii="Calibri" w:hAnsi="Calibri"/>
                <w:sz w:val="18"/>
              </w:rPr>
              <w:t>80/443 -&gt; 127.0.0.1:5001</w:t>
            </w:r>
          </w:p>
        </w:tc>
        <w:tc>
          <w:tcPr>
            <w:tcW w:type="dxa" w:w="4260"/>
            <w:tcMar>
              <w:top w:w="80" w:type="dxa"/>
              <w:start w:w="120" w:type="dxa"/>
              <w:bottom w:w="80" w:type="dxa"/>
              <w:end w:w="120" w:type="dxa"/>
            </w:tcMar>
            <w:vAlign w:val="top"/>
          </w:tcPr>
          <w:p>
            <w:pPr>
              <w:spacing w:after="40" w:line="276" w:lineRule="auto"/>
            </w:pPr>
            <w:r>
              <w:rPr>
                <w:rFonts w:ascii="Calibri" w:hAnsi="Calibri"/>
                <w:sz w:val="18"/>
              </w:rPr>
              <w:t>Recommended for domains, TLS certificates, security headers, and reliable real client IP headers.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Database</w:t>
            </w:r>
          </w:p>
        </w:tc>
        <w:tc>
          <w:tcPr>
            <w:tcW w:type="dxa" w:w="2800"/>
            <w:tcMar>
              <w:top w:w="80" w:type="dxa"/>
              <w:start w:w="120" w:type="dxa"/>
              <w:bottom w:w="80" w:type="dxa"/>
              <w:end w:w="120" w:type="dxa"/>
            </w:tcMar>
            <w:vAlign w:val="top"/>
          </w:tcPr>
          <w:p>
            <w:pPr>
              <w:spacing w:after="40" w:line="276" w:lineRule="auto"/>
            </w:pPr>
            <w:r>
              <w:rPr>
                <w:rFonts w:ascii="Calibri" w:hAnsi="Calibri"/>
                <w:sz w:val="18"/>
              </w:rPr>
              <w:t>db:3306</w:t>
            </w:r>
          </w:p>
        </w:tc>
        <w:tc>
          <w:tcPr>
            <w:tcW w:type="dxa" w:w="4260"/>
            <w:tcMar>
              <w:top w:w="80" w:type="dxa"/>
              <w:start w:w="120" w:type="dxa"/>
              <w:bottom w:w="80" w:type="dxa"/>
              <w:end w:w="120" w:type="dxa"/>
            </w:tcMar>
            <w:vAlign w:val="top"/>
          </w:tcPr>
          <w:p>
            <w:pPr>
              <w:spacing w:after="40" w:line="276" w:lineRule="auto"/>
            </w:pPr>
            <w:r>
              <w:rPr>
                <w:rFonts w:ascii="Calibri" w:hAnsi="Calibri"/>
                <w:sz w:val="18"/>
              </w:rPr>
              <w:t>MySQL service inside Docker Compose. Keep database access restricted.</w:t>
            </w:r>
          </w:p>
        </w:tc>
      </w:tr>
    </w:tbl>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tcMar>
              <w:top w:w="80" w:type="dxa"/>
              <w:start w:w="120" w:type="dxa"/>
              <w:bottom w:w="80" w:type="dxa"/>
              <w:end w:w="120" w:type="dxa"/>
            </w:tcMar>
            <w:vAlign w:val="top"/>
            <w:shd w:fill="E8F7F4"/>
          </w:tcPr>
          <w:p>
            <w:r>
              <w:rPr>
                <w:b/>
                <w:color w:val="102027"/>
                <w:sz w:val="20"/>
              </w:rPr>
              <w:t>Why 5001 Exists</w:t>
            </w:r>
            <w:r>
              <w:rPr>
                <w:color w:val="102027"/>
                <w:sz w:val="18"/>
              </w:rPr>
              <w:br/>
              <w:t>Port 5001 is a private host-only backend used by proxy deployments. It avoids exposing the Flask container directly and allows the public proxy on port 5000, 80, or 443 to inject real client IP headers. If you do not need a proxy, Docker can expose AstoraSOC directly on port 5000.</w:t>
            </w:r>
          </w:p>
        </w:tc>
      </w:tr>
    </w:tbl>
    <w:p/>
    <w:p>
      <w:pPr>
        <w:pStyle w:val="Heading2"/>
      </w:pPr>
      <w:r>
        <w:t>Windows Docker Desktop Deployment</w:t>
      </w:r>
    </w:p>
    <w:p>
      <w:r>
        <w:t>Windows deployments should be written for Docker Desktop users. The simplest local setup uses Docker Desktop and opens AstoraSOC from the Windows host. For LAN sharing with accurate Audit Log IP addresses, use the included host proxy.</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0"/>
        <w:gridCol w:w="8460"/>
      </w:tblGrid>
      <w:tr>
        <w:tc>
          <w:tcPr>
            <w:tcW w:type="dxa" w:w="900"/>
            <w:shd w:fill="E8EEF5"/>
            <w:tcMar>
              <w:top w:w="80" w:type="dxa"/>
              <w:start w:w="120" w:type="dxa"/>
              <w:bottom w:w="80" w:type="dxa"/>
              <w:end w:w="120" w:type="dxa"/>
            </w:tcMar>
            <w:vAlign w:val="top"/>
          </w:tcPr>
          <w:p>
            <w:pPr>
              <w:spacing w:after="40" w:line="276" w:lineRule="auto"/>
            </w:pPr>
            <w:r>
              <w:rPr>
                <w:rFonts w:ascii="Calibri" w:hAnsi="Calibri"/>
                <w:b/>
                <w:color w:val="102027"/>
                <w:sz w:val="18"/>
              </w:rPr>
              <w:t>Step</w:t>
            </w:r>
          </w:p>
        </w:tc>
        <w:tc>
          <w:tcPr>
            <w:tcW w:type="dxa" w:w="8460"/>
            <w:shd w:fill="E8EEF5"/>
            <w:tcMar>
              <w:top w:w="80" w:type="dxa"/>
              <w:start w:w="120" w:type="dxa"/>
              <w:bottom w:w="80" w:type="dxa"/>
              <w:end w:w="120" w:type="dxa"/>
            </w:tcMar>
            <w:vAlign w:val="top"/>
          </w:tcPr>
          <w:p>
            <w:pPr>
              <w:spacing w:after="40" w:line="276" w:lineRule="auto"/>
            </w:pPr>
            <w:r>
              <w:rPr>
                <w:rFonts w:ascii="Calibri" w:hAnsi="Calibri"/>
                <w:b/>
                <w:color w:val="102027"/>
                <w:sz w:val="18"/>
              </w:rPr>
              <w:t>Command / Action</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1</w:t>
            </w:r>
          </w:p>
        </w:tc>
        <w:tc>
          <w:tcPr>
            <w:tcW w:type="dxa" w:w="8460"/>
            <w:tcMar>
              <w:top w:w="80" w:type="dxa"/>
              <w:start w:w="120" w:type="dxa"/>
              <w:bottom w:w="80" w:type="dxa"/>
              <w:end w:w="120" w:type="dxa"/>
            </w:tcMar>
            <w:vAlign w:val="top"/>
          </w:tcPr>
          <w:p>
            <w:pPr>
              <w:spacing w:after="40" w:line="276" w:lineRule="auto"/>
            </w:pPr>
            <w:r>
              <w:rPr>
                <w:rFonts w:ascii="Calibri" w:hAnsi="Calibri"/>
                <w:sz w:val="18"/>
              </w:rPr>
              <w:t>Install and start Docker Desktop. Confirm Docker Engine is running.</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2</w:t>
            </w:r>
          </w:p>
        </w:tc>
        <w:tc>
          <w:tcPr>
            <w:tcW w:type="dxa" w:w="8460"/>
            <w:tcMar>
              <w:top w:w="80" w:type="dxa"/>
              <w:start w:w="120" w:type="dxa"/>
              <w:bottom w:w="80" w:type="dxa"/>
              <w:end w:w="120" w:type="dxa"/>
            </w:tcMar>
            <w:vAlign w:val="top"/>
          </w:tcPr>
          <w:p>
            <w:pPr>
              <w:spacing w:after="40" w:line="276" w:lineRule="auto"/>
            </w:pPr>
            <w:r>
              <w:rPr>
                <w:rFonts w:ascii="Calibri" w:hAnsi="Calibri"/>
                <w:sz w:val="18"/>
              </w:rPr>
              <w:t>Open PowerShell in the AstoraSOC project folder: cd Raven</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3</w:t>
            </w:r>
          </w:p>
        </w:tc>
        <w:tc>
          <w:tcPr>
            <w:tcW w:type="dxa" w:w="8460"/>
            <w:tcMar>
              <w:top w:w="80" w:type="dxa"/>
              <w:start w:w="120" w:type="dxa"/>
              <w:bottom w:w="80" w:type="dxa"/>
              <w:end w:w="120" w:type="dxa"/>
            </w:tcMar>
            <w:vAlign w:val="top"/>
          </w:tcPr>
          <w:p>
            <w:pPr>
              <w:spacing w:after="40" w:line="276" w:lineRule="auto"/>
            </w:pPr>
            <w:r>
              <w:rPr>
                <w:rFonts w:ascii="Calibri" w:hAnsi="Calibri"/>
                <w:sz w:val="18"/>
              </w:rPr>
              <w:t>Copy .env.example to .env and edit secrets before production use.</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4</w:t>
            </w:r>
          </w:p>
        </w:tc>
        <w:tc>
          <w:tcPr>
            <w:tcW w:type="dxa" w:w="8460"/>
            <w:tcMar>
              <w:top w:w="80" w:type="dxa"/>
              <w:start w:w="120" w:type="dxa"/>
              <w:bottom w:w="80" w:type="dxa"/>
              <w:end w:w="120" w:type="dxa"/>
            </w:tcMar>
            <w:vAlign w:val="top"/>
          </w:tcPr>
          <w:p>
            <w:pPr>
              <w:spacing w:after="40" w:line="276" w:lineRule="auto"/>
            </w:pPr>
            <w:r>
              <w:rPr>
                <w:rFonts w:ascii="Calibri" w:hAnsi="Calibri"/>
                <w:sz w:val="18"/>
              </w:rPr>
              <w:t>Run: docker compose up --build -d web</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5</w:t>
            </w:r>
          </w:p>
        </w:tc>
        <w:tc>
          <w:tcPr>
            <w:tcW w:type="dxa" w:w="8460"/>
            <w:tcMar>
              <w:top w:w="80" w:type="dxa"/>
              <w:start w:w="120" w:type="dxa"/>
              <w:bottom w:w="80" w:type="dxa"/>
              <w:end w:w="120" w:type="dxa"/>
            </w:tcMar>
            <w:vAlign w:val="top"/>
          </w:tcPr>
          <w:p>
            <w:pPr>
              <w:spacing w:after="40" w:line="276" w:lineRule="auto"/>
            </w:pPr>
            <w:r>
              <w:rPr>
                <w:rFonts w:ascii="Calibri" w:hAnsi="Calibri"/>
                <w:sz w:val="18"/>
              </w:rPr>
              <w:t>Initialize/update the database with the init-db, upgrade-db, and seed-admin commands if this is the first deployment.</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6</w:t>
            </w:r>
          </w:p>
        </w:tc>
        <w:tc>
          <w:tcPr>
            <w:tcW w:type="dxa" w:w="8460"/>
            <w:tcMar>
              <w:top w:w="80" w:type="dxa"/>
              <w:start w:w="120" w:type="dxa"/>
              <w:bottom w:w="80" w:type="dxa"/>
              <w:end w:w="120" w:type="dxa"/>
            </w:tcMar>
            <w:vAlign w:val="top"/>
          </w:tcPr>
          <w:p>
            <w:pPr>
              <w:spacing w:after="40" w:line="276" w:lineRule="auto"/>
            </w:pPr>
            <w:r>
              <w:rPr>
                <w:rFonts w:ascii="Calibri" w:hAnsi="Calibri"/>
                <w:sz w:val="18"/>
              </w:rPr>
              <w:t>For local-only access, open http://localhost:5001 when using the default private backend mapping.</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7</w:t>
            </w:r>
          </w:p>
        </w:tc>
        <w:tc>
          <w:tcPr>
            <w:tcW w:type="dxa" w:w="8460"/>
            <w:tcMar>
              <w:top w:w="80" w:type="dxa"/>
              <w:start w:w="120" w:type="dxa"/>
              <w:bottom w:w="80" w:type="dxa"/>
              <w:end w:w="120" w:type="dxa"/>
            </w:tcMar>
            <w:vAlign w:val="top"/>
          </w:tcPr>
          <w:p>
            <w:pPr>
              <w:spacing w:after="40" w:line="276" w:lineRule="auto"/>
            </w:pPr>
            <w:r>
              <w:rPr>
                <w:rFonts w:ascii="Calibri" w:hAnsi="Calibri"/>
                <w:sz w:val="18"/>
              </w:rPr>
              <w:t>For LAN access on http://WINDOWS-IP:5000, start the included host proxy: powershell -ExecutionPolicy Bypass -File .\deployment\host_proxy\start-astorasoc-proxy.ps1</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8</w:t>
            </w:r>
          </w:p>
        </w:tc>
        <w:tc>
          <w:tcPr>
            <w:tcW w:type="dxa" w:w="8460"/>
            <w:tcMar>
              <w:top w:w="80" w:type="dxa"/>
              <w:start w:w="120" w:type="dxa"/>
              <w:bottom w:w="80" w:type="dxa"/>
              <w:end w:w="120" w:type="dxa"/>
            </w:tcMar>
            <w:vAlign w:val="top"/>
          </w:tcPr>
          <w:p>
            <w:pPr>
              <w:spacing w:after="40" w:line="276" w:lineRule="auto"/>
            </w:pPr>
            <w:r>
              <w:rPr>
                <w:rFonts w:ascii="Calibri" w:hAnsi="Calibri"/>
                <w:sz w:val="18"/>
              </w:rPr>
              <w:t>Allow Windows Firewall port 5000 for trusted networks: netsh advfirewall firewall add rule name="AstoraSOC 5000" dir=in action=allow protocol=TCP localport=5000</w:t>
            </w:r>
          </w:p>
        </w:tc>
      </w:tr>
    </w:tbl>
    <w:p>
      <w:pPr>
        <w:pStyle w:val="Heading2"/>
      </w:pPr>
      <w:r>
        <w:t>Linux Docker-Only Deployment without Web Server</w:t>
      </w:r>
    </w:p>
    <w:p>
      <w:r>
        <w:t>Many open-source platforms run this way for labs, internal tools, and small SOC environments. Apache or Nginx is not mandatory. In this mode Docker exposes AstoraSOC directly on port 5000.</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0"/>
        <w:gridCol w:w="8460"/>
      </w:tblGrid>
      <w:tr>
        <w:tc>
          <w:tcPr>
            <w:tcW w:type="dxa" w:w="900"/>
            <w:shd w:fill="E8EEF5"/>
            <w:tcMar>
              <w:top w:w="80" w:type="dxa"/>
              <w:start w:w="120" w:type="dxa"/>
              <w:bottom w:w="80" w:type="dxa"/>
              <w:end w:w="120" w:type="dxa"/>
            </w:tcMar>
            <w:vAlign w:val="top"/>
          </w:tcPr>
          <w:p>
            <w:pPr>
              <w:spacing w:after="40" w:line="276" w:lineRule="auto"/>
            </w:pPr>
            <w:r>
              <w:rPr>
                <w:rFonts w:ascii="Calibri" w:hAnsi="Calibri"/>
                <w:b/>
                <w:color w:val="102027"/>
                <w:sz w:val="18"/>
              </w:rPr>
              <w:t>Step</w:t>
            </w:r>
          </w:p>
        </w:tc>
        <w:tc>
          <w:tcPr>
            <w:tcW w:type="dxa" w:w="8460"/>
            <w:shd w:fill="E8EEF5"/>
            <w:tcMar>
              <w:top w:w="80" w:type="dxa"/>
              <w:start w:w="120" w:type="dxa"/>
              <w:bottom w:w="80" w:type="dxa"/>
              <w:end w:w="120" w:type="dxa"/>
            </w:tcMar>
            <w:vAlign w:val="top"/>
          </w:tcPr>
          <w:p>
            <w:pPr>
              <w:spacing w:after="40" w:line="276" w:lineRule="auto"/>
            </w:pPr>
            <w:r>
              <w:rPr>
                <w:rFonts w:ascii="Calibri" w:hAnsi="Calibri"/>
                <w:b/>
                <w:color w:val="102027"/>
                <w:sz w:val="18"/>
              </w:rPr>
              <w:t>Command / Action</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1</w:t>
            </w:r>
          </w:p>
        </w:tc>
        <w:tc>
          <w:tcPr>
            <w:tcW w:type="dxa" w:w="8460"/>
            <w:tcMar>
              <w:top w:w="80" w:type="dxa"/>
              <w:start w:w="120" w:type="dxa"/>
              <w:bottom w:w="80" w:type="dxa"/>
              <w:end w:w="120" w:type="dxa"/>
            </w:tcMar>
            <w:vAlign w:val="top"/>
          </w:tcPr>
          <w:p>
            <w:pPr>
              <w:spacing w:after="40" w:line="276" w:lineRule="auto"/>
            </w:pPr>
            <w:r>
              <w:rPr>
                <w:rFonts w:ascii="Calibri" w:hAnsi="Calibri"/>
                <w:sz w:val="18"/>
              </w:rPr>
              <w:t>Install Docker Engine and Docker Compose plugin.</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2</w:t>
            </w:r>
          </w:p>
        </w:tc>
        <w:tc>
          <w:tcPr>
            <w:tcW w:type="dxa" w:w="8460"/>
            <w:tcMar>
              <w:top w:w="80" w:type="dxa"/>
              <w:start w:w="120" w:type="dxa"/>
              <w:bottom w:w="80" w:type="dxa"/>
              <w:end w:w="120" w:type="dxa"/>
            </w:tcMar>
            <w:vAlign w:val="top"/>
          </w:tcPr>
          <w:p>
            <w:pPr>
              <w:spacing w:after="40" w:line="276" w:lineRule="auto"/>
            </w:pPr>
            <w:r>
              <w:rPr>
                <w:rFonts w:ascii="Calibri" w:hAnsi="Calibri"/>
                <w:sz w:val="18"/>
              </w:rPr>
              <w:t>Clone or copy AstoraSOC, then run: cd Raven</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3</w:t>
            </w:r>
          </w:p>
        </w:tc>
        <w:tc>
          <w:tcPr>
            <w:tcW w:type="dxa" w:w="8460"/>
            <w:tcMar>
              <w:top w:w="80" w:type="dxa"/>
              <w:start w:w="120" w:type="dxa"/>
              <w:bottom w:w="80" w:type="dxa"/>
              <w:end w:w="120" w:type="dxa"/>
            </w:tcMar>
            <w:vAlign w:val="top"/>
          </w:tcPr>
          <w:p>
            <w:pPr>
              <w:spacing w:after="40" w:line="276" w:lineRule="auto"/>
            </w:pPr>
            <w:r>
              <w:rPr>
                <w:rFonts w:ascii="Calibri" w:hAnsi="Calibri"/>
                <w:sz w:val="18"/>
              </w:rPr>
              <w:t>Copy .env.example to .env and set SECRET_KEY, database credentials, webhook key, and upload limits.</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4</w:t>
            </w:r>
          </w:p>
        </w:tc>
        <w:tc>
          <w:tcPr>
            <w:tcW w:type="dxa" w:w="8460"/>
            <w:tcMar>
              <w:top w:w="80" w:type="dxa"/>
              <w:start w:w="120" w:type="dxa"/>
              <w:bottom w:w="80" w:type="dxa"/>
              <w:end w:w="120" w:type="dxa"/>
            </w:tcMar>
            <w:vAlign w:val="top"/>
          </w:tcPr>
          <w:p>
            <w:pPr>
              <w:spacing w:after="40" w:line="276" w:lineRule="auto"/>
            </w:pPr>
            <w:r>
              <w:rPr>
                <w:rFonts w:ascii="Calibri" w:hAnsi="Calibri"/>
                <w:sz w:val="18"/>
              </w:rPr>
              <w:t>For direct access, map web as 0.0.0.0:5000:5000 in docker-compose.yml ports.</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5</w:t>
            </w:r>
          </w:p>
        </w:tc>
        <w:tc>
          <w:tcPr>
            <w:tcW w:type="dxa" w:w="8460"/>
            <w:tcMar>
              <w:top w:w="80" w:type="dxa"/>
              <w:start w:w="120" w:type="dxa"/>
              <w:bottom w:w="80" w:type="dxa"/>
              <w:end w:w="120" w:type="dxa"/>
            </w:tcMar>
            <w:vAlign w:val="top"/>
          </w:tcPr>
          <w:p>
            <w:pPr>
              <w:spacing w:after="40" w:line="276" w:lineRule="auto"/>
            </w:pPr>
            <w:r>
              <w:rPr>
                <w:rFonts w:ascii="Calibri" w:hAnsi="Calibri"/>
                <w:sz w:val="18"/>
              </w:rPr>
              <w:t>Run: docker compose up --build -d web</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6</w:t>
            </w:r>
          </w:p>
        </w:tc>
        <w:tc>
          <w:tcPr>
            <w:tcW w:type="dxa" w:w="8460"/>
            <w:tcMar>
              <w:top w:w="80" w:type="dxa"/>
              <w:start w:w="120" w:type="dxa"/>
              <w:bottom w:w="80" w:type="dxa"/>
              <w:end w:w="120" w:type="dxa"/>
            </w:tcMar>
            <w:vAlign w:val="top"/>
          </w:tcPr>
          <w:p>
            <w:pPr>
              <w:spacing w:after="40" w:line="276" w:lineRule="auto"/>
            </w:pPr>
            <w:r>
              <w:rPr>
                <w:rFonts w:ascii="Calibri" w:hAnsi="Calibri"/>
                <w:sz w:val="18"/>
              </w:rPr>
              <w:t>Initialize/update database: docker compose exec web flask --app run.py init-db &amp;&amp; docker compose exec web flask --app run.py upgrade-db &amp;&amp; docker compose exec web flask --app run.py seed-admin</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7</w:t>
            </w:r>
          </w:p>
        </w:tc>
        <w:tc>
          <w:tcPr>
            <w:tcW w:type="dxa" w:w="8460"/>
            <w:tcMar>
              <w:top w:w="80" w:type="dxa"/>
              <w:start w:w="120" w:type="dxa"/>
              <w:bottom w:w="80" w:type="dxa"/>
              <w:end w:w="120" w:type="dxa"/>
            </w:tcMar>
            <w:vAlign w:val="top"/>
          </w:tcPr>
          <w:p>
            <w:pPr>
              <w:spacing w:after="40" w:line="276" w:lineRule="auto"/>
            </w:pPr>
            <w:r>
              <w:rPr>
                <w:rFonts w:ascii="Calibri" w:hAnsi="Calibri"/>
                <w:sz w:val="18"/>
              </w:rPr>
              <w:t>Allow firewall access from trusted networks only: sudo ufw allow 5000/tcp or equivalent firewall rule.</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8</w:t>
            </w:r>
          </w:p>
        </w:tc>
        <w:tc>
          <w:tcPr>
            <w:tcW w:type="dxa" w:w="8460"/>
            <w:tcMar>
              <w:top w:w="80" w:type="dxa"/>
              <w:start w:w="120" w:type="dxa"/>
              <w:bottom w:w="80" w:type="dxa"/>
              <w:end w:w="120" w:type="dxa"/>
            </w:tcMar>
            <w:vAlign w:val="top"/>
          </w:tcPr>
          <w:p>
            <w:pPr>
              <w:spacing w:after="40" w:line="276" w:lineRule="auto"/>
            </w:pPr>
            <w:r>
              <w:rPr>
                <w:rFonts w:ascii="Calibri" w:hAnsi="Calibri"/>
                <w:sz w:val="18"/>
              </w:rPr>
              <w:t>Users open http://SERVER-IP:5000.</w:t>
            </w:r>
          </w:p>
        </w:tc>
      </w:tr>
    </w:tbl>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tcMar>
              <w:top w:w="80" w:type="dxa"/>
              <w:start w:w="120" w:type="dxa"/>
              <w:bottom w:w="80" w:type="dxa"/>
              <w:end w:w="120" w:type="dxa"/>
            </w:tcMar>
            <w:vAlign w:val="top"/>
            <w:shd w:fill="FFF7DA"/>
          </w:tcPr>
          <w:p>
            <w:r>
              <w:rPr>
                <w:b/>
                <w:color w:val="102027"/>
                <w:sz w:val="20"/>
              </w:rPr>
              <w:t>Docker-Only Tradeoff</w:t>
            </w:r>
            <w:r>
              <w:rPr>
                <w:color w:val="102027"/>
                <w:sz w:val="18"/>
              </w:rPr>
              <w:br/>
              <w:t>Docker-only deployment is valid and simple. The tradeoff is that HTTPS, domain routing, security headers, and real client IP handling are weaker unless another network device or proxy provides them.</w:t>
            </w:r>
          </w:p>
        </w:tc>
      </w:tr>
    </w:tbl>
    <w:p/>
    <w:p>
      <w:pPr>
        <w:pStyle w:val="Heading2"/>
      </w:pPr>
      <w:r>
        <w:t>Linux Docker Deployment with Nginx</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0"/>
        <w:gridCol w:w="8460"/>
      </w:tblGrid>
      <w:tr>
        <w:tc>
          <w:tcPr>
            <w:tcW w:type="dxa" w:w="900"/>
            <w:shd w:fill="E8EEF5"/>
            <w:tcMar>
              <w:top w:w="80" w:type="dxa"/>
              <w:start w:w="120" w:type="dxa"/>
              <w:bottom w:w="80" w:type="dxa"/>
              <w:end w:w="120" w:type="dxa"/>
            </w:tcMar>
            <w:vAlign w:val="top"/>
          </w:tcPr>
          <w:p>
            <w:pPr>
              <w:spacing w:after="40" w:line="276" w:lineRule="auto"/>
            </w:pPr>
            <w:r>
              <w:rPr>
                <w:rFonts w:ascii="Calibri" w:hAnsi="Calibri"/>
                <w:b/>
                <w:color w:val="102027"/>
                <w:sz w:val="18"/>
              </w:rPr>
              <w:t>Step</w:t>
            </w:r>
          </w:p>
        </w:tc>
        <w:tc>
          <w:tcPr>
            <w:tcW w:type="dxa" w:w="8460"/>
            <w:shd w:fill="E8EEF5"/>
            <w:tcMar>
              <w:top w:w="80" w:type="dxa"/>
              <w:start w:w="120" w:type="dxa"/>
              <w:bottom w:w="80" w:type="dxa"/>
              <w:end w:w="120" w:type="dxa"/>
            </w:tcMar>
            <w:vAlign w:val="top"/>
          </w:tcPr>
          <w:p>
            <w:pPr>
              <w:spacing w:after="40" w:line="276" w:lineRule="auto"/>
            </w:pPr>
            <w:r>
              <w:rPr>
                <w:rFonts w:ascii="Calibri" w:hAnsi="Calibri"/>
                <w:b/>
                <w:color w:val="102027"/>
                <w:sz w:val="18"/>
              </w:rPr>
              <w:t>Command / Action</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1</w:t>
            </w:r>
          </w:p>
        </w:tc>
        <w:tc>
          <w:tcPr>
            <w:tcW w:type="dxa" w:w="8460"/>
            <w:tcMar>
              <w:top w:w="80" w:type="dxa"/>
              <w:start w:w="120" w:type="dxa"/>
              <w:bottom w:w="80" w:type="dxa"/>
              <w:end w:w="120" w:type="dxa"/>
            </w:tcMar>
            <w:vAlign w:val="top"/>
          </w:tcPr>
          <w:p>
            <w:pPr>
              <w:spacing w:after="40" w:line="276" w:lineRule="auto"/>
            </w:pPr>
            <w:r>
              <w:rPr>
                <w:rFonts w:ascii="Calibri" w:hAnsi="Calibri"/>
                <w:sz w:val="18"/>
              </w:rPr>
              <w:t>cd Raven &amp;&amp; docker compose up --build -d web</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2</w:t>
            </w:r>
          </w:p>
        </w:tc>
        <w:tc>
          <w:tcPr>
            <w:tcW w:type="dxa" w:w="8460"/>
            <w:tcMar>
              <w:top w:w="80" w:type="dxa"/>
              <w:start w:w="120" w:type="dxa"/>
              <w:bottom w:w="80" w:type="dxa"/>
              <w:end w:w="120" w:type="dxa"/>
            </w:tcMar>
            <w:vAlign w:val="top"/>
          </w:tcPr>
          <w:p>
            <w:pPr>
              <w:spacing w:after="40" w:line="276" w:lineRule="auto"/>
            </w:pPr>
            <w:r>
              <w:rPr>
                <w:rFonts w:ascii="Calibri" w:hAnsi="Calibri"/>
                <w:sz w:val="18"/>
              </w:rPr>
              <w:t>Copy deployment/nginx/astorasoc.conf to /etc/nginx/sites-available/astorasoc.conf.</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3</w:t>
            </w:r>
          </w:p>
        </w:tc>
        <w:tc>
          <w:tcPr>
            <w:tcW w:type="dxa" w:w="8460"/>
            <w:tcMar>
              <w:top w:w="80" w:type="dxa"/>
              <w:start w:w="120" w:type="dxa"/>
              <w:bottom w:w="80" w:type="dxa"/>
              <w:end w:w="120" w:type="dxa"/>
            </w:tcMar>
            <w:vAlign w:val="top"/>
          </w:tcPr>
          <w:p>
            <w:pPr>
              <w:spacing w:after="40" w:line="276" w:lineRule="auto"/>
            </w:pPr>
            <w:r>
              <w:rPr>
                <w:rFonts w:ascii="Calibri" w:hAnsi="Calibri"/>
                <w:sz w:val="18"/>
              </w:rPr>
              <w:t>Enable the site with a symlink into /etc/nginx/sites-enabled/.</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4</w:t>
            </w:r>
          </w:p>
        </w:tc>
        <w:tc>
          <w:tcPr>
            <w:tcW w:type="dxa" w:w="8460"/>
            <w:tcMar>
              <w:top w:w="80" w:type="dxa"/>
              <w:start w:w="120" w:type="dxa"/>
              <w:bottom w:w="80" w:type="dxa"/>
              <w:end w:w="120" w:type="dxa"/>
            </w:tcMar>
            <w:vAlign w:val="top"/>
          </w:tcPr>
          <w:p>
            <w:pPr>
              <w:spacing w:after="40" w:line="276" w:lineRule="auto"/>
            </w:pPr>
            <w:r>
              <w:rPr>
                <w:rFonts w:ascii="Calibri" w:hAnsi="Calibri"/>
                <w:sz w:val="18"/>
              </w:rPr>
              <w:t>Run sudo nginx -t &amp;&amp; sudo systemctl reload nginx.</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5</w:t>
            </w:r>
          </w:p>
        </w:tc>
        <w:tc>
          <w:tcPr>
            <w:tcW w:type="dxa" w:w="8460"/>
            <w:tcMar>
              <w:top w:w="80" w:type="dxa"/>
              <w:start w:w="120" w:type="dxa"/>
              <w:bottom w:w="80" w:type="dxa"/>
              <w:end w:w="120" w:type="dxa"/>
            </w:tcMar>
            <w:vAlign w:val="top"/>
          </w:tcPr>
          <w:p>
            <w:pPr>
              <w:spacing w:after="40" w:line="276" w:lineRule="auto"/>
            </w:pPr>
            <w:r>
              <w:rPr>
                <w:rFonts w:ascii="Calibri" w:hAnsi="Calibri"/>
                <w:sz w:val="18"/>
              </w:rPr>
              <w:t>Allow firewall ports 80/tcp and 443/tcp.</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6</w:t>
            </w:r>
          </w:p>
        </w:tc>
        <w:tc>
          <w:tcPr>
            <w:tcW w:type="dxa" w:w="8460"/>
            <w:tcMar>
              <w:top w:w="80" w:type="dxa"/>
              <w:start w:w="120" w:type="dxa"/>
              <w:bottom w:w="80" w:type="dxa"/>
              <w:end w:w="120" w:type="dxa"/>
            </w:tcMar>
            <w:vAlign w:val="top"/>
          </w:tcPr>
          <w:p>
            <w:pPr>
              <w:spacing w:after="40" w:line="276" w:lineRule="auto"/>
            </w:pPr>
            <w:r>
              <w:rPr>
                <w:rFonts w:ascii="Calibri" w:hAnsi="Calibri"/>
                <w:sz w:val="18"/>
              </w:rPr>
              <w:t>For HTTPS production deployments, set SESSION_COOKIE_SECURE=true and keep TRUST_PROXY_HEADERS=true.</w:t>
            </w:r>
          </w:p>
        </w:tc>
      </w:tr>
    </w:tbl>
    <w:p>
      <w:pPr>
        <w:pStyle w:val="Heading2"/>
      </w:pPr>
      <w:r>
        <w:t>Linux Docker Deployment with Apache</w:t>
      </w:r>
    </w:p>
    <w:p>
      <w:r>
        <w:t>Apache can be used instead of Nginx when the organization already standardizes on Apache HTTP Server. Apache listens on 80/443 and proxies traffic to the private Docker backend on 127.0.0.1:5001.</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0"/>
        <w:gridCol w:w="8460"/>
      </w:tblGrid>
      <w:tr>
        <w:tc>
          <w:tcPr>
            <w:tcW w:type="dxa" w:w="900"/>
            <w:shd w:fill="E8EEF5"/>
            <w:tcMar>
              <w:top w:w="80" w:type="dxa"/>
              <w:start w:w="120" w:type="dxa"/>
              <w:bottom w:w="80" w:type="dxa"/>
              <w:end w:w="120" w:type="dxa"/>
            </w:tcMar>
            <w:vAlign w:val="top"/>
          </w:tcPr>
          <w:p>
            <w:pPr>
              <w:spacing w:after="40" w:line="276" w:lineRule="auto"/>
            </w:pPr>
            <w:r>
              <w:rPr>
                <w:rFonts w:ascii="Calibri" w:hAnsi="Calibri"/>
                <w:b/>
                <w:color w:val="102027"/>
                <w:sz w:val="18"/>
              </w:rPr>
              <w:t>Step</w:t>
            </w:r>
          </w:p>
        </w:tc>
        <w:tc>
          <w:tcPr>
            <w:tcW w:type="dxa" w:w="8460"/>
            <w:shd w:fill="E8EEF5"/>
            <w:tcMar>
              <w:top w:w="80" w:type="dxa"/>
              <w:start w:w="120" w:type="dxa"/>
              <w:bottom w:w="80" w:type="dxa"/>
              <w:end w:w="120" w:type="dxa"/>
            </w:tcMar>
            <w:vAlign w:val="top"/>
          </w:tcPr>
          <w:p>
            <w:pPr>
              <w:spacing w:after="40" w:line="276" w:lineRule="auto"/>
            </w:pPr>
            <w:r>
              <w:rPr>
                <w:rFonts w:ascii="Calibri" w:hAnsi="Calibri"/>
                <w:b/>
                <w:color w:val="102027"/>
                <w:sz w:val="18"/>
              </w:rPr>
              <w:t>Command / Action</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1</w:t>
            </w:r>
          </w:p>
        </w:tc>
        <w:tc>
          <w:tcPr>
            <w:tcW w:type="dxa" w:w="8460"/>
            <w:tcMar>
              <w:top w:w="80" w:type="dxa"/>
              <w:start w:w="120" w:type="dxa"/>
              <w:bottom w:w="80" w:type="dxa"/>
              <w:end w:w="120" w:type="dxa"/>
            </w:tcMar>
            <w:vAlign w:val="top"/>
          </w:tcPr>
          <w:p>
            <w:pPr>
              <w:spacing w:after="40" w:line="276" w:lineRule="auto"/>
            </w:pPr>
            <w:r>
              <w:rPr>
                <w:rFonts w:ascii="Calibri" w:hAnsi="Calibri"/>
                <w:sz w:val="18"/>
              </w:rPr>
              <w:t>Keep docker-compose.yml mapped as 127.0.0.1:5001:5000.</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2</w:t>
            </w:r>
          </w:p>
        </w:tc>
        <w:tc>
          <w:tcPr>
            <w:tcW w:type="dxa" w:w="8460"/>
            <w:tcMar>
              <w:top w:w="80" w:type="dxa"/>
              <w:start w:w="120" w:type="dxa"/>
              <w:bottom w:w="80" w:type="dxa"/>
              <w:end w:w="120" w:type="dxa"/>
            </w:tcMar>
            <w:vAlign w:val="top"/>
          </w:tcPr>
          <w:p>
            <w:pPr>
              <w:spacing w:after="40" w:line="276" w:lineRule="auto"/>
            </w:pPr>
            <w:r>
              <w:rPr>
                <w:rFonts w:ascii="Calibri" w:hAnsi="Calibri"/>
                <w:sz w:val="18"/>
              </w:rPr>
              <w:t>Install Apache and modules: sudo apt install apache2 &amp;&amp; sudo a2enmod proxy proxy_http headers ssl rewrite</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3</w:t>
            </w:r>
          </w:p>
        </w:tc>
        <w:tc>
          <w:tcPr>
            <w:tcW w:type="dxa" w:w="8460"/>
            <w:tcMar>
              <w:top w:w="80" w:type="dxa"/>
              <w:start w:w="120" w:type="dxa"/>
              <w:bottom w:w="80" w:type="dxa"/>
              <w:end w:w="120" w:type="dxa"/>
            </w:tcMar>
            <w:vAlign w:val="top"/>
          </w:tcPr>
          <w:p>
            <w:pPr>
              <w:spacing w:after="40" w:line="276" w:lineRule="auto"/>
            </w:pPr>
            <w:r>
              <w:rPr>
                <w:rFonts w:ascii="Calibri" w:hAnsi="Calibri"/>
                <w:sz w:val="18"/>
              </w:rPr>
              <w:t>Copy deployment/apache/astorasoc.conf to /etc/apache2/sites-available/astorasoc.conf.</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4</w:t>
            </w:r>
          </w:p>
        </w:tc>
        <w:tc>
          <w:tcPr>
            <w:tcW w:type="dxa" w:w="8460"/>
            <w:tcMar>
              <w:top w:w="80" w:type="dxa"/>
              <w:start w:w="120" w:type="dxa"/>
              <w:bottom w:w="80" w:type="dxa"/>
              <w:end w:w="120" w:type="dxa"/>
            </w:tcMar>
            <w:vAlign w:val="top"/>
          </w:tcPr>
          <w:p>
            <w:pPr>
              <w:spacing w:after="40" w:line="276" w:lineRule="auto"/>
            </w:pPr>
            <w:r>
              <w:rPr>
                <w:rFonts w:ascii="Calibri" w:hAnsi="Calibri"/>
                <w:sz w:val="18"/>
              </w:rPr>
              <w:t>Enable site: sudo a2ensite astorasoc.conf &amp;&amp; sudo apachectl configtest &amp;&amp; sudo systemctl reload apache2</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5</w:t>
            </w:r>
          </w:p>
        </w:tc>
        <w:tc>
          <w:tcPr>
            <w:tcW w:type="dxa" w:w="8460"/>
            <w:tcMar>
              <w:top w:w="80" w:type="dxa"/>
              <w:start w:w="120" w:type="dxa"/>
              <w:bottom w:w="80" w:type="dxa"/>
              <w:end w:w="120" w:type="dxa"/>
            </w:tcMar>
            <w:vAlign w:val="top"/>
          </w:tcPr>
          <w:p>
            <w:pPr>
              <w:spacing w:after="40" w:line="276" w:lineRule="auto"/>
            </w:pPr>
            <w:r>
              <w:rPr>
                <w:rFonts w:ascii="Calibri" w:hAnsi="Calibri"/>
                <w:sz w:val="18"/>
              </w:rPr>
              <w:t>Allow firewall ports 80/tcp and 443/tcp.</w:t>
            </w:r>
          </w:p>
        </w:tc>
      </w:tr>
      <w:tr>
        <w:tc>
          <w:tcPr>
            <w:tcW w:type="dxa" w:w="900"/>
            <w:tcMar>
              <w:top w:w="80" w:type="dxa"/>
              <w:start w:w="120" w:type="dxa"/>
              <w:bottom w:w="80" w:type="dxa"/>
              <w:end w:w="120" w:type="dxa"/>
            </w:tcMar>
            <w:vAlign w:val="top"/>
          </w:tcPr>
          <w:p>
            <w:pPr>
              <w:spacing w:after="40" w:line="276" w:lineRule="auto"/>
            </w:pPr>
            <w:r>
              <w:rPr>
                <w:rFonts w:ascii="Calibri" w:hAnsi="Calibri"/>
                <w:sz w:val="18"/>
              </w:rPr>
              <w:t>6</w:t>
            </w:r>
          </w:p>
        </w:tc>
        <w:tc>
          <w:tcPr>
            <w:tcW w:type="dxa" w:w="8460"/>
            <w:tcMar>
              <w:top w:w="80" w:type="dxa"/>
              <w:start w:w="120" w:type="dxa"/>
              <w:bottom w:w="80" w:type="dxa"/>
              <w:end w:w="120" w:type="dxa"/>
            </w:tcMar>
            <w:vAlign w:val="top"/>
          </w:tcPr>
          <w:p>
            <w:pPr>
              <w:spacing w:after="40" w:line="276" w:lineRule="auto"/>
            </w:pPr>
            <w:r>
              <w:rPr>
                <w:rFonts w:ascii="Calibri" w:hAnsi="Calibri"/>
                <w:sz w:val="18"/>
              </w:rPr>
              <w:t>For HTTPS production deployments, enable TLS certificates and set SESSION_COOKIE_SECURE=true and TRUST_PROXY_HEADERS=true.</w:t>
            </w:r>
          </w:p>
        </w:tc>
      </w:tr>
    </w:tbl>
    <w:p>
      <w:pPr>
        <w:pStyle w:val="Heading2"/>
      </w:pPr>
      <w:r>
        <w:t>Linux Host Proxy without Nginx or Apache</w:t>
      </w:r>
    </w:p>
    <w:p>
      <w:r>
        <w:t>For lab or temporary Linux deployments without Apache/Nginx, the lightweight Python proxy can listen on 0.0.0.0:5000 and forward to the private Docker backend on 127.0.0.1:5001. For production, Apache, Nginx, Traefik, or Cloudflare Tunnel is preferred.</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7560"/>
      </w:tblGrid>
      <w:tr>
        <w:tc>
          <w:tcPr>
            <w:tcW w:type="dxa" w:w="1800"/>
            <w:shd w:fill="E8EEF5"/>
            <w:tcMar>
              <w:top w:w="80" w:type="dxa"/>
              <w:start w:w="120" w:type="dxa"/>
              <w:bottom w:w="80" w:type="dxa"/>
              <w:end w:w="120" w:type="dxa"/>
            </w:tcMar>
            <w:vAlign w:val="top"/>
          </w:tcPr>
          <w:p>
            <w:pPr>
              <w:spacing w:after="40" w:line="276" w:lineRule="auto"/>
            </w:pPr>
            <w:r>
              <w:rPr>
                <w:rFonts w:ascii="Calibri" w:hAnsi="Calibri"/>
                <w:b/>
                <w:color w:val="102027"/>
                <w:sz w:val="18"/>
              </w:rPr>
              <w:t>Use Case</w:t>
            </w:r>
          </w:p>
        </w:tc>
        <w:tc>
          <w:tcPr>
            <w:tcW w:type="dxa" w:w="7560"/>
            <w:shd w:fill="E8EEF5"/>
            <w:tcMar>
              <w:top w:w="80" w:type="dxa"/>
              <w:start w:w="120" w:type="dxa"/>
              <w:bottom w:w="80" w:type="dxa"/>
              <w:end w:w="120" w:type="dxa"/>
            </w:tcMar>
            <w:vAlign w:val="top"/>
          </w:tcPr>
          <w:p>
            <w:pPr>
              <w:spacing w:after="40" w:line="276" w:lineRule="auto"/>
            </w:pPr>
            <w:r>
              <w:rPr>
                <w:rFonts w:ascii="Calibri" w:hAnsi="Calibri"/>
                <w:b/>
                <w:color w:val="102027"/>
                <w:sz w:val="18"/>
              </w:rPr>
              <w:t>Command / Guidance</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Start proxy</w:t>
            </w:r>
          </w:p>
        </w:tc>
        <w:tc>
          <w:tcPr>
            <w:tcW w:type="dxa" w:w="7560"/>
            <w:tcMar>
              <w:top w:w="80" w:type="dxa"/>
              <w:start w:w="120" w:type="dxa"/>
              <w:bottom w:w="80" w:type="dxa"/>
              <w:end w:w="120" w:type="dxa"/>
            </w:tcMar>
            <w:vAlign w:val="top"/>
          </w:tcPr>
          <w:p>
            <w:pPr>
              <w:spacing w:after="40" w:line="276" w:lineRule="auto"/>
            </w:pPr>
            <w:r>
              <w:rPr>
                <w:rFonts w:ascii="Calibri" w:hAnsi="Calibri"/>
                <w:sz w:val="18"/>
              </w:rPr>
              <w:t>python3 deployment/host_proxy/astorasoc_proxy.py --listen-host 0.0.0.0 --listen-port 5000 --backend-host 127.0.0.1 --backend-port 5001</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Persist process</w:t>
            </w:r>
          </w:p>
        </w:tc>
        <w:tc>
          <w:tcPr>
            <w:tcW w:type="dxa" w:w="7560"/>
            <w:tcMar>
              <w:top w:w="80" w:type="dxa"/>
              <w:start w:w="120" w:type="dxa"/>
              <w:bottom w:w="80" w:type="dxa"/>
              <w:end w:w="120" w:type="dxa"/>
            </w:tcMar>
            <w:vAlign w:val="top"/>
          </w:tcPr>
          <w:p>
            <w:pPr>
              <w:spacing w:after="40" w:line="276" w:lineRule="auto"/>
            </w:pPr>
            <w:r>
              <w:rPr>
                <w:rFonts w:ascii="Calibri" w:hAnsi="Calibri"/>
                <w:sz w:val="18"/>
              </w:rPr>
              <w:t>Run through systemd, tmux, screen, or a process supervisor.</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Firewall</w:t>
            </w:r>
          </w:p>
        </w:tc>
        <w:tc>
          <w:tcPr>
            <w:tcW w:type="dxa" w:w="7560"/>
            <w:tcMar>
              <w:top w:w="80" w:type="dxa"/>
              <w:start w:w="120" w:type="dxa"/>
              <w:bottom w:w="80" w:type="dxa"/>
              <w:end w:w="120" w:type="dxa"/>
            </w:tcMar>
            <w:vAlign w:val="top"/>
          </w:tcPr>
          <w:p>
            <w:pPr>
              <w:spacing w:after="40" w:line="276" w:lineRule="auto"/>
            </w:pPr>
            <w:r>
              <w:rPr>
                <w:rFonts w:ascii="Calibri" w:hAnsi="Calibri"/>
                <w:sz w:val="18"/>
              </w:rPr>
              <w:t>Allow TCP 5000 from trusted networks only.</w:t>
            </w:r>
          </w:p>
        </w:tc>
      </w:tr>
    </w:tbl>
    <w:p>
      <w:pPr>
        <w:pStyle w:val="Heading2"/>
      </w:pPr>
      <w:r>
        <w:t>Reverse Proxy Header Compatibility</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3900"/>
        <w:gridCol w:w="3660"/>
      </w:tblGrid>
      <w:tr>
        <w:tc>
          <w:tcPr>
            <w:tcW w:type="dxa" w:w="1800"/>
            <w:shd w:fill="E8EEF5"/>
            <w:tcMar>
              <w:top w:w="80" w:type="dxa"/>
              <w:start w:w="120" w:type="dxa"/>
              <w:bottom w:w="80" w:type="dxa"/>
              <w:end w:w="120" w:type="dxa"/>
            </w:tcMar>
            <w:vAlign w:val="top"/>
          </w:tcPr>
          <w:p>
            <w:pPr>
              <w:spacing w:after="40" w:line="276" w:lineRule="auto"/>
            </w:pPr>
            <w:r>
              <w:rPr>
                <w:rFonts w:ascii="Calibri" w:hAnsi="Calibri"/>
                <w:b/>
                <w:color w:val="102027"/>
                <w:sz w:val="18"/>
              </w:rPr>
              <w:t>Deployment</w:t>
            </w:r>
          </w:p>
        </w:tc>
        <w:tc>
          <w:tcPr>
            <w:tcW w:type="dxa" w:w="3900"/>
            <w:shd w:fill="E8EEF5"/>
            <w:tcMar>
              <w:top w:w="80" w:type="dxa"/>
              <w:start w:w="120" w:type="dxa"/>
              <w:bottom w:w="80" w:type="dxa"/>
              <w:end w:w="120" w:type="dxa"/>
            </w:tcMar>
            <w:vAlign w:val="top"/>
          </w:tcPr>
          <w:p>
            <w:pPr>
              <w:spacing w:after="40" w:line="276" w:lineRule="auto"/>
            </w:pPr>
            <w:r>
              <w:rPr>
                <w:rFonts w:ascii="Calibri" w:hAnsi="Calibri"/>
                <w:b/>
                <w:color w:val="102027"/>
                <w:sz w:val="18"/>
              </w:rPr>
              <w:t>Required / Supported Headers</w:t>
            </w:r>
          </w:p>
        </w:tc>
        <w:tc>
          <w:tcPr>
            <w:tcW w:type="dxa" w:w="3660"/>
            <w:shd w:fill="E8EEF5"/>
            <w:tcMar>
              <w:top w:w="80" w:type="dxa"/>
              <w:start w:w="120" w:type="dxa"/>
              <w:bottom w:w="80" w:type="dxa"/>
              <w:end w:w="120" w:type="dxa"/>
            </w:tcMar>
            <w:vAlign w:val="top"/>
          </w:tcPr>
          <w:p>
            <w:pPr>
              <w:spacing w:after="40" w:line="276" w:lineRule="auto"/>
            </w:pPr>
            <w:r>
              <w:rPr>
                <w:rFonts w:ascii="Calibri" w:hAnsi="Calibri"/>
                <w:b/>
                <w:color w:val="102027"/>
                <w:sz w:val="18"/>
              </w:rPr>
              <w:t>Notes</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Windows host proxy</w:t>
            </w:r>
          </w:p>
        </w:tc>
        <w:tc>
          <w:tcPr>
            <w:tcW w:type="dxa" w:w="3900"/>
            <w:tcMar>
              <w:top w:w="80" w:type="dxa"/>
              <w:start w:w="120" w:type="dxa"/>
              <w:bottom w:w="80" w:type="dxa"/>
              <w:end w:w="120" w:type="dxa"/>
            </w:tcMar>
            <w:vAlign w:val="top"/>
          </w:tcPr>
          <w:p>
            <w:pPr>
              <w:spacing w:after="40" w:line="276" w:lineRule="auto"/>
            </w:pPr>
            <w:r>
              <w:rPr>
                <w:rFonts w:ascii="Calibri" w:hAnsi="Calibri"/>
                <w:sz w:val="18"/>
              </w:rPr>
              <w:t>X-Forwarded-For, X-Real-IP, X-Forwarded-Proto, X-Forwarded-Host</w:t>
            </w:r>
          </w:p>
        </w:tc>
        <w:tc>
          <w:tcPr>
            <w:tcW w:type="dxa" w:w="3660"/>
            <w:tcMar>
              <w:top w:w="80" w:type="dxa"/>
              <w:start w:w="120" w:type="dxa"/>
              <w:bottom w:w="80" w:type="dxa"/>
              <w:end w:w="120" w:type="dxa"/>
            </w:tcMar>
            <w:vAlign w:val="top"/>
          </w:tcPr>
          <w:p>
            <w:pPr>
              <w:spacing w:after="40" w:line="276" w:lineRule="auto"/>
            </w:pPr>
            <w:r>
              <w:rPr>
                <w:rFonts w:ascii="Calibri" w:hAnsi="Calibri"/>
                <w:sz w:val="18"/>
              </w:rPr>
              <w:t>Recommended for Docker Desktop LAN sharing when no enterprise proxy is present.</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Nginx</w:t>
            </w:r>
          </w:p>
        </w:tc>
        <w:tc>
          <w:tcPr>
            <w:tcW w:type="dxa" w:w="3900"/>
            <w:tcMar>
              <w:top w:w="80" w:type="dxa"/>
              <w:start w:w="120" w:type="dxa"/>
              <w:bottom w:w="80" w:type="dxa"/>
              <w:end w:w="120" w:type="dxa"/>
            </w:tcMar>
            <w:vAlign w:val="top"/>
          </w:tcPr>
          <w:p>
            <w:pPr>
              <w:spacing w:after="40" w:line="276" w:lineRule="auto"/>
            </w:pPr>
            <w:r>
              <w:rPr>
                <w:rFonts w:ascii="Calibri" w:hAnsi="Calibri"/>
                <w:sz w:val="18"/>
              </w:rPr>
              <w:t>X-Forwarded-For, X-Real-IP, X-Forwarded-Proto, X-Forwarded-Host, X-Forwarded-Port</w:t>
            </w:r>
          </w:p>
        </w:tc>
        <w:tc>
          <w:tcPr>
            <w:tcW w:type="dxa" w:w="3660"/>
            <w:tcMar>
              <w:top w:w="80" w:type="dxa"/>
              <w:start w:w="120" w:type="dxa"/>
              <w:bottom w:w="80" w:type="dxa"/>
              <w:end w:w="120" w:type="dxa"/>
            </w:tcMar>
            <w:vAlign w:val="top"/>
          </w:tcPr>
          <w:p>
            <w:pPr>
              <w:spacing w:after="40" w:line="276" w:lineRule="auto"/>
            </w:pPr>
            <w:r>
              <w:rPr>
                <w:rFonts w:ascii="Calibri" w:hAnsi="Calibri"/>
                <w:sz w:val="18"/>
              </w:rPr>
              <w:t>Use the provided deployment/nginx/astorasoc.conf sample.</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Apache</w:t>
            </w:r>
          </w:p>
        </w:tc>
        <w:tc>
          <w:tcPr>
            <w:tcW w:type="dxa" w:w="3900"/>
            <w:tcMar>
              <w:top w:w="80" w:type="dxa"/>
              <w:start w:w="120" w:type="dxa"/>
              <w:bottom w:w="80" w:type="dxa"/>
              <w:end w:w="120" w:type="dxa"/>
            </w:tcMar>
            <w:vAlign w:val="top"/>
          </w:tcPr>
          <w:p>
            <w:pPr>
              <w:spacing w:after="40" w:line="276" w:lineRule="auto"/>
            </w:pPr>
            <w:r>
              <w:rPr>
                <w:rFonts w:ascii="Calibri" w:hAnsi="Calibri"/>
                <w:sz w:val="18"/>
              </w:rPr>
              <w:t>X-Forwarded-For, X-Real-IP, X-Forwarded-Proto, X-Forwarded-Host, X-Forwarded-Port</w:t>
            </w:r>
          </w:p>
        </w:tc>
        <w:tc>
          <w:tcPr>
            <w:tcW w:type="dxa" w:w="3660"/>
            <w:tcMar>
              <w:top w:w="80" w:type="dxa"/>
              <w:start w:w="120" w:type="dxa"/>
              <w:bottom w:w="80" w:type="dxa"/>
              <w:end w:w="120" w:type="dxa"/>
            </w:tcMar>
            <w:vAlign w:val="top"/>
          </w:tcPr>
          <w:p>
            <w:pPr>
              <w:spacing w:after="40" w:line="276" w:lineRule="auto"/>
            </w:pPr>
            <w:r>
              <w:rPr>
                <w:rFonts w:ascii="Calibri" w:hAnsi="Calibri"/>
                <w:sz w:val="18"/>
              </w:rPr>
              <w:t>Use the provided deployment/apache/astorasoc.conf sample.</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Traefik</w:t>
            </w:r>
          </w:p>
        </w:tc>
        <w:tc>
          <w:tcPr>
            <w:tcW w:type="dxa" w:w="3900"/>
            <w:tcMar>
              <w:top w:w="80" w:type="dxa"/>
              <w:start w:w="120" w:type="dxa"/>
              <w:bottom w:w="80" w:type="dxa"/>
              <w:end w:w="120" w:type="dxa"/>
            </w:tcMar>
            <w:vAlign w:val="top"/>
          </w:tcPr>
          <w:p>
            <w:pPr>
              <w:spacing w:after="40" w:line="276" w:lineRule="auto"/>
            </w:pPr>
            <w:r>
              <w:rPr>
                <w:rFonts w:ascii="Calibri" w:hAnsi="Calibri"/>
                <w:sz w:val="18"/>
              </w:rPr>
              <w:t>X-Forwarded-For, X-Forwarded-Proto, X-Forwarded-Host</w:t>
            </w:r>
          </w:p>
        </w:tc>
        <w:tc>
          <w:tcPr>
            <w:tcW w:type="dxa" w:w="3660"/>
            <w:tcMar>
              <w:top w:w="80" w:type="dxa"/>
              <w:start w:w="120" w:type="dxa"/>
              <w:bottom w:w="80" w:type="dxa"/>
              <w:end w:w="120" w:type="dxa"/>
            </w:tcMar>
            <w:vAlign w:val="top"/>
          </w:tcPr>
          <w:p>
            <w:pPr>
              <w:spacing w:after="40" w:line="276" w:lineRule="auto"/>
            </w:pPr>
            <w:r>
              <w:rPr>
                <w:rFonts w:ascii="Calibri" w:hAnsi="Calibri"/>
                <w:sz w:val="18"/>
              </w:rPr>
              <w:t>Usually added automatically by Traefik routers.</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Cloudflare</w:t>
            </w:r>
          </w:p>
        </w:tc>
        <w:tc>
          <w:tcPr>
            <w:tcW w:type="dxa" w:w="3900"/>
            <w:tcMar>
              <w:top w:w="80" w:type="dxa"/>
              <w:start w:w="120" w:type="dxa"/>
              <w:bottom w:w="80" w:type="dxa"/>
              <w:end w:w="120" w:type="dxa"/>
            </w:tcMar>
            <w:vAlign w:val="top"/>
          </w:tcPr>
          <w:p>
            <w:pPr>
              <w:spacing w:after="40" w:line="276" w:lineRule="auto"/>
            </w:pPr>
            <w:r>
              <w:rPr>
                <w:rFonts w:ascii="Calibri" w:hAnsi="Calibri"/>
                <w:sz w:val="18"/>
              </w:rPr>
              <w:t>CF-Connecting-IP</w:t>
            </w:r>
          </w:p>
        </w:tc>
        <w:tc>
          <w:tcPr>
            <w:tcW w:type="dxa" w:w="3660"/>
            <w:tcMar>
              <w:top w:w="80" w:type="dxa"/>
              <w:start w:w="120" w:type="dxa"/>
              <w:bottom w:w="80" w:type="dxa"/>
              <w:end w:w="120" w:type="dxa"/>
            </w:tcMar>
            <w:vAlign w:val="top"/>
          </w:tcPr>
          <w:p>
            <w:pPr>
              <w:spacing w:after="40" w:line="276" w:lineRule="auto"/>
            </w:pPr>
            <w:r>
              <w:rPr>
                <w:rFonts w:ascii="Calibri" w:hAnsi="Calibri"/>
                <w:sz w:val="18"/>
              </w:rPr>
              <w:t>AstoraSOC gives this header highest priority.</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Generic proxy</w:t>
            </w:r>
          </w:p>
        </w:tc>
        <w:tc>
          <w:tcPr>
            <w:tcW w:type="dxa" w:w="3900"/>
            <w:tcMar>
              <w:top w:w="80" w:type="dxa"/>
              <w:start w:w="120" w:type="dxa"/>
              <w:bottom w:w="80" w:type="dxa"/>
              <w:end w:w="120" w:type="dxa"/>
            </w:tcMar>
            <w:vAlign w:val="top"/>
          </w:tcPr>
          <w:p>
            <w:pPr>
              <w:spacing w:after="40" w:line="276" w:lineRule="auto"/>
            </w:pPr>
            <w:r>
              <w:rPr>
                <w:rFonts w:ascii="Calibri" w:hAnsi="Calibri"/>
                <w:sz w:val="18"/>
              </w:rPr>
              <w:t>Forwarded, X-Client-IP, X-Cluster-Client-IP, True-Client-IP</w:t>
            </w:r>
          </w:p>
        </w:tc>
        <w:tc>
          <w:tcPr>
            <w:tcW w:type="dxa" w:w="3660"/>
            <w:tcMar>
              <w:top w:w="80" w:type="dxa"/>
              <w:start w:w="120" w:type="dxa"/>
              <w:bottom w:w="80" w:type="dxa"/>
              <w:end w:w="120" w:type="dxa"/>
            </w:tcMar>
            <w:vAlign w:val="top"/>
          </w:tcPr>
          <w:p>
            <w:pPr>
              <w:spacing w:after="40" w:line="276" w:lineRule="auto"/>
            </w:pPr>
            <w:r>
              <w:rPr>
                <w:rFonts w:ascii="Calibri" w:hAnsi="Calibri"/>
                <w:sz w:val="18"/>
              </w:rPr>
              <w:t>AstoraSOC parses common provider and proxy variants.</w:t>
            </w:r>
          </w:p>
        </w:tc>
      </w:tr>
    </w:tbl>
    <w:p>
      <w:pPr>
        <w:pStyle w:val="Heading2"/>
      </w:pPr>
      <w:r>
        <w:t>Real IP Troubleshooting</w:t>
      </w:r>
    </w:p>
    <w:p>
      <w:pPr>
        <w:pStyle w:val="ListBullet"/>
      </w:pPr>
      <w:r>
        <w:t>If Audit Logs show 'Real IP unavailable - configure proxy headers', AstoraSOC did not receive a usable real-client IP header.</w:t>
      </w:r>
    </w:p>
    <w:p>
      <w:pPr>
        <w:pStyle w:val="ListBullet"/>
      </w:pPr>
      <w:r>
        <w:t>Confirm users connect to the proxy entrypoint on port 5000, not directly to the Docker backend.</w:t>
      </w:r>
    </w:p>
    <w:p>
      <w:pPr>
        <w:pStyle w:val="ListBullet"/>
      </w:pPr>
      <w:r>
        <w:t>For proxy deployments, confirm Docker Compose exposes the web container on 127.0.0.1:5001 rather than public 5000.</w:t>
      </w:r>
    </w:p>
    <w:p>
      <w:pPr>
        <w:pStyle w:val="ListBullet"/>
      </w:pPr>
      <w:r>
        <w:t>For Docker-only deployments, real IP logging may depend on Docker network mode and host firewall behavior.</w:t>
      </w:r>
    </w:p>
    <w:p>
      <w:pPr>
        <w:pStyle w:val="ListBullet"/>
      </w:pPr>
      <w:r>
        <w:t>Confirm Windows Firewall or Linux firewall allows the public proxy port.</w:t>
      </w:r>
    </w:p>
    <w:p>
      <w:pPr>
        <w:pStyle w:val="ListBullet"/>
      </w:pPr>
      <w:r>
        <w:t>Confirm TRUST_PROXY_HEADERS=true and that the proxy sends X-Forwarded-For or X-Real-IP.</w:t>
      </w:r>
    </w:p>
    <w:p>
      <w:pPr>
        <w:pStyle w:val="ListBullet"/>
      </w:pPr>
      <w:r>
        <w:t>Old Audit Log records are not rewritten; verify with a new login after proxy changes.</w:t>
      </w:r>
    </w:p>
    <w:p>
      <w:pPr>
        <w:pStyle w:val="Heading2"/>
      </w:pPr>
      <w:r>
        <w:t>Default Login</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7560"/>
      </w:tblGrid>
      <w:tr>
        <w:tc>
          <w:tcPr>
            <w:tcW w:type="dxa" w:w="1800"/>
            <w:shd w:fill="E8EEF5"/>
            <w:tcMar>
              <w:top w:w="80" w:type="dxa"/>
              <w:start w:w="120" w:type="dxa"/>
              <w:bottom w:w="80" w:type="dxa"/>
              <w:end w:w="120" w:type="dxa"/>
            </w:tcMar>
            <w:vAlign w:val="top"/>
          </w:tcPr>
          <w:p>
            <w:pPr>
              <w:spacing w:after="40" w:line="276" w:lineRule="auto"/>
            </w:pPr>
            <w:r>
              <w:rPr>
                <w:rFonts w:ascii="Calibri" w:hAnsi="Calibri"/>
                <w:b/>
                <w:color w:val="102027"/>
                <w:sz w:val="18"/>
              </w:rPr>
              <w:t>Field</w:t>
            </w:r>
          </w:p>
        </w:tc>
        <w:tc>
          <w:tcPr>
            <w:tcW w:type="dxa" w:w="7560"/>
            <w:shd w:fill="E8EEF5"/>
            <w:tcMar>
              <w:top w:w="80" w:type="dxa"/>
              <w:start w:w="120" w:type="dxa"/>
              <w:bottom w:w="80" w:type="dxa"/>
              <w:end w:w="120" w:type="dxa"/>
            </w:tcMar>
            <w:vAlign w:val="top"/>
          </w:tcPr>
          <w:p>
            <w:pPr>
              <w:spacing w:after="40" w:line="276" w:lineRule="auto"/>
            </w:pPr>
            <w:r>
              <w:rPr>
                <w:rFonts w:ascii="Calibri" w:hAnsi="Calibri"/>
                <w:b/>
                <w:color w:val="102027"/>
                <w:sz w:val="18"/>
              </w:rPr>
              <w:t>Value</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Username</w:t>
            </w:r>
          </w:p>
        </w:tc>
        <w:tc>
          <w:tcPr>
            <w:tcW w:type="dxa" w:w="7560"/>
            <w:tcMar>
              <w:top w:w="80" w:type="dxa"/>
              <w:start w:w="120" w:type="dxa"/>
              <w:bottom w:w="80" w:type="dxa"/>
              <w:end w:w="120" w:type="dxa"/>
            </w:tcMar>
            <w:vAlign w:val="top"/>
          </w:tcPr>
          <w:p>
            <w:pPr>
              <w:spacing w:after="40" w:line="276" w:lineRule="auto"/>
            </w:pPr>
            <w:r>
              <w:rPr>
                <w:rFonts w:ascii="Calibri" w:hAnsi="Calibri"/>
                <w:sz w:val="18"/>
              </w:rPr>
              <w:t>admin</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Password</w:t>
            </w:r>
          </w:p>
        </w:tc>
        <w:tc>
          <w:tcPr>
            <w:tcW w:type="dxa" w:w="7560"/>
            <w:tcMar>
              <w:top w:w="80" w:type="dxa"/>
              <w:start w:w="120" w:type="dxa"/>
              <w:bottom w:w="80" w:type="dxa"/>
              <w:end w:w="120" w:type="dxa"/>
            </w:tcMar>
            <w:vAlign w:val="top"/>
          </w:tcPr>
          <w:p>
            <w:pPr>
              <w:spacing w:after="40" w:line="276" w:lineRule="auto"/>
            </w:pPr>
            <w:r>
              <w:rPr>
                <w:rFonts w:ascii="Calibri" w:hAnsi="Calibri"/>
                <w:sz w:val="18"/>
              </w:rPr>
              <w:t>ChangeMeNow123!</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First Login</w:t>
            </w:r>
          </w:p>
        </w:tc>
        <w:tc>
          <w:tcPr>
            <w:tcW w:type="dxa" w:w="7560"/>
            <w:tcMar>
              <w:top w:w="80" w:type="dxa"/>
              <w:start w:w="120" w:type="dxa"/>
              <w:bottom w:w="80" w:type="dxa"/>
              <w:end w:w="120" w:type="dxa"/>
            </w:tcMar>
            <w:vAlign w:val="top"/>
          </w:tcPr>
          <w:p>
            <w:pPr>
              <w:spacing w:after="40" w:line="276" w:lineRule="auto"/>
            </w:pPr>
            <w:r>
              <w:rPr>
                <w:rFonts w:ascii="Calibri" w:hAnsi="Calibri"/>
                <w:sz w:val="18"/>
              </w:rPr>
              <w:t>Default admin is forced to change password after first login.</w:t>
            </w:r>
          </w:p>
        </w:tc>
      </w:tr>
    </w:tbl>
    <w:p>
      <w:pPr>
        <w:pStyle w:val="Heading2"/>
      </w:pPr>
      <w:r>
        <w:t>Update and Maintenance Workflow</w:t>
      </w:r>
    </w:p>
    <w:p>
      <w:pPr>
        <w:pStyle w:val="ListNumber"/>
      </w:pPr>
      <w:r>
        <w:t>Use Admin Settings -&gt; Update System for backup-first update checks.</w:t>
      </w:r>
    </w:p>
    <w:p>
      <w:pPr>
        <w:pStyle w:val="ListNumber"/>
      </w:pPr>
      <w:r>
        <w:t>AstoraSOC creates a backup of database data, uploads, evidence files, and system settings before update actions.</w:t>
      </w:r>
    </w:p>
    <w:p>
      <w:pPr>
        <w:pStyle w:val="ListNumber"/>
      </w:pPr>
      <w:r>
        <w:t>For Docker deployments, update commands may need to be executed from the host so containers can be rebuilt and restarted safely.</w:t>
      </w:r>
    </w:p>
    <w:p>
      <w:pPr>
        <w:pStyle w:val="ListNumber"/>
      </w:pPr>
      <w:r>
        <w:t>Run database migrations after updating: docker compose exec web flask --app run.py db upgrade or docker compose exec web flask --app run.py upgrade-db.</w:t>
      </w:r>
    </w:p>
    <w:p>
      <w:pPr>
        <w:pStyle w:val="ListNumber"/>
      </w:pPr>
      <w:r>
        <w:t>Run docker compose ps and verify the web service is reachable through the public proxy entrypoint.</w:t>
      </w:r>
    </w:p>
    <w:p>
      <w:pPr>
        <w:pStyle w:val="Heading2"/>
      </w:pPr>
      <w:r>
        <w:t>Backup Scope</w:t>
      </w:r>
    </w:p>
    <w:p>
      <w:pPr>
        <w:pStyle w:val="ListBullet"/>
      </w:pPr>
      <w:r>
        <w:t>Database volume and SQLAlchemy application data.</w:t>
      </w:r>
    </w:p>
    <w:p>
      <w:pPr>
        <w:pStyle w:val="ListBullet"/>
      </w:pPr>
      <w:r>
        <w:t>Uploads volume, including evidence, report templates, profile images, and media.</w:t>
      </w:r>
    </w:p>
    <w:p>
      <w:pPr>
        <w:pStyle w:val="ListBullet"/>
      </w:pPr>
      <w:r>
        <w:t>System settings stored in the application settings table.</w:t>
      </w:r>
    </w:p>
    <w:p>
      <w:pPr>
        <w:pStyle w:val="ListBullet"/>
      </w:pPr>
      <w:r>
        <w:t>.env should be backed up separately into a secure secrets vault and never exposed in logs or screenshots.</w:t>
      </w:r>
    </w:p>
    <w:p>
      <w:pPr>
        <w:pStyle w:val="ListBullet"/>
      </w:pPr>
      <w:r>
        <w:t>Update operations must stop if backup verification fails.</w:t>
      </w:r>
    </w:p>
    <w:p>
      <w:pPr>
        <w:pStyle w:val="Heading2"/>
      </w:pPr>
      <w:r>
        <w:t>Deployment Files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00"/>
        <w:gridCol w:w="6260"/>
      </w:tblGrid>
      <w:tr>
        <w:tc>
          <w:tcPr>
            <w:tcW w:type="dxa" w:w="3100"/>
            <w:shd w:fill="E8EEF5"/>
            <w:tcMar>
              <w:top w:w="80" w:type="dxa"/>
              <w:start w:w="120" w:type="dxa"/>
              <w:bottom w:w="80" w:type="dxa"/>
              <w:end w:w="120" w:type="dxa"/>
            </w:tcMar>
            <w:vAlign w:val="top"/>
          </w:tcPr>
          <w:p>
            <w:pPr>
              <w:spacing w:after="40" w:line="276" w:lineRule="auto"/>
            </w:pPr>
            <w:r>
              <w:rPr>
                <w:rFonts w:ascii="Calibri" w:hAnsi="Calibri"/>
                <w:b/>
                <w:color w:val="102027"/>
                <w:sz w:val="18"/>
              </w:rPr>
              <w:t>Path</w:t>
            </w:r>
          </w:p>
        </w:tc>
        <w:tc>
          <w:tcPr>
            <w:tcW w:type="dxa" w:w="6260"/>
            <w:shd w:fill="E8EEF5"/>
            <w:tcMar>
              <w:top w:w="80" w:type="dxa"/>
              <w:start w:w="120" w:type="dxa"/>
              <w:bottom w:w="80" w:type="dxa"/>
              <w:end w:w="120" w:type="dxa"/>
            </w:tcMar>
            <w:vAlign w:val="top"/>
          </w:tcPr>
          <w:p>
            <w:pPr>
              <w:spacing w:after="40" w:line="276" w:lineRule="auto"/>
            </w:pPr>
            <w:r>
              <w:rPr>
                <w:rFonts w:ascii="Calibri" w:hAnsi="Calibri"/>
                <w:b/>
                <w:color w:val="102027"/>
                <w:sz w:val="18"/>
              </w:rPr>
              <w:t>Purpose</w:t>
            </w:r>
          </w:p>
        </w:tc>
      </w:tr>
      <w:tr>
        <w:tc>
          <w:tcPr>
            <w:tcW w:type="dxa" w:w="3100"/>
            <w:tcMar>
              <w:top w:w="80" w:type="dxa"/>
              <w:start w:w="120" w:type="dxa"/>
              <w:bottom w:w="80" w:type="dxa"/>
              <w:end w:w="120" w:type="dxa"/>
            </w:tcMar>
            <w:vAlign w:val="top"/>
          </w:tcPr>
          <w:p>
            <w:pPr>
              <w:spacing w:after="40" w:line="276" w:lineRule="auto"/>
            </w:pPr>
            <w:r>
              <w:rPr>
                <w:rFonts w:ascii="Calibri" w:hAnsi="Calibri"/>
                <w:sz w:val="18"/>
              </w:rPr>
              <w:t>docker-compose.yml</w:t>
            </w:r>
          </w:p>
        </w:tc>
        <w:tc>
          <w:tcPr>
            <w:tcW w:type="dxa" w:w="6260"/>
            <w:tcMar>
              <w:top w:w="80" w:type="dxa"/>
              <w:start w:w="120" w:type="dxa"/>
              <w:bottom w:w="80" w:type="dxa"/>
              <w:end w:w="120" w:type="dxa"/>
            </w:tcMar>
            <w:vAlign w:val="top"/>
          </w:tcPr>
          <w:p>
            <w:pPr>
              <w:spacing w:after="40" w:line="276" w:lineRule="auto"/>
            </w:pPr>
            <w:r>
              <w:rPr>
                <w:rFonts w:ascii="Calibri" w:hAnsi="Calibri"/>
                <w:sz w:val="18"/>
              </w:rPr>
              <w:t>Defines the web and database services. The recommended shared deployment maps 127.0.0.1:5001 to container port 5000.</w:t>
            </w:r>
          </w:p>
        </w:tc>
      </w:tr>
      <w:tr>
        <w:tc>
          <w:tcPr>
            <w:tcW w:type="dxa" w:w="3100"/>
            <w:tcMar>
              <w:top w:w="80" w:type="dxa"/>
              <w:start w:w="120" w:type="dxa"/>
              <w:bottom w:w="80" w:type="dxa"/>
              <w:end w:w="120" w:type="dxa"/>
            </w:tcMar>
            <w:vAlign w:val="top"/>
          </w:tcPr>
          <w:p>
            <w:pPr>
              <w:spacing w:after="40" w:line="276" w:lineRule="auto"/>
            </w:pPr>
            <w:r>
              <w:rPr>
                <w:rFonts w:ascii="Calibri" w:hAnsi="Calibri"/>
                <w:sz w:val="18"/>
              </w:rPr>
              <w:t>deployment/host_proxy/astorasoc_proxy.py</w:t>
            </w:r>
          </w:p>
        </w:tc>
        <w:tc>
          <w:tcPr>
            <w:tcW w:type="dxa" w:w="6260"/>
            <w:tcMar>
              <w:top w:w="80" w:type="dxa"/>
              <w:start w:w="120" w:type="dxa"/>
              <w:bottom w:w="80" w:type="dxa"/>
              <w:end w:w="120" w:type="dxa"/>
            </w:tcMar>
            <w:vAlign w:val="top"/>
          </w:tcPr>
          <w:p>
            <w:pPr>
              <w:spacing w:after="40" w:line="276" w:lineRule="auto"/>
            </w:pPr>
            <w:r>
              <w:rPr>
                <w:rFonts w:ascii="Calibri" w:hAnsi="Calibri"/>
                <w:sz w:val="18"/>
              </w:rPr>
              <w:t>Small Windows/Linux-compatible Python host proxy that forwards real client IP headers.</w:t>
            </w:r>
          </w:p>
        </w:tc>
      </w:tr>
      <w:tr>
        <w:tc>
          <w:tcPr>
            <w:tcW w:type="dxa" w:w="3100"/>
            <w:tcMar>
              <w:top w:w="80" w:type="dxa"/>
              <w:start w:w="120" w:type="dxa"/>
              <w:bottom w:w="80" w:type="dxa"/>
              <w:end w:w="120" w:type="dxa"/>
            </w:tcMar>
            <w:vAlign w:val="top"/>
          </w:tcPr>
          <w:p>
            <w:pPr>
              <w:spacing w:after="40" w:line="276" w:lineRule="auto"/>
            </w:pPr>
            <w:r>
              <w:rPr>
                <w:rFonts w:ascii="Calibri" w:hAnsi="Calibri"/>
                <w:sz w:val="18"/>
              </w:rPr>
              <w:t>deployment/host_proxy/start-astorasoc-proxy.ps1</w:t>
            </w:r>
          </w:p>
        </w:tc>
        <w:tc>
          <w:tcPr>
            <w:tcW w:type="dxa" w:w="6260"/>
            <w:tcMar>
              <w:top w:w="80" w:type="dxa"/>
              <w:start w:w="120" w:type="dxa"/>
              <w:bottom w:w="80" w:type="dxa"/>
              <w:end w:w="120" w:type="dxa"/>
            </w:tcMar>
            <w:vAlign w:val="top"/>
          </w:tcPr>
          <w:p>
            <w:pPr>
              <w:spacing w:after="40" w:line="276" w:lineRule="auto"/>
            </w:pPr>
            <w:r>
              <w:rPr>
                <w:rFonts w:ascii="Calibri" w:hAnsi="Calibri"/>
                <w:sz w:val="18"/>
              </w:rPr>
              <w:t>Windows helper script for starting the host proxy on port 5000.</w:t>
            </w:r>
          </w:p>
        </w:tc>
      </w:tr>
      <w:tr>
        <w:tc>
          <w:tcPr>
            <w:tcW w:type="dxa" w:w="3100"/>
            <w:tcMar>
              <w:top w:w="80" w:type="dxa"/>
              <w:start w:w="120" w:type="dxa"/>
              <w:bottom w:w="80" w:type="dxa"/>
              <w:end w:w="120" w:type="dxa"/>
            </w:tcMar>
            <w:vAlign w:val="top"/>
          </w:tcPr>
          <w:p>
            <w:pPr>
              <w:spacing w:after="40" w:line="276" w:lineRule="auto"/>
            </w:pPr>
            <w:r>
              <w:rPr>
                <w:rFonts w:ascii="Calibri" w:hAnsi="Calibri"/>
                <w:sz w:val="18"/>
              </w:rPr>
              <w:t>deployment/nginx/astorasoc.conf</w:t>
            </w:r>
          </w:p>
        </w:tc>
        <w:tc>
          <w:tcPr>
            <w:tcW w:type="dxa" w:w="6260"/>
            <w:tcMar>
              <w:top w:w="80" w:type="dxa"/>
              <w:start w:w="120" w:type="dxa"/>
              <w:bottom w:w="80" w:type="dxa"/>
              <w:end w:w="120" w:type="dxa"/>
            </w:tcMar>
            <w:vAlign w:val="top"/>
          </w:tcPr>
          <w:p>
            <w:pPr>
              <w:spacing w:after="40" w:line="276" w:lineRule="auto"/>
            </w:pPr>
            <w:r>
              <w:rPr>
                <w:rFonts w:ascii="Calibri" w:hAnsi="Calibri"/>
                <w:sz w:val="18"/>
              </w:rPr>
              <w:t>Nginx reverse proxy sample for Linux deployments.</w:t>
            </w:r>
          </w:p>
        </w:tc>
      </w:tr>
      <w:tr>
        <w:tc>
          <w:tcPr>
            <w:tcW w:type="dxa" w:w="3100"/>
            <w:tcMar>
              <w:top w:w="80" w:type="dxa"/>
              <w:start w:w="120" w:type="dxa"/>
              <w:bottom w:w="80" w:type="dxa"/>
              <w:end w:w="120" w:type="dxa"/>
            </w:tcMar>
            <w:vAlign w:val="top"/>
          </w:tcPr>
          <w:p>
            <w:pPr>
              <w:spacing w:after="40" w:line="276" w:lineRule="auto"/>
            </w:pPr>
            <w:r>
              <w:rPr>
                <w:rFonts w:ascii="Calibri" w:hAnsi="Calibri"/>
                <w:sz w:val="18"/>
              </w:rPr>
              <w:t>deployment/apache/astorasoc.conf</w:t>
            </w:r>
          </w:p>
        </w:tc>
        <w:tc>
          <w:tcPr>
            <w:tcW w:type="dxa" w:w="6260"/>
            <w:tcMar>
              <w:top w:w="80" w:type="dxa"/>
              <w:start w:w="120" w:type="dxa"/>
              <w:bottom w:w="80" w:type="dxa"/>
              <w:end w:w="120" w:type="dxa"/>
            </w:tcMar>
            <w:vAlign w:val="top"/>
          </w:tcPr>
          <w:p>
            <w:pPr>
              <w:spacing w:after="40" w:line="276" w:lineRule="auto"/>
            </w:pPr>
            <w:r>
              <w:rPr>
                <w:rFonts w:ascii="Calibri" w:hAnsi="Calibri"/>
                <w:sz w:val="18"/>
              </w:rPr>
              <w:t>Apache reverse proxy sample for Linux deployments.</w:t>
            </w:r>
          </w:p>
        </w:tc>
      </w:tr>
      <w:tr>
        <w:tc>
          <w:tcPr>
            <w:tcW w:type="dxa" w:w="3100"/>
            <w:tcMar>
              <w:top w:w="80" w:type="dxa"/>
              <w:start w:w="120" w:type="dxa"/>
              <w:bottom w:w="80" w:type="dxa"/>
              <w:end w:w="120" w:type="dxa"/>
            </w:tcMar>
            <w:vAlign w:val="top"/>
          </w:tcPr>
          <w:p>
            <w:pPr>
              <w:spacing w:after="40" w:line="276" w:lineRule="auto"/>
            </w:pPr>
            <w:r>
              <w:rPr>
                <w:rFonts w:ascii="Calibri" w:hAnsi="Calibri"/>
                <w:sz w:val="18"/>
              </w:rPr>
              <w:t>deployment/README.md</w:t>
            </w:r>
          </w:p>
        </w:tc>
        <w:tc>
          <w:tcPr>
            <w:tcW w:type="dxa" w:w="6260"/>
            <w:tcMar>
              <w:top w:w="80" w:type="dxa"/>
              <w:start w:w="120" w:type="dxa"/>
              <w:bottom w:w="80" w:type="dxa"/>
              <w:end w:w="120" w:type="dxa"/>
            </w:tcMar>
            <w:vAlign w:val="top"/>
          </w:tcPr>
          <w:p>
            <w:pPr>
              <w:spacing w:after="40" w:line="276" w:lineRule="auto"/>
            </w:pPr>
            <w:r>
              <w:rPr>
                <w:rFonts w:ascii="Calibri" w:hAnsi="Calibri"/>
                <w:sz w:val="18"/>
              </w:rPr>
              <w:t>Operational deployment guide covering Windows, Linux, proxies, ports, real IPs, firewall, updates, and troubleshooting.</w:t>
            </w:r>
          </w:p>
        </w:tc>
      </w:tr>
    </w:tbl>
    <w:p>
      <w:pPr>
        <w:pStyle w:val="Heading2"/>
      </w:pPr>
      <w:r>
        <w:t>Environment Variables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3300"/>
        <w:gridCol w:w="3960"/>
      </w:tblGrid>
      <w:tr>
        <w:tc>
          <w:tcPr>
            <w:tcW w:type="dxa" w:w="2100"/>
            <w:shd w:fill="E8EEF5"/>
            <w:tcMar>
              <w:top w:w="80" w:type="dxa"/>
              <w:start w:w="120" w:type="dxa"/>
              <w:bottom w:w="80" w:type="dxa"/>
              <w:end w:w="120" w:type="dxa"/>
            </w:tcMar>
            <w:vAlign w:val="top"/>
          </w:tcPr>
          <w:p>
            <w:pPr>
              <w:spacing w:after="40" w:line="276" w:lineRule="auto"/>
            </w:pPr>
            <w:r>
              <w:rPr>
                <w:rFonts w:ascii="Calibri" w:hAnsi="Calibri"/>
                <w:b/>
                <w:color w:val="102027"/>
                <w:sz w:val="18"/>
              </w:rPr>
              <w:t>Variable</w:t>
            </w:r>
          </w:p>
        </w:tc>
        <w:tc>
          <w:tcPr>
            <w:tcW w:type="dxa" w:w="3300"/>
            <w:shd w:fill="E8EEF5"/>
            <w:tcMar>
              <w:top w:w="80" w:type="dxa"/>
              <w:start w:w="120" w:type="dxa"/>
              <w:bottom w:w="80" w:type="dxa"/>
              <w:end w:w="120" w:type="dxa"/>
            </w:tcMar>
            <w:vAlign w:val="top"/>
          </w:tcPr>
          <w:p>
            <w:pPr>
              <w:spacing w:after="40" w:line="276" w:lineRule="auto"/>
            </w:pPr>
            <w:r>
              <w:rPr>
                <w:rFonts w:ascii="Calibri" w:hAnsi="Calibri"/>
                <w:b/>
                <w:color w:val="102027"/>
                <w:sz w:val="18"/>
              </w:rPr>
              <w:t>Purpose</w:t>
            </w:r>
          </w:p>
        </w:tc>
        <w:tc>
          <w:tcPr>
            <w:tcW w:type="dxa" w:w="3960"/>
            <w:shd w:fill="E8EEF5"/>
            <w:tcMar>
              <w:top w:w="80" w:type="dxa"/>
              <w:start w:w="120" w:type="dxa"/>
              <w:bottom w:w="80" w:type="dxa"/>
              <w:end w:w="120" w:type="dxa"/>
            </w:tcMar>
            <w:vAlign w:val="top"/>
          </w:tcPr>
          <w:p>
            <w:pPr>
              <w:spacing w:after="40" w:line="276" w:lineRule="auto"/>
            </w:pPr>
            <w:r>
              <w:rPr>
                <w:rFonts w:ascii="Calibri" w:hAnsi="Calibri"/>
                <w:b/>
                <w:color w:val="102027"/>
                <w:sz w:val="18"/>
              </w:rPr>
              <w:t>Recommended Production Guidance</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SECRET_KEY</w:t>
            </w:r>
          </w:p>
        </w:tc>
        <w:tc>
          <w:tcPr>
            <w:tcW w:type="dxa" w:w="3300"/>
            <w:tcMar>
              <w:top w:w="80" w:type="dxa"/>
              <w:start w:w="120" w:type="dxa"/>
              <w:bottom w:w="80" w:type="dxa"/>
              <w:end w:w="120" w:type="dxa"/>
            </w:tcMar>
            <w:vAlign w:val="top"/>
          </w:tcPr>
          <w:p>
            <w:pPr>
              <w:spacing w:after="40" w:line="276" w:lineRule="auto"/>
            </w:pPr>
            <w:r>
              <w:rPr>
                <w:rFonts w:ascii="Calibri" w:hAnsi="Calibri"/>
                <w:sz w:val="18"/>
              </w:rPr>
              <w:t>Flask secret and encryption source for encrypted app values.</w:t>
            </w:r>
          </w:p>
        </w:tc>
        <w:tc>
          <w:tcPr>
            <w:tcW w:type="dxa" w:w="3960"/>
            <w:tcMar>
              <w:top w:w="80" w:type="dxa"/>
              <w:start w:w="120" w:type="dxa"/>
              <w:bottom w:w="80" w:type="dxa"/>
              <w:end w:w="120" w:type="dxa"/>
            </w:tcMar>
            <w:vAlign w:val="top"/>
          </w:tcPr>
          <w:p>
            <w:pPr>
              <w:spacing w:after="40" w:line="276" w:lineRule="auto"/>
            </w:pPr>
            <w:r>
              <w:rPr>
                <w:rFonts w:ascii="Calibri" w:hAnsi="Calibri"/>
                <w:sz w:val="18"/>
              </w:rPr>
              <w:t>Use a long random value. Rotate carefully because encrypted settings/chat content depend on it.</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DATABASE_URL</w:t>
            </w:r>
          </w:p>
        </w:tc>
        <w:tc>
          <w:tcPr>
            <w:tcW w:type="dxa" w:w="3300"/>
            <w:tcMar>
              <w:top w:w="80" w:type="dxa"/>
              <w:start w:w="120" w:type="dxa"/>
              <w:bottom w:w="80" w:type="dxa"/>
              <w:end w:w="120" w:type="dxa"/>
            </w:tcMar>
            <w:vAlign w:val="top"/>
          </w:tcPr>
          <w:p>
            <w:pPr>
              <w:spacing w:after="40" w:line="276" w:lineRule="auto"/>
            </w:pPr>
            <w:r>
              <w:rPr>
                <w:rFonts w:ascii="Calibri" w:hAnsi="Calibri"/>
                <w:sz w:val="18"/>
              </w:rPr>
              <w:t>SQLAlchemy database connection string.</w:t>
            </w:r>
          </w:p>
        </w:tc>
        <w:tc>
          <w:tcPr>
            <w:tcW w:type="dxa" w:w="3960"/>
            <w:tcMar>
              <w:top w:w="80" w:type="dxa"/>
              <w:start w:w="120" w:type="dxa"/>
              <w:bottom w:w="80" w:type="dxa"/>
              <w:end w:w="120" w:type="dxa"/>
            </w:tcMar>
            <w:vAlign w:val="top"/>
          </w:tcPr>
          <w:p>
            <w:pPr>
              <w:spacing w:after="40" w:line="276" w:lineRule="auto"/>
            </w:pPr>
            <w:r>
              <w:rPr>
                <w:rFonts w:ascii="Calibri" w:hAnsi="Calibri"/>
                <w:sz w:val="18"/>
              </w:rPr>
              <w:t>Use a managed relational database or protected container volume.</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WEBHOOK_API_KEY</w:t>
            </w:r>
          </w:p>
        </w:tc>
        <w:tc>
          <w:tcPr>
            <w:tcW w:type="dxa" w:w="3300"/>
            <w:tcMar>
              <w:top w:w="80" w:type="dxa"/>
              <w:start w:w="120" w:type="dxa"/>
              <w:bottom w:w="80" w:type="dxa"/>
              <w:end w:w="120" w:type="dxa"/>
            </w:tcMar>
            <w:vAlign w:val="top"/>
          </w:tcPr>
          <w:p>
            <w:pPr>
              <w:spacing w:after="40" w:line="276" w:lineRule="auto"/>
            </w:pPr>
            <w:r>
              <w:rPr>
                <w:rFonts w:ascii="Calibri" w:hAnsi="Calibri"/>
                <w:sz w:val="18"/>
              </w:rPr>
              <w:t>Fallback API key for alert webhook before generated settings key exists.</w:t>
            </w:r>
          </w:p>
        </w:tc>
        <w:tc>
          <w:tcPr>
            <w:tcW w:type="dxa" w:w="3960"/>
            <w:tcMar>
              <w:top w:w="80" w:type="dxa"/>
              <w:start w:w="120" w:type="dxa"/>
              <w:bottom w:w="80" w:type="dxa"/>
              <w:end w:w="120" w:type="dxa"/>
            </w:tcMar>
            <w:vAlign w:val="top"/>
          </w:tcPr>
          <w:p>
            <w:pPr>
              <w:spacing w:after="40" w:line="276" w:lineRule="auto"/>
            </w:pPr>
            <w:r>
              <w:rPr>
                <w:rFonts w:ascii="Calibri" w:hAnsi="Calibri"/>
                <w:sz w:val="18"/>
              </w:rPr>
              <w:t>Set a long random value and rotate through Admin Settings when needed.</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MAX_CONTENT_LENGTH</w:t>
            </w:r>
          </w:p>
        </w:tc>
        <w:tc>
          <w:tcPr>
            <w:tcW w:type="dxa" w:w="3300"/>
            <w:tcMar>
              <w:top w:w="80" w:type="dxa"/>
              <w:start w:w="120" w:type="dxa"/>
              <w:bottom w:w="80" w:type="dxa"/>
              <w:end w:w="120" w:type="dxa"/>
            </w:tcMar>
            <w:vAlign w:val="top"/>
          </w:tcPr>
          <w:p>
            <w:pPr>
              <w:spacing w:after="40" w:line="276" w:lineRule="auto"/>
            </w:pPr>
            <w:r>
              <w:rPr>
                <w:rFonts w:ascii="Calibri" w:hAnsi="Calibri"/>
                <w:sz w:val="18"/>
              </w:rPr>
              <w:t>Maximum request/upload size. Default is 25 MB.</w:t>
            </w:r>
          </w:p>
        </w:tc>
        <w:tc>
          <w:tcPr>
            <w:tcW w:type="dxa" w:w="3960"/>
            <w:tcMar>
              <w:top w:w="80" w:type="dxa"/>
              <w:start w:w="120" w:type="dxa"/>
              <w:bottom w:w="80" w:type="dxa"/>
              <w:end w:w="120" w:type="dxa"/>
            </w:tcMar>
            <w:vAlign w:val="top"/>
          </w:tcPr>
          <w:p>
            <w:pPr>
              <w:spacing w:after="40" w:line="276" w:lineRule="auto"/>
            </w:pPr>
            <w:r>
              <w:rPr>
                <w:rFonts w:ascii="Calibri" w:hAnsi="Calibri"/>
                <w:sz w:val="18"/>
              </w:rPr>
              <w:t>Keep aligned with evidence upload policy.</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UPLOAD_FOLDER</w:t>
            </w:r>
          </w:p>
        </w:tc>
        <w:tc>
          <w:tcPr>
            <w:tcW w:type="dxa" w:w="3300"/>
            <w:tcMar>
              <w:top w:w="80" w:type="dxa"/>
              <w:start w:w="120" w:type="dxa"/>
              <w:bottom w:w="80" w:type="dxa"/>
              <w:end w:w="120" w:type="dxa"/>
            </w:tcMar>
            <w:vAlign w:val="top"/>
          </w:tcPr>
          <w:p>
            <w:pPr>
              <w:spacing w:after="40" w:line="276" w:lineRule="auto"/>
            </w:pPr>
            <w:r>
              <w:rPr>
                <w:rFonts w:ascii="Calibri" w:hAnsi="Calibri"/>
                <w:sz w:val="18"/>
              </w:rPr>
              <w:t>Location for uploaded profiles, evidence, templates, chat files, and custom assets.</w:t>
            </w:r>
          </w:p>
        </w:tc>
        <w:tc>
          <w:tcPr>
            <w:tcW w:type="dxa" w:w="3960"/>
            <w:tcMar>
              <w:top w:w="80" w:type="dxa"/>
              <w:start w:w="120" w:type="dxa"/>
              <w:bottom w:w="80" w:type="dxa"/>
              <w:end w:w="120" w:type="dxa"/>
            </w:tcMar>
            <w:vAlign w:val="top"/>
          </w:tcPr>
          <w:p>
            <w:pPr>
              <w:spacing w:after="40" w:line="276" w:lineRule="auto"/>
            </w:pPr>
            <w:r>
              <w:rPr>
                <w:rFonts w:ascii="Calibri" w:hAnsi="Calibri"/>
                <w:sz w:val="18"/>
              </w:rPr>
              <w:t>Persist this path outside ephemeral containers. Back it up.</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SESSION_COOKIE_SECURE</w:t>
            </w:r>
          </w:p>
        </w:tc>
        <w:tc>
          <w:tcPr>
            <w:tcW w:type="dxa" w:w="3300"/>
            <w:tcMar>
              <w:top w:w="80" w:type="dxa"/>
              <w:start w:w="120" w:type="dxa"/>
              <w:bottom w:w="80" w:type="dxa"/>
              <w:end w:w="120" w:type="dxa"/>
            </w:tcMar>
            <w:vAlign w:val="top"/>
          </w:tcPr>
          <w:p>
            <w:pPr>
              <w:spacing w:after="40" w:line="276" w:lineRule="auto"/>
            </w:pPr>
            <w:r>
              <w:rPr>
                <w:rFonts w:ascii="Calibri" w:hAnsi="Calibri"/>
                <w:sz w:val="18"/>
              </w:rPr>
              <w:t>Controls Secure flag for cookies.</w:t>
            </w:r>
          </w:p>
        </w:tc>
        <w:tc>
          <w:tcPr>
            <w:tcW w:type="dxa" w:w="3960"/>
            <w:tcMar>
              <w:top w:w="80" w:type="dxa"/>
              <w:start w:w="120" w:type="dxa"/>
              <w:bottom w:w="80" w:type="dxa"/>
              <w:end w:w="120" w:type="dxa"/>
            </w:tcMar>
            <w:vAlign w:val="top"/>
          </w:tcPr>
          <w:p>
            <w:pPr>
              <w:spacing w:after="40" w:line="276" w:lineRule="auto"/>
            </w:pPr>
            <w:r>
              <w:rPr>
                <w:rFonts w:ascii="Calibri" w:hAnsi="Calibri"/>
                <w:sz w:val="18"/>
              </w:rPr>
              <w:t>Set true behind HTTPS.</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RATELIMIT_STORAGE_URI</w:t>
            </w:r>
          </w:p>
        </w:tc>
        <w:tc>
          <w:tcPr>
            <w:tcW w:type="dxa" w:w="3300"/>
            <w:tcMar>
              <w:top w:w="80" w:type="dxa"/>
              <w:start w:w="120" w:type="dxa"/>
              <w:bottom w:w="80" w:type="dxa"/>
              <w:end w:w="120" w:type="dxa"/>
            </w:tcMar>
            <w:vAlign w:val="top"/>
          </w:tcPr>
          <w:p>
            <w:pPr>
              <w:spacing w:after="40" w:line="276" w:lineRule="auto"/>
            </w:pPr>
            <w:r>
              <w:rPr>
                <w:rFonts w:ascii="Calibri" w:hAnsi="Calibri"/>
                <w:sz w:val="18"/>
              </w:rPr>
              <w:t>Flask-Limiter backend. Default memory://.</w:t>
            </w:r>
          </w:p>
        </w:tc>
        <w:tc>
          <w:tcPr>
            <w:tcW w:type="dxa" w:w="3960"/>
            <w:tcMar>
              <w:top w:w="80" w:type="dxa"/>
              <w:start w:w="120" w:type="dxa"/>
              <w:bottom w:w="80" w:type="dxa"/>
              <w:end w:w="120" w:type="dxa"/>
            </w:tcMar>
            <w:vAlign w:val="top"/>
          </w:tcPr>
          <w:p>
            <w:pPr>
              <w:spacing w:after="40" w:line="276" w:lineRule="auto"/>
            </w:pPr>
            <w:r>
              <w:rPr>
                <w:rFonts w:ascii="Calibri" w:hAnsi="Calibri"/>
                <w:sz w:val="18"/>
              </w:rPr>
              <w:t>Use Redis or another shared backend for multi-instance production.</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RATELIMIT_DEFAULT</w:t>
            </w:r>
          </w:p>
        </w:tc>
        <w:tc>
          <w:tcPr>
            <w:tcW w:type="dxa" w:w="3300"/>
            <w:tcMar>
              <w:top w:w="80" w:type="dxa"/>
              <w:start w:w="120" w:type="dxa"/>
              <w:bottom w:w="80" w:type="dxa"/>
              <w:end w:w="120" w:type="dxa"/>
            </w:tcMar>
            <w:vAlign w:val="top"/>
          </w:tcPr>
          <w:p>
            <w:pPr>
              <w:spacing w:after="40" w:line="276" w:lineRule="auto"/>
            </w:pPr>
            <w:r>
              <w:rPr>
                <w:rFonts w:ascii="Calibri" w:hAnsi="Calibri"/>
                <w:sz w:val="18"/>
              </w:rPr>
              <w:t>Default request limit. Current default is 300 per minute.</w:t>
            </w:r>
          </w:p>
        </w:tc>
        <w:tc>
          <w:tcPr>
            <w:tcW w:type="dxa" w:w="3960"/>
            <w:tcMar>
              <w:top w:w="80" w:type="dxa"/>
              <w:start w:w="120" w:type="dxa"/>
              <w:bottom w:w="80" w:type="dxa"/>
              <w:end w:w="120" w:type="dxa"/>
            </w:tcMar>
            <w:vAlign w:val="top"/>
          </w:tcPr>
          <w:p>
            <w:pPr>
              <w:spacing w:after="40" w:line="276" w:lineRule="auto"/>
            </w:pPr>
            <w:r>
              <w:rPr>
                <w:rFonts w:ascii="Calibri" w:hAnsi="Calibri"/>
                <w:sz w:val="18"/>
              </w:rPr>
              <w:t>Tune for user population and reverse proxy behavior.</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TRUST_PROXY_HEADERS</w:t>
            </w:r>
          </w:p>
        </w:tc>
        <w:tc>
          <w:tcPr>
            <w:tcW w:type="dxa" w:w="3300"/>
            <w:tcMar>
              <w:top w:w="80" w:type="dxa"/>
              <w:start w:w="120" w:type="dxa"/>
              <w:bottom w:w="80" w:type="dxa"/>
              <w:end w:w="120" w:type="dxa"/>
            </w:tcMar>
            <w:vAlign w:val="top"/>
          </w:tcPr>
          <w:p>
            <w:pPr>
              <w:spacing w:after="40" w:line="276" w:lineRule="auto"/>
            </w:pPr>
            <w:r>
              <w:rPr>
                <w:rFonts w:ascii="Calibri" w:hAnsi="Calibri"/>
                <w:sz w:val="18"/>
              </w:rPr>
              <w:t>Enables ProxyFix and proxy-aware client IP handling. Default is true.</w:t>
            </w:r>
          </w:p>
        </w:tc>
        <w:tc>
          <w:tcPr>
            <w:tcW w:type="dxa" w:w="3960"/>
            <w:tcMar>
              <w:top w:w="80" w:type="dxa"/>
              <w:start w:w="120" w:type="dxa"/>
              <w:bottom w:w="80" w:type="dxa"/>
              <w:end w:w="120" w:type="dxa"/>
            </w:tcMar>
            <w:vAlign w:val="top"/>
          </w:tcPr>
          <w:p>
            <w:pPr>
              <w:spacing w:after="40" w:line="276" w:lineRule="auto"/>
            </w:pPr>
            <w:r>
              <w:rPr>
                <w:rFonts w:ascii="Calibri" w:hAnsi="Calibri"/>
                <w:sz w:val="18"/>
              </w:rPr>
              <w:t>Keep true when behind Nginx, Traefik, Cloudflare, host proxy, or any reverse proxy.</w:t>
            </w:r>
          </w:p>
        </w:tc>
      </w:tr>
    </w:tbl>
    <w:p>
      <w:pPr>
        <w:pStyle w:val="Heading2"/>
      </w:pPr>
      <w:r>
        <w:t>Production Hardening Checklist</w:t>
      </w:r>
    </w:p>
    <w:p>
      <w:pPr>
        <w:pStyle w:val="ListBullet"/>
      </w:pPr>
      <w:r>
        <w:t>Run behind HTTPS and set SESSION_COOKIE_SECURE=true.</w:t>
      </w:r>
    </w:p>
    <w:p>
      <w:pPr>
        <w:pStyle w:val="ListBullet"/>
      </w:pPr>
      <w:r>
        <w:t>Use a strong SECRET_KEY and protect .env from source control and broad filesystem permissions.</w:t>
      </w:r>
    </w:p>
    <w:p>
      <w:pPr>
        <w:pStyle w:val="ListBullet"/>
      </w:pPr>
      <w:r>
        <w:t>Persist the database volume and UPLOAD_FOLDER, then schedule backups.</w:t>
      </w:r>
    </w:p>
    <w:p>
      <w:pPr>
        <w:pStyle w:val="ListBullet"/>
      </w:pPr>
      <w:r>
        <w:t>Move rate-limit storage from memory:// to Redis or another central backend for multiple web instances.</w:t>
      </w:r>
    </w:p>
    <w:p>
      <w:pPr>
        <w:pStyle w:val="ListBullet"/>
      </w:pPr>
      <w:r>
        <w:t>Rotate default admin password immediately and disable or rename seed credentials if deploying beyond development.</w:t>
      </w:r>
    </w:p>
    <w:p>
      <w:pPr>
        <w:pStyle w:val="ListBullet"/>
      </w:pPr>
      <w:r>
        <w:t>Configure SMTP only from Admin Settings and test delivery before relying on email notifications.</w:t>
      </w:r>
    </w:p>
    <w:p>
      <w:pPr>
        <w:pStyle w:val="ListBullet"/>
      </w:pPr>
      <w:r>
        <w:t>Restrict webhook exposure to SIEM networks when possible.</w:t>
      </w:r>
    </w:p>
    <w:p>
      <w:pPr>
        <w:pStyle w:val="Heading1"/>
      </w:pPr>
      <w:r>
        <w:t>5. Authentication, Sessions, and Security Controls</w:t>
      </w:r>
    </w:p>
    <w:p>
      <w:pPr>
        <w:pStyle w:val="Heading2"/>
      </w:pPr>
      <w:r>
        <w:t>Authentication</w:t>
      </w:r>
    </w:p>
    <w:p>
      <w:pPr>
        <w:pStyle w:val="ListBullet"/>
      </w:pPr>
      <w:r>
        <w:t>Users authenticate with username and password through Flask-Login.</w:t>
      </w:r>
    </w:p>
    <w:p>
      <w:pPr>
        <w:pStyle w:val="ListBullet"/>
      </w:pPr>
      <w:r>
        <w:t>Passwords are stored using Werkzeug password hashing, not plaintext.</w:t>
      </w:r>
    </w:p>
    <w:p>
      <w:pPr>
        <w:pStyle w:val="ListBullet"/>
      </w:pPr>
      <w:r>
        <w:t>New and changed passwords require at least 12 characters in current forms.</w:t>
      </w:r>
    </w:p>
    <w:p>
      <w:pPr>
        <w:pStyle w:val="ListBullet"/>
      </w:pPr>
      <w:r>
        <w:t>The seeded admin account is forced to change password at first login.</w:t>
      </w:r>
    </w:p>
    <w:p>
      <w:pPr>
        <w:pStyle w:val="ListBullet"/>
      </w:pPr>
      <w:r>
        <w:t>Inactive users cannot pass role checks and should be disabled or deleted according to policy.</w:t>
      </w:r>
    </w:p>
    <w:p>
      <w:pPr>
        <w:pStyle w:val="Heading2"/>
      </w:pPr>
      <w:r>
        <w:t>Session Behavior</w:t>
      </w:r>
    </w:p>
    <w:p>
      <w:pPr>
        <w:pStyle w:val="ListBullet"/>
      </w:pPr>
      <w:r>
        <w:t>Session timeout is configurable in Admin Settings, commonly 5 to 1440 minutes depending on policy.</w:t>
      </w:r>
    </w:p>
    <w:p>
      <w:pPr>
        <w:pStyle w:val="ListBullet"/>
      </w:pPr>
      <w:r>
        <w:t>Active browser polling updates user presence only when the AstoraSOC tab is visible and active.</w:t>
      </w:r>
    </w:p>
    <w:p>
      <w:pPr>
        <w:pStyle w:val="ListBullet"/>
      </w:pPr>
      <w:r>
        <w:t>Passive state checks for notifications and counters do not extend the authenticated session.</w:t>
      </w:r>
    </w:p>
    <w:p>
      <w:pPr>
        <w:pStyle w:val="ListBullet"/>
      </w:pPr>
      <w:r>
        <w:t>Cookie settings use HttpOnly and SameSite=Lax; Secure should be enabled in HTTPS production deployments.</w:t>
      </w:r>
    </w:p>
    <w:p>
      <w:pPr>
        <w:pStyle w:val="Heading2"/>
      </w:pPr>
      <w:r>
        <w:t>Application Security Controls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4300"/>
        <w:gridCol w:w="3260"/>
      </w:tblGrid>
      <w:tr>
        <w:tc>
          <w:tcPr>
            <w:tcW w:type="dxa" w:w="1800"/>
            <w:shd w:fill="E8EEF5"/>
            <w:tcMar>
              <w:top w:w="80" w:type="dxa"/>
              <w:start w:w="120" w:type="dxa"/>
              <w:bottom w:w="80" w:type="dxa"/>
              <w:end w:w="120" w:type="dxa"/>
            </w:tcMar>
            <w:vAlign w:val="top"/>
          </w:tcPr>
          <w:p>
            <w:pPr>
              <w:spacing w:after="40" w:line="276" w:lineRule="auto"/>
            </w:pPr>
            <w:r>
              <w:rPr>
                <w:rFonts w:ascii="Calibri" w:hAnsi="Calibri"/>
                <w:b/>
                <w:color w:val="102027"/>
                <w:sz w:val="18"/>
              </w:rPr>
              <w:t>Control</w:t>
            </w:r>
          </w:p>
        </w:tc>
        <w:tc>
          <w:tcPr>
            <w:tcW w:type="dxa" w:w="4300"/>
            <w:shd w:fill="E8EEF5"/>
            <w:tcMar>
              <w:top w:w="80" w:type="dxa"/>
              <w:start w:w="120" w:type="dxa"/>
              <w:bottom w:w="80" w:type="dxa"/>
              <w:end w:w="120" w:type="dxa"/>
            </w:tcMar>
            <w:vAlign w:val="top"/>
          </w:tcPr>
          <w:p>
            <w:pPr>
              <w:spacing w:after="40" w:line="276" w:lineRule="auto"/>
            </w:pPr>
            <w:r>
              <w:rPr>
                <w:rFonts w:ascii="Calibri" w:hAnsi="Calibri"/>
                <w:b/>
                <w:color w:val="102027"/>
                <w:sz w:val="18"/>
              </w:rPr>
              <w:t>Current AstoraSOC Behavior</w:t>
            </w:r>
          </w:p>
        </w:tc>
        <w:tc>
          <w:tcPr>
            <w:tcW w:type="dxa" w:w="3260"/>
            <w:shd w:fill="E8EEF5"/>
            <w:tcMar>
              <w:top w:w="80" w:type="dxa"/>
              <w:start w:w="120" w:type="dxa"/>
              <w:bottom w:w="80" w:type="dxa"/>
              <w:end w:w="120" w:type="dxa"/>
            </w:tcMar>
            <w:vAlign w:val="top"/>
          </w:tcPr>
          <w:p>
            <w:pPr>
              <w:spacing w:after="40" w:line="276" w:lineRule="auto"/>
            </w:pPr>
            <w:r>
              <w:rPr>
                <w:rFonts w:ascii="Calibri" w:hAnsi="Calibri"/>
                <w:b/>
                <w:color w:val="102027"/>
                <w:sz w:val="18"/>
              </w:rPr>
              <w:t>Operator Notes</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CSRF</w:t>
            </w:r>
          </w:p>
        </w:tc>
        <w:tc>
          <w:tcPr>
            <w:tcW w:type="dxa" w:w="4300"/>
            <w:tcMar>
              <w:top w:w="80" w:type="dxa"/>
              <w:start w:w="120" w:type="dxa"/>
              <w:bottom w:w="80" w:type="dxa"/>
              <w:end w:w="120" w:type="dxa"/>
            </w:tcMar>
            <w:vAlign w:val="top"/>
          </w:tcPr>
          <w:p>
            <w:pPr>
              <w:spacing w:after="40" w:line="276" w:lineRule="auto"/>
            </w:pPr>
            <w:r>
              <w:rPr>
                <w:rFonts w:ascii="Calibri" w:hAnsi="Calibri"/>
                <w:sz w:val="18"/>
              </w:rPr>
              <w:t>Form-based state changes include CSRF tokens through Flask-WTF. The webhook endpoint is API-key protected instead of browser CSRF protected.</w:t>
            </w:r>
          </w:p>
        </w:tc>
        <w:tc>
          <w:tcPr>
            <w:tcW w:type="dxa" w:w="3260"/>
            <w:tcMar>
              <w:top w:w="80" w:type="dxa"/>
              <w:start w:w="120" w:type="dxa"/>
              <w:bottom w:w="80" w:type="dxa"/>
              <w:end w:w="120" w:type="dxa"/>
            </w:tcMar>
            <w:vAlign w:val="top"/>
          </w:tcPr>
          <w:p>
            <w:pPr>
              <w:spacing w:after="40" w:line="276" w:lineRule="auto"/>
            </w:pPr>
            <w:r>
              <w:rPr>
                <w:rFonts w:ascii="Calibri" w:hAnsi="Calibri"/>
                <w:sz w:val="18"/>
              </w:rPr>
              <w:t>Do not expose administrative POST routes through unauthenticated reverse proxy rules.</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Password hashing</w:t>
            </w:r>
          </w:p>
        </w:tc>
        <w:tc>
          <w:tcPr>
            <w:tcW w:type="dxa" w:w="4300"/>
            <w:tcMar>
              <w:top w:w="80" w:type="dxa"/>
              <w:start w:w="120" w:type="dxa"/>
              <w:bottom w:w="80" w:type="dxa"/>
              <w:end w:w="120" w:type="dxa"/>
            </w:tcMar>
            <w:vAlign w:val="top"/>
          </w:tcPr>
          <w:p>
            <w:pPr>
              <w:spacing w:after="40" w:line="276" w:lineRule="auto"/>
            </w:pPr>
            <w:r>
              <w:rPr>
                <w:rFonts w:ascii="Calibri" w:hAnsi="Calibri"/>
                <w:sz w:val="18"/>
              </w:rPr>
              <w:t>Passwords are hashed with Werkzeug generate_password_hash/check_password_hash.</w:t>
            </w:r>
          </w:p>
        </w:tc>
        <w:tc>
          <w:tcPr>
            <w:tcW w:type="dxa" w:w="3260"/>
            <w:tcMar>
              <w:top w:w="80" w:type="dxa"/>
              <w:start w:w="120" w:type="dxa"/>
              <w:bottom w:w="80" w:type="dxa"/>
              <w:end w:w="120" w:type="dxa"/>
            </w:tcMar>
            <w:vAlign w:val="top"/>
          </w:tcPr>
          <w:p>
            <w:pPr>
              <w:spacing w:after="40" w:line="276" w:lineRule="auto"/>
            </w:pPr>
            <w:r>
              <w:rPr>
                <w:rFonts w:ascii="Calibri" w:hAnsi="Calibri"/>
                <w:sz w:val="18"/>
              </w:rPr>
              <w:t>Enforce organization password policy externally if stronger requirements are needed.</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File upload validation</w:t>
            </w:r>
          </w:p>
        </w:tc>
        <w:tc>
          <w:tcPr>
            <w:tcW w:type="dxa" w:w="4300"/>
            <w:tcMar>
              <w:top w:w="80" w:type="dxa"/>
              <w:start w:w="120" w:type="dxa"/>
              <w:bottom w:w="80" w:type="dxa"/>
              <w:end w:w="120" w:type="dxa"/>
            </w:tcMar>
            <w:vAlign w:val="top"/>
          </w:tcPr>
          <w:p>
            <w:pPr>
              <w:spacing w:after="40" w:line="276" w:lineRule="auto"/>
            </w:pPr>
            <w:r>
              <w:rPr>
                <w:rFonts w:ascii="Calibri" w:hAnsi="Calibri"/>
                <w:sz w:val="18"/>
              </w:rPr>
              <w:t>Uploads are restricted by subdirectory-specific extension lists and max byte sizes. Evidence files are hashed with SHA256.</w:t>
            </w:r>
          </w:p>
        </w:tc>
        <w:tc>
          <w:tcPr>
            <w:tcW w:type="dxa" w:w="3260"/>
            <w:tcMar>
              <w:top w:w="80" w:type="dxa"/>
              <w:start w:w="120" w:type="dxa"/>
              <w:bottom w:w="80" w:type="dxa"/>
              <w:end w:w="120" w:type="dxa"/>
            </w:tcMar>
            <w:vAlign w:val="top"/>
          </w:tcPr>
          <w:p>
            <w:pPr>
              <w:spacing w:after="40" w:line="276" w:lineRule="auto"/>
            </w:pPr>
            <w:r>
              <w:rPr>
                <w:rFonts w:ascii="Calibri" w:hAnsi="Calibri"/>
                <w:sz w:val="18"/>
              </w:rPr>
              <w:t>Allowed evidence: pdf, txt, log, csv, json, png, jpg, jpeg, zip.</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API key protection</w:t>
            </w:r>
          </w:p>
        </w:tc>
        <w:tc>
          <w:tcPr>
            <w:tcW w:type="dxa" w:w="4300"/>
            <w:tcMar>
              <w:top w:w="80" w:type="dxa"/>
              <w:start w:w="120" w:type="dxa"/>
              <w:bottom w:w="80" w:type="dxa"/>
              <w:end w:w="120" w:type="dxa"/>
            </w:tcMar>
            <w:vAlign w:val="top"/>
          </w:tcPr>
          <w:p>
            <w:pPr>
              <w:spacing w:after="40" w:line="276" w:lineRule="auto"/>
            </w:pPr>
            <w:r>
              <w:t>Webhook uses X-API-Key and rejects insecure default keys. Generated keys use ast_ plus strong random token material.</w:t>
            </w:r>
          </w:p>
        </w:tc>
        <w:tc>
          <w:tcPr>
            <w:tcW w:type="dxa" w:w="3260"/>
            <w:tcMar>
              <w:top w:w="80" w:type="dxa"/>
              <w:start w:w="120" w:type="dxa"/>
              <w:bottom w:w="80" w:type="dxa"/>
              <w:end w:w="120" w:type="dxa"/>
            </w:tcMar>
            <w:vAlign w:val="top"/>
          </w:tcPr>
          <w:p>
            <w:pPr>
              <w:spacing w:after="40" w:line="276" w:lineRule="auto"/>
            </w:pPr>
            <w:r>
              <w:rPr>
                <w:rFonts w:ascii="Calibri" w:hAnsi="Calibri"/>
                <w:sz w:val="18"/>
              </w:rPr>
              <w:t>Rotate the key if exposed and update SIEM integrations immediately.</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Audit logs</w:t>
            </w:r>
          </w:p>
        </w:tc>
        <w:tc>
          <w:tcPr>
            <w:tcW w:type="dxa" w:w="4300"/>
            <w:tcMar>
              <w:top w:w="80" w:type="dxa"/>
              <w:start w:w="120" w:type="dxa"/>
              <w:bottom w:w="80" w:type="dxa"/>
              <w:end w:w="120" w:type="dxa"/>
            </w:tcMar>
            <w:vAlign w:val="top"/>
          </w:tcPr>
          <w:p>
            <w:pPr>
              <w:spacing w:after="40" w:line="276" w:lineRule="auto"/>
            </w:pPr>
            <w:r>
              <w:rPr>
                <w:rFonts w:ascii="Calibri" w:hAnsi="Calibri"/>
                <w:sz w:val="18"/>
              </w:rPr>
              <w:t>Important actions add AuditLog records with actor, action, details, IP address, and timestamp.</w:t>
            </w:r>
          </w:p>
        </w:tc>
        <w:tc>
          <w:tcPr>
            <w:tcW w:type="dxa" w:w="3260"/>
            <w:tcMar>
              <w:top w:w="80" w:type="dxa"/>
              <w:start w:w="120" w:type="dxa"/>
              <w:bottom w:w="80" w:type="dxa"/>
              <w:end w:w="120" w:type="dxa"/>
            </w:tcMar>
            <w:vAlign w:val="top"/>
          </w:tcPr>
          <w:p>
            <w:pPr>
              <w:spacing w:after="40" w:line="276" w:lineRule="auto"/>
            </w:pPr>
            <w:r>
              <w:rPr>
                <w:rFonts w:ascii="Calibri" w:hAnsi="Calibri"/>
                <w:sz w:val="18"/>
              </w:rPr>
              <w:t>Audit logs should be retained according to SOC policy.</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Encryption helpers</w:t>
            </w:r>
          </w:p>
        </w:tc>
        <w:tc>
          <w:tcPr>
            <w:tcW w:type="dxa" w:w="4300"/>
            <w:tcMar>
              <w:top w:w="80" w:type="dxa"/>
              <w:start w:w="120" w:type="dxa"/>
              <w:bottom w:w="80" w:type="dxa"/>
              <w:end w:w="120" w:type="dxa"/>
            </w:tcMar>
            <w:vAlign w:val="top"/>
          </w:tcPr>
          <w:p>
            <w:pPr>
              <w:spacing w:after="40" w:line="276" w:lineRule="auto"/>
            </w:pPr>
            <w:r>
              <w:rPr>
                <w:rFonts w:ascii="Calibri" w:hAnsi="Calibri"/>
                <w:sz w:val="18"/>
              </w:rPr>
              <w:t>Chat and stored SMTP passwords use Fernet derived from SECRET_KEY.</w:t>
            </w:r>
          </w:p>
        </w:tc>
        <w:tc>
          <w:tcPr>
            <w:tcW w:type="dxa" w:w="3260"/>
            <w:tcMar>
              <w:top w:w="80" w:type="dxa"/>
              <w:start w:w="120" w:type="dxa"/>
              <w:bottom w:w="80" w:type="dxa"/>
              <w:end w:w="120" w:type="dxa"/>
            </w:tcMar>
            <w:vAlign w:val="top"/>
          </w:tcPr>
          <w:p>
            <w:pPr>
              <w:spacing w:after="40" w:line="276" w:lineRule="auto"/>
            </w:pPr>
            <w:r>
              <w:rPr>
                <w:rFonts w:ascii="Calibri" w:hAnsi="Calibri"/>
                <w:sz w:val="18"/>
              </w:rPr>
              <w:t>Rotating SECRET_KEY requires a migration strategy for encrypted values.</w:t>
            </w:r>
          </w:p>
        </w:tc>
      </w:tr>
    </w:tbl>
    <w:p>
      <w:pPr>
        <w:pStyle w:val="Heading2"/>
      </w:pPr>
      <w:r>
        <w:t>Upload Rules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5160"/>
        <w:gridCol w:w="2000"/>
      </w:tblGrid>
      <w:tr>
        <w:tc>
          <w:tcPr>
            <w:tcW w:type="dxa" w:w="2200"/>
            <w:shd w:fill="E8EEF5"/>
            <w:tcMar>
              <w:top w:w="80" w:type="dxa"/>
              <w:start w:w="120" w:type="dxa"/>
              <w:bottom w:w="80" w:type="dxa"/>
              <w:end w:w="120" w:type="dxa"/>
            </w:tcMar>
            <w:vAlign w:val="top"/>
          </w:tcPr>
          <w:p>
            <w:pPr>
              <w:spacing w:after="40" w:line="276" w:lineRule="auto"/>
            </w:pPr>
            <w:r>
              <w:rPr>
                <w:rFonts w:ascii="Calibri" w:hAnsi="Calibri"/>
                <w:b/>
                <w:color w:val="102027"/>
                <w:sz w:val="18"/>
              </w:rPr>
              <w:t>Upload Area</w:t>
            </w:r>
          </w:p>
        </w:tc>
        <w:tc>
          <w:tcPr>
            <w:tcW w:type="dxa" w:w="5160"/>
            <w:shd w:fill="E8EEF5"/>
            <w:tcMar>
              <w:top w:w="80" w:type="dxa"/>
              <w:start w:w="120" w:type="dxa"/>
              <w:bottom w:w="80" w:type="dxa"/>
              <w:end w:w="120" w:type="dxa"/>
            </w:tcMar>
            <w:vAlign w:val="top"/>
          </w:tcPr>
          <w:p>
            <w:pPr>
              <w:spacing w:after="40" w:line="276" w:lineRule="auto"/>
            </w:pPr>
            <w:r>
              <w:rPr>
                <w:rFonts w:ascii="Calibri" w:hAnsi="Calibri"/>
                <w:b/>
                <w:color w:val="102027"/>
                <w:sz w:val="18"/>
              </w:rPr>
              <w:t>Allowed Extensions</w:t>
            </w:r>
          </w:p>
        </w:tc>
        <w:tc>
          <w:tcPr>
            <w:tcW w:type="dxa" w:w="2000"/>
            <w:shd w:fill="E8EEF5"/>
            <w:tcMar>
              <w:top w:w="80" w:type="dxa"/>
              <w:start w:w="120" w:type="dxa"/>
              <w:bottom w:w="80" w:type="dxa"/>
              <w:end w:w="120" w:type="dxa"/>
            </w:tcMar>
            <w:vAlign w:val="top"/>
          </w:tcPr>
          <w:p>
            <w:pPr>
              <w:spacing w:after="40" w:line="276" w:lineRule="auto"/>
            </w:pPr>
            <w:r>
              <w:rPr>
                <w:rFonts w:ascii="Calibri" w:hAnsi="Calibri"/>
                <w:b/>
                <w:color w:val="102027"/>
                <w:sz w:val="18"/>
              </w:rPr>
              <w:t>Maximum Size</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Evidence</w:t>
            </w:r>
          </w:p>
        </w:tc>
        <w:tc>
          <w:tcPr>
            <w:tcW w:type="dxa" w:w="5160"/>
            <w:tcMar>
              <w:top w:w="80" w:type="dxa"/>
              <w:start w:w="120" w:type="dxa"/>
              <w:bottom w:w="80" w:type="dxa"/>
              <w:end w:w="120" w:type="dxa"/>
            </w:tcMar>
            <w:vAlign w:val="top"/>
          </w:tcPr>
          <w:p>
            <w:pPr>
              <w:spacing w:after="40" w:line="276" w:lineRule="auto"/>
            </w:pPr>
            <w:r>
              <w:rPr>
                <w:rFonts w:ascii="Calibri" w:hAnsi="Calibri"/>
                <w:sz w:val="18"/>
              </w:rPr>
              <w:t>pdf, txt, log, csv, json, png, jpg, jpeg, zip</w:t>
            </w:r>
          </w:p>
        </w:tc>
        <w:tc>
          <w:tcPr>
            <w:tcW w:type="dxa" w:w="2000"/>
            <w:tcMar>
              <w:top w:w="80" w:type="dxa"/>
              <w:start w:w="120" w:type="dxa"/>
              <w:bottom w:w="80" w:type="dxa"/>
              <w:end w:w="120" w:type="dxa"/>
            </w:tcMar>
            <w:vAlign w:val="top"/>
          </w:tcPr>
          <w:p>
            <w:pPr>
              <w:spacing w:after="40" w:line="276" w:lineRule="auto"/>
            </w:pPr>
            <w:r>
              <w:rPr>
                <w:rFonts w:ascii="Calibri" w:hAnsi="Calibri"/>
                <w:sz w:val="18"/>
              </w:rPr>
              <w:t>25 MB</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Profile pictures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jpg, jpeg, png, webp</w:t>
            </w:r>
          </w:p>
        </w:tc>
        <w:tc>
          <w:tcPr>
            <w:tcW w:type="dxa" w:w="2000"/>
            <w:tcMar>
              <w:top w:w="80" w:type="dxa"/>
              <w:start w:w="120" w:type="dxa"/>
              <w:bottom w:w="80" w:type="dxa"/>
              <w:end w:w="120" w:type="dxa"/>
            </w:tcMar>
            <w:vAlign w:val="top"/>
          </w:tcPr>
          <w:p>
            <w:pPr>
              <w:spacing w:after="40" w:line="276" w:lineRule="auto"/>
            </w:pPr>
            <w:r>
              <w:rPr>
                <w:rFonts w:ascii="Calibri" w:hAnsi="Calibri"/>
                <w:sz w:val="18"/>
              </w:rPr>
              <w:t>5 MB</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Role icons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jpg, jpeg, png, webp</w:t>
            </w:r>
          </w:p>
        </w:tc>
        <w:tc>
          <w:tcPr>
            <w:tcW w:type="dxa" w:w="2000"/>
            <w:tcMar>
              <w:top w:w="80" w:type="dxa"/>
              <w:start w:w="120" w:type="dxa"/>
              <w:bottom w:w="80" w:type="dxa"/>
              <w:end w:w="120" w:type="dxa"/>
            </w:tcMar>
            <w:vAlign w:val="top"/>
          </w:tcPr>
          <w:p>
            <w:pPr>
              <w:spacing w:after="40" w:line="276" w:lineRule="auto"/>
            </w:pPr>
            <w:r>
              <w:rPr>
                <w:rFonts w:ascii="Calibri" w:hAnsi="Calibri"/>
                <w:sz w:val="18"/>
              </w:rPr>
              <w:t>2 MB</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Chat emojis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jpg, jpeg, png, webp, gif</w:t>
            </w:r>
          </w:p>
        </w:tc>
        <w:tc>
          <w:tcPr>
            <w:tcW w:type="dxa" w:w="2000"/>
            <w:tcMar>
              <w:top w:w="80" w:type="dxa"/>
              <w:start w:w="120" w:type="dxa"/>
              <w:bottom w:w="80" w:type="dxa"/>
              <w:end w:w="120" w:type="dxa"/>
            </w:tcMar>
            <w:vAlign w:val="top"/>
          </w:tcPr>
          <w:p>
            <w:pPr>
              <w:spacing w:after="40" w:line="276" w:lineRule="auto"/>
            </w:pPr>
            <w:r>
              <w:rPr>
                <w:rFonts w:ascii="Calibri" w:hAnsi="Calibri"/>
                <w:sz w:val="18"/>
              </w:rPr>
              <w:t>1 MB</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Report templates</w:t>
            </w:r>
          </w:p>
        </w:tc>
        <w:tc>
          <w:tcPr>
            <w:tcW w:type="dxa" w:w="5160"/>
            <w:tcMar>
              <w:top w:w="80" w:type="dxa"/>
              <w:start w:w="120" w:type="dxa"/>
              <w:bottom w:w="80" w:type="dxa"/>
              <w:end w:w="120" w:type="dxa"/>
            </w:tcMar>
            <w:vAlign w:val="top"/>
          </w:tcPr>
          <w:p>
            <w:pPr>
              <w:spacing w:after="40" w:line="276" w:lineRule="auto"/>
            </w:pPr>
            <w:r>
              <w:rPr>
                <w:rFonts w:ascii="Calibri" w:hAnsi="Calibri"/>
                <w:sz w:val="18"/>
              </w:rPr>
              <w:t>docx</w:t>
            </w:r>
          </w:p>
        </w:tc>
        <w:tc>
          <w:tcPr>
            <w:tcW w:type="dxa" w:w="2000"/>
            <w:tcMar>
              <w:top w:w="80" w:type="dxa"/>
              <w:start w:w="120" w:type="dxa"/>
              <w:bottom w:w="80" w:type="dxa"/>
              <w:end w:w="120" w:type="dxa"/>
            </w:tcMar>
            <w:vAlign w:val="top"/>
          </w:tcPr>
          <w:p>
            <w:pPr>
              <w:spacing w:after="40" w:line="276" w:lineRule="auto"/>
            </w:pPr>
            <w:r>
              <w:rPr>
                <w:rFonts w:ascii="Calibri" w:hAnsi="Calibri"/>
                <w:sz w:val="18"/>
              </w:rPr>
              <w:t>5 MB</w:t>
            </w:r>
          </w:p>
        </w:tc>
      </w:tr>
    </w:tbl>
    <w:p>
      <w:pPr>
        <w:pStyle w:val="Heading1"/>
      </w:pPr>
      <w:r>
        <w:t>6. RBAC and Role-Based Workflows</w:t>
      </w:r>
    </w:p>
    <w:p>
      <w:r>
        <w:t>AstoraSOC uses role presets with support for custom roles that inherit a base preset. Access decisions are evaluated through role_allows, so custom roles can be mapped to Admin, Lead, Analyst, Junior Analyst, or Viewer behavior.</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0"/>
        <w:gridCol w:w="4300"/>
        <w:gridCol w:w="3760"/>
      </w:tblGrid>
      <w:tr>
        <w:tc>
          <w:tcPr>
            <w:tcW w:type="dxa" w:w="1300"/>
            <w:shd w:fill="E8EEF5"/>
            <w:tcMar>
              <w:top w:w="80" w:type="dxa"/>
              <w:start w:w="120" w:type="dxa"/>
              <w:bottom w:w="80" w:type="dxa"/>
              <w:end w:w="120" w:type="dxa"/>
            </w:tcMar>
            <w:vAlign w:val="top"/>
          </w:tcPr>
          <w:p>
            <w:pPr>
              <w:spacing w:after="40" w:line="276" w:lineRule="auto"/>
            </w:pPr>
            <w:r>
              <w:rPr>
                <w:rFonts w:ascii="Calibri" w:hAnsi="Calibri"/>
                <w:b/>
                <w:color w:val="102027"/>
                <w:sz w:val="18"/>
              </w:rPr>
              <w:t>Role</w:t>
            </w:r>
          </w:p>
        </w:tc>
        <w:tc>
          <w:tcPr>
            <w:tcW w:type="dxa" w:w="4300"/>
            <w:shd w:fill="E8EEF5"/>
            <w:tcMar>
              <w:top w:w="80" w:type="dxa"/>
              <w:start w:w="120" w:type="dxa"/>
              <w:bottom w:w="80" w:type="dxa"/>
              <w:end w:w="120" w:type="dxa"/>
            </w:tcMar>
            <w:vAlign w:val="top"/>
          </w:tcPr>
          <w:p>
            <w:pPr>
              <w:spacing w:after="40" w:line="276" w:lineRule="auto"/>
            </w:pPr>
            <w:r>
              <w:rPr>
                <w:rFonts w:ascii="Calibri" w:hAnsi="Calibri"/>
                <w:b/>
                <w:color w:val="102027"/>
                <w:sz w:val="18"/>
              </w:rPr>
              <w:t>Primary Responsibilities</w:t>
            </w:r>
          </w:p>
        </w:tc>
        <w:tc>
          <w:tcPr>
            <w:tcW w:type="dxa" w:w="3760"/>
            <w:shd w:fill="E8EEF5"/>
            <w:tcMar>
              <w:top w:w="80" w:type="dxa"/>
              <w:start w:w="120" w:type="dxa"/>
              <w:bottom w:w="80" w:type="dxa"/>
              <w:end w:w="120" w:type="dxa"/>
            </w:tcMar>
            <w:vAlign w:val="top"/>
          </w:tcPr>
          <w:p>
            <w:pPr>
              <w:spacing w:after="40" w:line="276" w:lineRule="auto"/>
            </w:pPr>
            <w:r>
              <w:rPr>
                <w:rFonts w:ascii="Calibri" w:hAnsi="Calibri"/>
                <w:b/>
                <w:color w:val="102027"/>
                <w:sz w:val="18"/>
              </w:rPr>
              <w:t>Restrictions</w:t>
            </w:r>
          </w:p>
        </w:tc>
      </w:tr>
      <w:tr>
        <w:tc>
          <w:tcPr>
            <w:tcW w:type="dxa" w:w="1300"/>
            <w:tcMar>
              <w:top w:w="80" w:type="dxa"/>
              <w:start w:w="120" w:type="dxa"/>
              <w:bottom w:w="80" w:type="dxa"/>
              <w:end w:w="120" w:type="dxa"/>
            </w:tcMar>
            <w:vAlign w:val="top"/>
          </w:tcPr>
          <w:p>
            <w:pPr>
              <w:spacing w:after="40" w:line="276" w:lineRule="auto"/>
            </w:pPr>
            <w:r>
              <w:rPr>
                <w:rFonts w:ascii="Calibri" w:hAnsi="Calibri"/>
                <w:sz w:val="18"/>
              </w:rPr>
              <w:t>Admin</w:t>
            </w:r>
          </w:p>
        </w:tc>
        <w:tc>
          <w:tcPr>
            <w:tcW w:type="dxa" w:w="4300"/>
            <w:tcMar>
              <w:top w:w="80" w:type="dxa"/>
              <w:start w:w="120" w:type="dxa"/>
              <w:bottom w:w="80" w:type="dxa"/>
              <w:end w:w="120" w:type="dxa"/>
            </w:tcMar>
            <w:vAlign w:val="top"/>
          </w:tcPr>
          <w:p>
            <w:pPr>
              <w:spacing w:after="40" w:line="276" w:lineRule="auto"/>
            </w:pPr>
            <w:r>
              <w:rPr>
                <w:rFonts w:ascii="Calibri" w:hAnsi="Calibri"/>
                <w:sz w:val="18"/>
              </w:rPr>
              <w:t>System settings, users, SMTP, assets, playbooks, audit logs, integrations, platform oversight, and view access across alerts/cases/reviews.</w:t>
            </w:r>
          </w:p>
        </w:tc>
        <w:tc>
          <w:tcPr>
            <w:tcW w:type="dxa" w:w="3760"/>
            <w:tcMar>
              <w:top w:w="80" w:type="dxa"/>
              <w:start w:w="120" w:type="dxa"/>
              <w:bottom w:w="80" w:type="dxa"/>
              <w:end w:w="120" w:type="dxa"/>
            </w:tcMar>
            <w:vAlign w:val="top"/>
          </w:tcPr>
          <w:p>
            <w:pPr>
              <w:spacing w:after="40" w:line="276" w:lineRule="auto"/>
            </w:pPr>
            <w:r>
              <w:rPr>
                <w:rFonts w:ascii="Calibri" w:hAnsi="Calibri"/>
                <w:sz w:val="18"/>
              </w:rPr>
              <w:t>Admin can view alert, review, and case information but should not perform Lead review decisions or Analyst investigation edits inside cases.</w:t>
            </w:r>
          </w:p>
        </w:tc>
      </w:tr>
      <w:tr>
        <w:tc>
          <w:tcPr>
            <w:tcW w:type="dxa" w:w="1300"/>
            <w:tcMar>
              <w:top w:w="80" w:type="dxa"/>
              <w:start w:w="120" w:type="dxa"/>
              <w:bottom w:w="80" w:type="dxa"/>
              <w:end w:w="120" w:type="dxa"/>
            </w:tcMar>
            <w:vAlign w:val="top"/>
          </w:tcPr>
          <w:p>
            <w:pPr>
              <w:spacing w:after="40" w:line="276" w:lineRule="auto"/>
            </w:pPr>
            <w:r>
              <w:rPr>
                <w:rFonts w:ascii="Calibri" w:hAnsi="Calibri"/>
                <w:sz w:val="18"/>
              </w:rPr>
              <w:t>Lead</w:t>
            </w:r>
          </w:p>
        </w:tc>
        <w:tc>
          <w:tcPr>
            <w:tcW w:type="dxa" w:w="4300"/>
            <w:tcMar>
              <w:top w:w="80" w:type="dxa"/>
              <w:start w:w="120" w:type="dxa"/>
              <w:bottom w:w="80" w:type="dxa"/>
              <w:end w:w="120" w:type="dxa"/>
            </w:tcMar>
            <w:vAlign w:val="top"/>
          </w:tcPr>
          <w:p>
            <w:pPr>
              <w:spacing w:after="40" w:line="276" w:lineRule="auto"/>
            </w:pPr>
            <w:r>
              <w:rPr>
                <w:rFonts w:ascii="Calibri" w:hAnsi="Calibri"/>
                <w:sz w:val="18"/>
              </w:rPr>
              <w:t>Alert review, case assignment, closure review, containment approval/rejection, review queue governance, and SOC workload control.</w:t>
            </w:r>
          </w:p>
        </w:tc>
        <w:tc>
          <w:tcPr>
            <w:tcW w:type="dxa" w:w="3760"/>
            <w:tcMar>
              <w:top w:w="80" w:type="dxa"/>
              <w:start w:w="120" w:type="dxa"/>
              <w:bottom w:w="80" w:type="dxa"/>
              <w:end w:w="120" w:type="dxa"/>
            </w:tcMar>
            <w:vAlign w:val="top"/>
          </w:tcPr>
          <w:p>
            <w:pPr>
              <w:spacing w:after="40" w:line="276" w:lineRule="auto"/>
            </w:pPr>
            <w:r>
              <w:rPr>
                <w:rFonts w:ascii="Calibri" w:hAnsi="Calibri"/>
                <w:sz w:val="18"/>
              </w:rPr>
              <w:t>Lead can view case work and perform review/approval workflows, but should not edit Analyst investigation content inside cases.</w:t>
            </w:r>
          </w:p>
        </w:tc>
      </w:tr>
      <w:tr>
        <w:tc>
          <w:tcPr>
            <w:tcW w:type="dxa" w:w="1300"/>
            <w:tcMar>
              <w:top w:w="80" w:type="dxa"/>
              <w:start w:w="120" w:type="dxa"/>
              <w:bottom w:w="80" w:type="dxa"/>
              <w:end w:w="120" w:type="dxa"/>
            </w:tcMar>
            <w:vAlign w:val="top"/>
          </w:tcPr>
          <w:p>
            <w:pPr>
              <w:spacing w:after="40" w:line="276" w:lineRule="auto"/>
            </w:pPr>
            <w:r>
              <w:rPr>
                <w:rFonts w:ascii="Calibri" w:hAnsi="Calibri"/>
                <w:sz w:val="18"/>
              </w:rPr>
              <w:t>Analyst</w:t>
            </w:r>
          </w:p>
        </w:tc>
        <w:tc>
          <w:tcPr>
            <w:tcW w:type="dxa" w:w="4300"/>
            <w:tcMar>
              <w:top w:w="80" w:type="dxa"/>
              <w:start w:w="120" w:type="dxa"/>
              <w:bottom w:w="80" w:type="dxa"/>
              <w:end w:w="120" w:type="dxa"/>
            </w:tcMar>
            <w:vAlign w:val="top"/>
          </w:tcPr>
          <w:p>
            <w:pPr>
              <w:spacing w:after="40" w:line="276" w:lineRule="auto"/>
            </w:pPr>
            <w:r>
              <w:rPr>
                <w:rFonts w:ascii="Calibri" w:hAnsi="Calibri"/>
                <w:sz w:val="18"/>
              </w:rPr>
              <w:t>Assigned case investigation, notes, tasks, evidence, IOCs, containment requests, and closure submission.</w:t>
            </w:r>
          </w:p>
        </w:tc>
        <w:tc>
          <w:tcPr>
            <w:tcW w:type="dxa" w:w="3760"/>
            <w:tcMar>
              <w:top w:w="80" w:type="dxa"/>
              <w:start w:w="120" w:type="dxa"/>
              <w:bottom w:w="80" w:type="dxa"/>
              <w:end w:w="120" w:type="dxa"/>
            </w:tcMar>
            <w:vAlign w:val="top"/>
          </w:tcPr>
          <w:p>
            <w:pPr>
              <w:spacing w:after="40" w:line="276" w:lineRule="auto"/>
            </w:pPr>
            <w:r>
              <w:rPr>
                <w:rFonts w:ascii="Calibri" w:hAnsi="Calibri"/>
                <w:sz w:val="18"/>
              </w:rPr>
              <w:t>Analysts modify assigned investigations but do not approve closure or approve containment.</w:t>
            </w:r>
          </w:p>
        </w:tc>
      </w:tr>
      <w:tr>
        <w:tc>
          <w:tcPr>
            <w:tcW w:type="dxa" w:w="1300"/>
            <w:tcMar>
              <w:top w:w="80" w:type="dxa"/>
              <w:start w:w="120" w:type="dxa"/>
              <w:bottom w:w="80" w:type="dxa"/>
              <w:end w:w="120" w:type="dxa"/>
            </w:tcMar>
            <w:vAlign w:val="top"/>
          </w:tcPr>
          <w:p>
            <w:pPr>
              <w:spacing w:after="40" w:line="276" w:lineRule="auto"/>
            </w:pPr>
            <w:r>
              <w:rPr>
                <w:rFonts w:ascii="Calibri" w:hAnsi="Calibri"/>
                <w:sz w:val="18"/>
              </w:rPr>
              <w:t>Junior Analyst</w:t>
            </w:r>
          </w:p>
        </w:tc>
        <w:tc>
          <w:tcPr>
            <w:tcW w:type="dxa" w:w="4300"/>
            <w:tcMar>
              <w:top w:w="80" w:type="dxa"/>
              <w:start w:w="120" w:type="dxa"/>
              <w:bottom w:w="80" w:type="dxa"/>
              <w:end w:w="120" w:type="dxa"/>
            </w:tcMar>
            <w:vAlign w:val="top"/>
          </w:tcPr>
          <w:p>
            <w:pPr>
              <w:spacing w:after="40" w:line="276" w:lineRule="auto"/>
            </w:pPr>
            <w:r>
              <w:rPr>
                <w:rFonts w:ascii="Calibri" w:hAnsi="Calibri"/>
                <w:sz w:val="18"/>
              </w:rPr>
              <w:t>Alert triage, false-positive handling, and sending alerts for Lead review.</w:t>
            </w:r>
          </w:p>
        </w:tc>
        <w:tc>
          <w:tcPr>
            <w:tcW w:type="dxa" w:w="3760"/>
            <w:tcMar>
              <w:top w:w="80" w:type="dxa"/>
              <w:start w:w="120" w:type="dxa"/>
              <w:bottom w:w="80" w:type="dxa"/>
              <w:end w:w="120" w:type="dxa"/>
            </w:tcMar>
            <w:vAlign w:val="top"/>
          </w:tcPr>
          <w:p>
            <w:pPr>
              <w:spacing w:after="40" w:line="276" w:lineRule="auto"/>
            </w:pPr>
            <w:r>
              <w:rPr>
                <w:rFonts w:ascii="Calibri" w:hAnsi="Calibri"/>
                <w:sz w:val="18"/>
              </w:rPr>
              <w:t>Junior Analysts do not own case investigation approval or containment execution.</w:t>
            </w:r>
          </w:p>
        </w:tc>
      </w:tr>
      <w:tr>
        <w:tc>
          <w:tcPr>
            <w:tcW w:type="dxa" w:w="1300"/>
            <w:tcMar>
              <w:top w:w="80" w:type="dxa"/>
              <w:start w:w="120" w:type="dxa"/>
              <w:bottom w:w="80" w:type="dxa"/>
              <w:end w:w="120" w:type="dxa"/>
            </w:tcMar>
            <w:vAlign w:val="top"/>
          </w:tcPr>
          <w:p>
            <w:pPr>
              <w:spacing w:after="40" w:line="276" w:lineRule="auto"/>
            </w:pPr>
            <w:r>
              <w:rPr>
                <w:rFonts w:ascii="Calibri" w:hAnsi="Calibri"/>
                <w:sz w:val="18"/>
              </w:rPr>
              <w:t>Viewer</w:t>
            </w:r>
          </w:p>
        </w:tc>
        <w:tc>
          <w:tcPr>
            <w:tcW w:type="dxa" w:w="4300"/>
            <w:tcMar>
              <w:top w:w="80" w:type="dxa"/>
              <w:start w:w="120" w:type="dxa"/>
              <w:bottom w:w="80" w:type="dxa"/>
              <w:end w:w="120" w:type="dxa"/>
            </w:tcMar>
            <w:vAlign w:val="top"/>
          </w:tcPr>
          <w:p>
            <w:pPr>
              <w:spacing w:after="40" w:line="276" w:lineRule="auto"/>
            </w:pPr>
            <w:r>
              <w:rPr>
                <w:rFonts w:ascii="Calibri" w:hAnsi="Calibri"/>
                <w:sz w:val="18"/>
              </w:rPr>
              <w:t>Dashboard-level visibility.</w:t>
            </w:r>
          </w:p>
        </w:tc>
        <w:tc>
          <w:tcPr>
            <w:tcW w:type="dxa" w:w="3760"/>
            <w:tcMar>
              <w:top w:w="80" w:type="dxa"/>
              <w:start w:w="120" w:type="dxa"/>
              <w:bottom w:w="80" w:type="dxa"/>
              <w:end w:w="120" w:type="dxa"/>
            </w:tcMar>
            <w:vAlign w:val="top"/>
          </w:tcPr>
          <w:p>
            <w:pPr>
              <w:spacing w:after="40" w:line="276" w:lineRule="auto"/>
            </w:pPr>
            <w:r>
              <w:rPr>
                <w:rFonts w:ascii="Calibri" w:hAnsi="Calibri"/>
                <w:sz w:val="18"/>
              </w:rPr>
              <w:t>Viewer is read-oriented and should not change operational records.</w:t>
            </w:r>
          </w:p>
        </w:tc>
      </w:tr>
    </w:tbl>
    <w:p>
      <w:pPr>
        <w:pStyle w:val="Heading2"/>
      </w:pPr>
      <w:r>
        <w:t>RBAC Matrix</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00"/>
        <w:gridCol w:w="1370"/>
        <w:gridCol w:w="1370"/>
        <w:gridCol w:w="1370"/>
        <w:gridCol w:w="1370"/>
        <w:gridCol w:w="1380"/>
      </w:tblGrid>
      <w:tr>
        <w:tc>
          <w:tcPr>
            <w:tcW w:type="dxa" w:w="2500"/>
            <w:shd w:fill="E8EEF5"/>
            <w:tcMar>
              <w:top w:w="80" w:type="dxa"/>
              <w:start w:w="120" w:type="dxa"/>
              <w:bottom w:w="80" w:type="dxa"/>
              <w:end w:w="120" w:type="dxa"/>
            </w:tcMar>
            <w:vAlign w:val="top"/>
          </w:tcPr>
          <w:p>
            <w:pPr>
              <w:spacing w:after="40" w:line="276" w:lineRule="auto"/>
            </w:pPr>
            <w:r>
              <w:rPr>
                <w:rFonts w:ascii="Calibri" w:hAnsi="Calibri"/>
                <w:b/>
                <w:color w:val="102027"/>
                <w:sz w:val="18"/>
              </w:rPr>
              <w:t>Capability</w:t>
            </w:r>
          </w:p>
        </w:tc>
        <w:tc>
          <w:tcPr>
            <w:tcW w:type="dxa" w:w="1370"/>
            <w:shd w:fill="E8EEF5"/>
            <w:tcMar>
              <w:top w:w="80" w:type="dxa"/>
              <w:start w:w="120" w:type="dxa"/>
              <w:bottom w:w="80" w:type="dxa"/>
              <w:end w:w="120" w:type="dxa"/>
            </w:tcMar>
            <w:vAlign w:val="top"/>
          </w:tcPr>
          <w:p>
            <w:pPr>
              <w:spacing w:after="40" w:line="276" w:lineRule="auto"/>
            </w:pPr>
            <w:r>
              <w:rPr>
                <w:rFonts w:ascii="Calibri" w:hAnsi="Calibri"/>
                <w:b/>
                <w:color w:val="102027"/>
                <w:sz w:val="18"/>
              </w:rPr>
              <w:t>Admin</w:t>
            </w:r>
          </w:p>
        </w:tc>
        <w:tc>
          <w:tcPr>
            <w:tcW w:type="dxa" w:w="1370"/>
            <w:shd w:fill="E8EEF5"/>
            <w:tcMar>
              <w:top w:w="80" w:type="dxa"/>
              <w:start w:w="120" w:type="dxa"/>
              <w:bottom w:w="80" w:type="dxa"/>
              <w:end w:w="120" w:type="dxa"/>
            </w:tcMar>
            <w:vAlign w:val="top"/>
          </w:tcPr>
          <w:p>
            <w:pPr>
              <w:spacing w:after="40" w:line="276" w:lineRule="auto"/>
            </w:pPr>
            <w:r>
              <w:rPr>
                <w:rFonts w:ascii="Calibri" w:hAnsi="Calibri"/>
                <w:b/>
                <w:color w:val="102027"/>
                <w:sz w:val="18"/>
              </w:rPr>
              <w:t>Lead</w:t>
            </w:r>
          </w:p>
        </w:tc>
        <w:tc>
          <w:tcPr>
            <w:tcW w:type="dxa" w:w="1370"/>
            <w:shd w:fill="E8EEF5"/>
            <w:tcMar>
              <w:top w:w="80" w:type="dxa"/>
              <w:start w:w="120" w:type="dxa"/>
              <w:bottom w:w="80" w:type="dxa"/>
              <w:end w:w="120" w:type="dxa"/>
            </w:tcMar>
            <w:vAlign w:val="top"/>
          </w:tcPr>
          <w:p>
            <w:pPr>
              <w:spacing w:after="40" w:line="276" w:lineRule="auto"/>
            </w:pPr>
            <w:r>
              <w:rPr>
                <w:rFonts w:ascii="Calibri" w:hAnsi="Calibri"/>
                <w:b/>
                <w:color w:val="102027"/>
                <w:sz w:val="18"/>
              </w:rPr>
              <w:t>Analyst</w:t>
            </w:r>
          </w:p>
        </w:tc>
        <w:tc>
          <w:tcPr>
            <w:tcW w:type="dxa" w:w="1370"/>
            <w:shd w:fill="E8EEF5"/>
            <w:tcMar>
              <w:top w:w="80" w:type="dxa"/>
              <w:start w:w="120" w:type="dxa"/>
              <w:bottom w:w="80" w:type="dxa"/>
              <w:end w:w="120" w:type="dxa"/>
            </w:tcMar>
            <w:vAlign w:val="top"/>
          </w:tcPr>
          <w:p>
            <w:pPr>
              <w:spacing w:after="40" w:line="276" w:lineRule="auto"/>
            </w:pPr>
            <w:r>
              <w:rPr>
                <w:rFonts w:ascii="Calibri" w:hAnsi="Calibri"/>
                <w:b/>
                <w:color w:val="102027"/>
                <w:sz w:val="18"/>
              </w:rPr>
              <w:t>Junior Analyst</w:t>
            </w:r>
          </w:p>
        </w:tc>
        <w:tc>
          <w:tcPr>
            <w:tcW w:type="dxa" w:w="1380"/>
            <w:shd w:fill="E8EEF5"/>
            <w:tcMar>
              <w:top w:w="80" w:type="dxa"/>
              <w:start w:w="120" w:type="dxa"/>
              <w:bottom w:w="80" w:type="dxa"/>
              <w:end w:w="120" w:type="dxa"/>
            </w:tcMar>
            <w:vAlign w:val="top"/>
          </w:tcPr>
          <w:p>
            <w:pPr>
              <w:spacing w:after="40" w:line="276" w:lineRule="auto"/>
            </w:pPr>
            <w:r>
              <w:rPr>
                <w:rFonts w:ascii="Calibri" w:hAnsi="Calibri"/>
                <w:b/>
                <w:color w:val="102027"/>
                <w:sz w:val="18"/>
              </w:rPr>
              <w:t>Viewer</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Dashboard</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w:t>
            </w:r>
          </w:p>
        </w:tc>
        <w:tc>
          <w:tcPr>
            <w:tcW w:type="dxa" w:w="1380"/>
            <w:tcMar>
              <w:top w:w="80" w:type="dxa"/>
              <w:start w:w="120" w:type="dxa"/>
              <w:bottom w:w="80" w:type="dxa"/>
              <w:end w:w="120" w:type="dxa"/>
            </w:tcMar>
            <w:vAlign w:val="top"/>
          </w:tcPr>
          <w:p>
            <w:pPr>
              <w:spacing w:after="40" w:line="276" w:lineRule="auto"/>
            </w:pPr>
            <w:r>
              <w:rPr>
                <w:rFonts w:ascii="Calibri" w:hAnsi="Calibri"/>
                <w:sz w:val="18"/>
              </w:rPr>
              <w:t>View</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Alerts list/detail</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View/Review</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 where allowed</w:t>
            </w:r>
          </w:p>
        </w:tc>
        <w:tc>
          <w:tcPr>
            <w:tcW w:type="dxa" w:w="1370"/>
            <w:tcMar>
              <w:top w:w="80" w:type="dxa"/>
              <w:start w:w="120" w:type="dxa"/>
              <w:bottom w:w="80" w:type="dxa"/>
              <w:end w:w="120" w:type="dxa"/>
            </w:tcMar>
            <w:vAlign w:val="top"/>
          </w:tcPr>
          <w:p>
            <w:pPr>
              <w:spacing w:after="40" w:line="276" w:lineRule="auto"/>
            </w:pPr>
            <w:r>
              <w:rPr>
                <w:rFonts w:ascii="Calibri" w:hAnsi="Calibri"/>
                <w:sz w:val="18"/>
              </w:rPr>
              <w:t>Triage</w:t>
            </w:r>
          </w:p>
        </w:tc>
        <w:tc>
          <w:tcPr>
            <w:tcW w:type="dxa" w:w="1380"/>
            <w:tcMar>
              <w:top w:w="80" w:type="dxa"/>
              <w:start w:w="120" w:type="dxa"/>
              <w:bottom w:w="80" w:type="dxa"/>
              <w:end w:w="120" w:type="dxa"/>
            </w:tcMar>
            <w:vAlign w:val="top"/>
          </w:tcPr>
          <w:p>
            <w:pPr>
              <w:spacing w:after="40" w:line="276" w:lineRule="auto"/>
            </w:pPr>
            <w:r>
              <w:rPr>
                <w:rFonts w:ascii="Calibri" w:hAnsi="Calibri"/>
                <w:sz w:val="18"/>
              </w:rPr>
              <w:t>Limited</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Send alert to review</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70"/>
            <w:tcMar>
              <w:top w:w="80" w:type="dxa"/>
              <w:start w:w="120" w:type="dxa"/>
              <w:bottom w:w="80" w:type="dxa"/>
              <w:end w:w="120" w:type="dxa"/>
            </w:tcMar>
            <w:vAlign w:val="top"/>
          </w:tcPr>
          <w:p>
            <w:pPr>
              <w:spacing w:after="40" w:line="276" w:lineRule="auto"/>
            </w:pPr>
            <w:r>
              <w:rPr>
                <w:rFonts w:ascii="Calibri" w:hAnsi="Calibri"/>
                <w:sz w:val="18"/>
              </w:rPr>
              <w:t>Yes</w:t>
            </w:r>
          </w:p>
        </w:tc>
        <w:tc>
          <w:tcPr>
            <w:tcW w:type="dxa" w:w="1380"/>
            <w:tcMar>
              <w:top w:w="80" w:type="dxa"/>
              <w:start w:w="120" w:type="dxa"/>
              <w:bottom w:w="80" w:type="dxa"/>
              <w:end w:w="120" w:type="dxa"/>
            </w:tcMar>
            <w:vAlign w:val="top"/>
          </w:tcPr>
          <w:p>
            <w:pPr>
              <w:spacing w:after="40" w:line="276" w:lineRule="auto"/>
            </w:pPr>
            <w:r>
              <w:rPr>
                <w:rFonts w:ascii="Calibri" w:hAnsi="Calibri"/>
                <w:sz w:val="18"/>
              </w:rPr>
              <w:t>No</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Promote alert to case</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70"/>
            <w:tcMar>
              <w:top w:w="80" w:type="dxa"/>
              <w:start w:w="120" w:type="dxa"/>
              <w:bottom w:w="80" w:type="dxa"/>
              <w:end w:w="120" w:type="dxa"/>
            </w:tcMar>
            <w:vAlign w:val="top"/>
          </w:tcPr>
          <w:p>
            <w:pPr>
              <w:spacing w:after="40" w:line="276" w:lineRule="auto"/>
            </w:pPr>
            <w:r>
              <w:rPr>
                <w:rFonts w:ascii="Calibri" w:hAnsi="Calibri"/>
                <w:sz w:val="18"/>
              </w:rPr>
              <w:t>Yes</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80"/>
            <w:tcMar>
              <w:top w:w="80" w:type="dxa"/>
              <w:start w:w="120" w:type="dxa"/>
              <w:bottom w:w="80" w:type="dxa"/>
              <w:end w:w="120" w:type="dxa"/>
            </w:tcMar>
            <w:vAlign w:val="top"/>
          </w:tcPr>
          <w:p>
            <w:pPr>
              <w:spacing w:after="40" w:line="276" w:lineRule="auto"/>
            </w:pPr>
            <w:r>
              <w:rPr>
                <w:rFonts w:ascii="Calibri" w:hAnsi="Calibri"/>
                <w:sz w:val="18"/>
              </w:rPr>
              <w:t>No</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Case detail</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 only</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View/review only</w:t>
            </w:r>
          </w:p>
        </w:tc>
        <w:tc>
          <w:tcPr>
            <w:tcW w:type="dxa" w:w="1370"/>
            <w:tcMar>
              <w:top w:w="80" w:type="dxa"/>
              <w:start w:w="120" w:type="dxa"/>
              <w:bottom w:w="80" w:type="dxa"/>
              <w:end w:w="120" w:type="dxa"/>
            </w:tcMar>
            <w:vAlign w:val="top"/>
          </w:tcPr>
          <w:p>
            <w:pPr>
              <w:spacing w:after="40" w:line="276" w:lineRule="auto"/>
            </w:pPr>
            <w:r>
              <w:rPr>
                <w:rFonts w:ascii="Calibri" w:hAnsi="Calibri"/>
                <w:sz w:val="18"/>
              </w:rPr>
              <w:t>Investigate assigned cases</w:t>
            </w:r>
          </w:p>
        </w:tc>
        <w:tc>
          <w:tcPr>
            <w:tcW w:type="dxa" w:w="1370"/>
            <w:tcMar>
              <w:top w:w="80" w:type="dxa"/>
              <w:start w:w="120" w:type="dxa"/>
              <w:bottom w:w="80" w:type="dxa"/>
              <w:end w:w="120" w:type="dxa"/>
            </w:tcMar>
            <w:vAlign w:val="top"/>
          </w:tcPr>
          <w:p>
            <w:pPr>
              <w:spacing w:after="40" w:line="276" w:lineRule="auto"/>
            </w:pPr>
            <w:r>
              <w:rPr>
                <w:rFonts w:ascii="Calibri" w:hAnsi="Calibri"/>
                <w:sz w:val="18"/>
              </w:rPr>
              <w:t>Limited</w:t>
            </w:r>
          </w:p>
        </w:tc>
        <w:tc>
          <w:tcPr>
            <w:tcW w:type="dxa" w:w="1380"/>
            <w:tcMar>
              <w:top w:w="80" w:type="dxa"/>
              <w:start w:w="120" w:type="dxa"/>
              <w:bottom w:w="80" w:type="dxa"/>
              <w:end w:w="120" w:type="dxa"/>
            </w:tcMar>
            <w:vAlign w:val="top"/>
          </w:tcPr>
          <w:p>
            <w:pPr>
              <w:spacing w:after="40" w:line="276" w:lineRule="auto"/>
            </w:pPr>
            <w:r>
              <w:rPr>
                <w:rFonts w:ascii="Calibri" w:hAnsi="Calibri"/>
                <w:sz w:val="18"/>
              </w:rPr>
              <w:t>No</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Case notes/evidence/IOCs/tasks</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 only</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 only</w:t>
            </w:r>
          </w:p>
        </w:tc>
        <w:tc>
          <w:tcPr>
            <w:tcW w:type="dxa" w:w="1370"/>
            <w:tcMar>
              <w:top w:w="80" w:type="dxa"/>
              <w:start w:w="120" w:type="dxa"/>
              <w:bottom w:w="80" w:type="dxa"/>
              <w:end w:w="120" w:type="dxa"/>
            </w:tcMar>
            <w:vAlign w:val="top"/>
          </w:tcPr>
          <w:p>
            <w:pPr>
              <w:spacing w:after="40" w:line="276" w:lineRule="auto"/>
            </w:pPr>
            <w:r>
              <w:rPr>
                <w:rFonts w:ascii="Calibri" w:hAnsi="Calibri"/>
                <w:sz w:val="18"/>
              </w:rPr>
              <w:t>Create/edit/delete as investigator</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80"/>
            <w:tcMar>
              <w:top w:w="80" w:type="dxa"/>
              <w:start w:w="120" w:type="dxa"/>
              <w:bottom w:w="80" w:type="dxa"/>
              <w:end w:w="120" w:type="dxa"/>
            </w:tcMar>
            <w:vAlign w:val="top"/>
          </w:tcPr>
          <w:p>
            <w:pPr>
              <w:spacing w:after="40" w:line="276" w:lineRule="auto"/>
            </w:pPr>
            <w:r>
              <w:rPr>
                <w:rFonts w:ascii="Calibri" w:hAnsi="Calibri"/>
                <w:sz w:val="18"/>
              </w:rPr>
              <w:t>No</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Closure review</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 only</w:t>
            </w:r>
          </w:p>
        </w:tc>
        <w:tc>
          <w:tcPr>
            <w:tcW w:type="dxa" w:w="1370"/>
            <w:tcMar>
              <w:top w:w="80" w:type="dxa"/>
              <w:start w:w="120" w:type="dxa"/>
              <w:bottom w:w="80" w:type="dxa"/>
              <w:end w:w="120" w:type="dxa"/>
            </w:tcMar>
            <w:vAlign w:val="top"/>
          </w:tcPr>
          <w:p>
            <w:pPr>
              <w:spacing w:after="40" w:line="276" w:lineRule="auto"/>
            </w:pPr>
            <w:r>
              <w:rPr>
                <w:rFonts w:ascii="Calibri" w:hAnsi="Calibri"/>
                <w:sz w:val="18"/>
              </w:rPr>
              <w:t>Approve/reject/request more work</w:t>
            </w:r>
          </w:p>
        </w:tc>
        <w:tc>
          <w:tcPr>
            <w:tcW w:type="dxa" w:w="1370"/>
            <w:tcMar>
              <w:top w:w="80" w:type="dxa"/>
              <w:start w:w="120" w:type="dxa"/>
              <w:bottom w:w="80" w:type="dxa"/>
              <w:end w:w="120" w:type="dxa"/>
            </w:tcMar>
            <w:vAlign w:val="top"/>
          </w:tcPr>
          <w:p>
            <w:pPr>
              <w:spacing w:after="40" w:line="276" w:lineRule="auto"/>
            </w:pPr>
            <w:r>
              <w:rPr>
                <w:rFonts w:ascii="Calibri" w:hAnsi="Calibri"/>
                <w:sz w:val="18"/>
              </w:rPr>
              <w:t>Request closure review</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80"/>
            <w:tcMar>
              <w:top w:w="80" w:type="dxa"/>
              <w:start w:w="120" w:type="dxa"/>
              <w:bottom w:w="80" w:type="dxa"/>
              <w:end w:w="120" w:type="dxa"/>
            </w:tcMar>
            <w:vAlign w:val="top"/>
          </w:tcPr>
          <w:p>
            <w:pPr>
              <w:spacing w:after="40" w:line="276" w:lineRule="auto"/>
            </w:pPr>
            <w:r>
              <w:rPr>
                <w:rFonts w:ascii="Calibri" w:hAnsi="Calibri"/>
                <w:sz w:val="18"/>
              </w:rPr>
              <w:t>No</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Containment request</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 case edits</w:t>
            </w:r>
          </w:p>
        </w:tc>
        <w:tc>
          <w:tcPr>
            <w:tcW w:type="dxa" w:w="1370"/>
            <w:tcMar>
              <w:top w:w="80" w:type="dxa"/>
              <w:start w:w="120" w:type="dxa"/>
              <w:bottom w:w="80" w:type="dxa"/>
              <w:end w:w="120" w:type="dxa"/>
            </w:tcMar>
            <w:vAlign w:val="top"/>
          </w:tcPr>
          <w:p>
            <w:pPr>
              <w:spacing w:after="40" w:line="276" w:lineRule="auto"/>
            </w:pPr>
            <w:r>
              <w:rPr>
                <w:rFonts w:ascii="Calibri" w:hAnsi="Calibri"/>
                <w:sz w:val="18"/>
              </w:rPr>
              <w:t>Approve/reject and execute when allowed</w:t>
            </w:r>
          </w:p>
        </w:tc>
        <w:tc>
          <w:tcPr>
            <w:tcW w:type="dxa" w:w="1370"/>
            <w:tcMar>
              <w:top w:w="80" w:type="dxa"/>
              <w:start w:w="120" w:type="dxa"/>
              <w:bottom w:w="80" w:type="dxa"/>
              <w:end w:w="120" w:type="dxa"/>
            </w:tcMar>
            <w:vAlign w:val="top"/>
          </w:tcPr>
          <w:p>
            <w:pPr>
              <w:spacing w:after="40" w:line="276" w:lineRule="auto"/>
            </w:pPr>
            <w:r>
              <w:rPr>
                <w:rFonts w:ascii="Calibri" w:hAnsi="Calibri"/>
                <w:sz w:val="18"/>
              </w:rPr>
              <w:t>Request only</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80"/>
            <w:tcMar>
              <w:top w:w="80" w:type="dxa"/>
              <w:start w:w="120" w:type="dxa"/>
              <w:bottom w:w="80" w:type="dxa"/>
              <w:end w:w="120" w:type="dxa"/>
            </w:tcMar>
            <w:vAlign w:val="top"/>
          </w:tcPr>
          <w:p>
            <w:pPr>
              <w:spacing w:after="40" w:line="276" w:lineRule="auto"/>
            </w:pPr>
            <w:r>
              <w:rPr>
                <w:rFonts w:ascii="Calibri" w:hAnsi="Calibri"/>
                <w:sz w:val="18"/>
              </w:rPr>
              <w:t>No</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Assets</w:t>
            </w:r>
          </w:p>
        </w:tc>
        <w:tc>
          <w:tcPr>
            <w:tcW w:type="dxa" w:w="1370"/>
            <w:tcMar>
              <w:top w:w="80" w:type="dxa"/>
              <w:start w:w="120" w:type="dxa"/>
              <w:bottom w:w="80" w:type="dxa"/>
              <w:end w:w="120" w:type="dxa"/>
            </w:tcMar>
            <w:vAlign w:val="top"/>
          </w:tcPr>
          <w:p>
            <w:pPr>
              <w:spacing w:after="40" w:line="276" w:lineRule="auto"/>
            </w:pPr>
            <w:r>
              <w:rPr>
                <w:rFonts w:ascii="Calibri" w:hAnsi="Calibri"/>
                <w:sz w:val="18"/>
              </w:rPr>
              <w:t>Manage</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View/use context</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View/use context</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 context</w:t>
            </w:r>
          </w:p>
        </w:tc>
        <w:tc>
          <w:tcPr>
            <w:tcW w:type="dxa" w:w="1380"/>
            <w:tcMar>
              <w:top w:w="80" w:type="dxa"/>
              <w:start w:w="120" w:type="dxa"/>
              <w:bottom w:w="80" w:type="dxa"/>
              <w:end w:w="120" w:type="dxa"/>
            </w:tcMar>
            <w:vAlign w:val="top"/>
          </w:tcPr>
          <w:p>
            <w:pPr>
              <w:spacing w:after="40" w:line="276" w:lineRule="auto"/>
            </w:pPr>
            <w:r>
              <w:rPr>
                <w:rFonts w:ascii="Calibri" w:hAnsi="Calibri"/>
                <w:sz w:val="18"/>
              </w:rPr>
              <w:t>Limited</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Playbooks</w:t>
            </w:r>
          </w:p>
        </w:tc>
        <w:tc>
          <w:tcPr>
            <w:tcW w:type="dxa" w:w="1370"/>
            <w:tcMar>
              <w:top w:w="80" w:type="dxa"/>
              <w:start w:w="120" w:type="dxa"/>
              <w:bottom w:w="80" w:type="dxa"/>
              <w:end w:w="120" w:type="dxa"/>
            </w:tcMar>
            <w:vAlign w:val="top"/>
          </w:tcPr>
          <w:p>
            <w:pPr>
              <w:spacing w:after="40" w:line="276" w:lineRule="auto"/>
            </w:pPr>
            <w:r>
              <w:rPr>
                <w:rFonts w:ascii="Calibri" w:hAnsi="Calibri"/>
                <w:sz w:val="18"/>
              </w:rPr>
              <w:t>Manage templates</w:t>
            </w:r>
          </w:p>
        </w:tc>
        <w:tc>
          <w:tcPr>
            <w:tcW w:type="dxa" w:w="1370"/>
            <w:tcMar>
              <w:top w:w="80" w:type="dxa"/>
              <w:start w:w="120" w:type="dxa"/>
              <w:bottom w:w="80" w:type="dxa"/>
              <w:end w:w="120" w:type="dxa"/>
            </w:tcMar>
            <w:vAlign w:val="top"/>
          </w:tcPr>
          <w:p>
            <w:pPr>
              <w:spacing w:after="40" w:line="276" w:lineRule="auto"/>
            </w:pPr>
            <w:r>
              <w:rPr>
                <w:rFonts w:ascii="Calibri" w:hAnsi="Calibri"/>
                <w:sz w:val="18"/>
              </w:rPr>
              <w:t>View outcomes</w:t>
            </w:r>
          </w:p>
        </w:tc>
        <w:tc>
          <w:tcPr>
            <w:tcW w:type="dxa" w:w="1370"/>
            <w:tcMar>
              <w:top w:w="80" w:type="dxa"/>
              <w:start w:w="120" w:type="dxa"/>
              <w:bottom w:w="80" w:type="dxa"/>
              <w:end w:w="120" w:type="dxa"/>
            </w:tcMar>
            <w:vAlign w:val="top"/>
          </w:tcPr>
          <w:p>
            <w:pPr>
              <w:spacing w:after="40" w:line="276" w:lineRule="auto"/>
            </w:pPr>
            <w:r>
              <w:rPr>
                <w:rFonts w:ascii="Calibri" w:hAnsi="Calibri"/>
                <w:sz w:val="18"/>
              </w:rPr>
              <w:t>Use generated tasks</w:t>
            </w:r>
          </w:p>
        </w:tc>
        <w:tc>
          <w:tcPr>
            <w:tcW w:type="dxa" w:w="1370"/>
            <w:tcMar>
              <w:top w:w="80" w:type="dxa"/>
              <w:start w:w="120" w:type="dxa"/>
              <w:bottom w:w="80" w:type="dxa"/>
              <w:end w:w="120" w:type="dxa"/>
            </w:tcMar>
            <w:vAlign w:val="top"/>
          </w:tcPr>
          <w:p>
            <w:pPr>
              <w:spacing w:after="40" w:line="276" w:lineRule="auto"/>
            </w:pPr>
            <w:r>
              <w:rPr>
                <w:rFonts w:ascii="Calibri" w:hAnsi="Calibri"/>
                <w:sz w:val="18"/>
              </w:rPr>
              <w:t>Limited</w:t>
            </w:r>
          </w:p>
        </w:tc>
        <w:tc>
          <w:tcPr>
            <w:tcW w:type="dxa" w:w="1380"/>
            <w:tcMar>
              <w:top w:w="80" w:type="dxa"/>
              <w:start w:w="120" w:type="dxa"/>
              <w:bottom w:w="80" w:type="dxa"/>
              <w:end w:w="120" w:type="dxa"/>
            </w:tcMar>
            <w:vAlign w:val="top"/>
          </w:tcPr>
          <w:p>
            <w:pPr>
              <w:spacing w:after="40" w:line="276" w:lineRule="auto"/>
            </w:pPr>
            <w:r>
              <w:rPr>
                <w:rFonts w:ascii="Calibri" w:hAnsi="Calibri"/>
                <w:sz w:val="18"/>
              </w:rPr>
              <w:t>No</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Settings/email/API key</w:t>
            </w:r>
          </w:p>
        </w:tc>
        <w:tc>
          <w:tcPr>
            <w:tcW w:type="dxa" w:w="1370"/>
            <w:tcMar>
              <w:top w:w="80" w:type="dxa"/>
              <w:start w:w="120" w:type="dxa"/>
              <w:bottom w:w="80" w:type="dxa"/>
              <w:end w:w="120" w:type="dxa"/>
            </w:tcMar>
            <w:vAlign w:val="top"/>
          </w:tcPr>
          <w:p>
            <w:pPr>
              <w:spacing w:after="40" w:line="276" w:lineRule="auto"/>
            </w:pPr>
            <w:r>
              <w:rPr>
                <w:rFonts w:ascii="Calibri" w:hAnsi="Calibri"/>
                <w:sz w:val="18"/>
              </w:rPr>
              <w:t>Manage</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80"/>
            <w:tcMar>
              <w:top w:w="80" w:type="dxa"/>
              <w:start w:w="120" w:type="dxa"/>
              <w:bottom w:w="80" w:type="dxa"/>
              <w:end w:w="120" w:type="dxa"/>
            </w:tcMar>
            <w:vAlign w:val="top"/>
          </w:tcPr>
          <w:p>
            <w:pPr>
              <w:spacing w:after="40" w:line="276" w:lineRule="auto"/>
            </w:pPr>
            <w:r>
              <w:rPr>
                <w:rFonts w:ascii="Calibri" w:hAnsi="Calibri"/>
                <w:sz w:val="18"/>
              </w:rPr>
              <w:t>No</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Audit logs</w:t>
            </w:r>
          </w:p>
        </w:tc>
        <w:tc>
          <w:tcPr>
            <w:tcW w:type="dxa" w:w="1370"/>
            <w:tcMar>
              <w:top w:w="80" w:type="dxa"/>
              <w:start w:w="120" w:type="dxa"/>
              <w:bottom w:w="80" w:type="dxa"/>
              <w:end w:w="120" w:type="dxa"/>
            </w:tcMar>
            <w:vAlign w:val="top"/>
          </w:tcPr>
          <w:p>
            <w:pPr>
              <w:spacing w:after="40" w:line="276" w:lineRule="auto"/>
            </w:pPr>
            <w:r>
              <w:rPr>
                <w:rFonts w:ascii="Calibri" w:hAnsi="Calibri"/>
                <w:sz w:val="18"/>
              </w:rPr>
              <w:t>Manage/view/export/cleanup</w:t>
            </w:r>
          </w:p>
        </w:tc>
        <w:tc>
          <w:tcPr>
            <w:tcW w:type="dxa" w:w="1370"/>
            <w:tcMar>
              <w:top w:w="80" w:type="dxa"/>
              <w:start w:w="120" w:type="dxa"/>
              <w:bottom w:w="80" w:type="dxa"/>
              <w:end w:w="120" w:type="dxa"/>
            </w:tcMar>
            <w:vAlign w:val="top"/>
          </w:tcPr>
          <w:p>
            <w:pPr>
              <w:spacing w:after="40" w:line="276" w:lineRule="auto"/>
            </w:pPr>
            <w:r>
              <w:rPr>
                <w:rFonts w:ascii="Calibri" w:hAnsi="Calibri"/>
                <w:sz w:val="18"/>
              </w:rPr>
              <w:t>Policy-based</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70"/>
            <w:tcMar>
              <w:top w:w="80" w:type="dxa"/>
              <w:start w:w="120" w:type="dxa"/>
              <w:bottom w:w="80" w:type="dxa"/>
              <w:end w:w="120" w:type="dxa"/>
            </w:tcMar>
            <w:vAlign w:val="top"/>
          </w:tcPr>
          <w:p>
            <w:pPr>
              <w:spacing w:after="40" w:line="276" w:lineRule="auto"/>
            </w:pPr>
            <w:r>
              <w:rPr>
                <w:rFonts w:ascii="Calibri" w:hAnsi="Calibri"/>
                <w:sz w:val="18"/>
              </w:rPr>
              <w:t>No</w:t>
            </w:r>
          </w:p>
        </w:tc>
        <w:tc>
          <w:tcPr>
            <w:tcW w:type="dxa" w:w="1380"/>
            <w:tcMar>
              <w:top w:w="80" w:type="dxa"/>
              <w:start w:w="120" w:type="dxa"/>
              <w:bottom w:w="80" w:type="dxa"/>
              <w:end w:w="120" w:type="dxa"/>
            </w:tcMar>
            <w:vAlign w:val="top"/>
          </w:tcPr>
          <w:p>
            <w:pPr>
              <w:spacing w:after="40" w:line="276" w:lineRule="auto"/>
            </w:pPr>
            <w:r>
              <w:rPr>
                <w:rFonts w:ascii="Calibri" w:hAnsi="Calibri"/>
                <w:sz w:val="18"/>
              </w:rPr>
              <w:t>No</w:t>
            </w:r>
          </w:p>
        </w:tc>
      </w:tr>
    </w:tbl>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tcMar>
              <w:top w:w="80" w:type="dxa"/>
              <w:start w:w="120" w:type="dxa"/>
              <w:bottom w:w="80" w:type="dxa"/>
              <w:end w:w="120" w:type="dxa"/>
            </w:tcMar>
            <w:vAlign w:val="top"/>
            <w:shd w:fill="FFF7E6"/>
          </w:tcPr>
          <w:p>
            <w:r>
              <w:rPr>
                <w:b/>
                <w:color w:val="6B4E00"/>
                <w:sz w:val="20"/>
              </w:rPr>
              <w:t>Case Workspace Rule</w:t>
            </w:r>
            <w:r>
              <w:rPr>
                <w:color w:val="6B4E00"/>
                <w:sz w:val="18"/>
              </w:rPr>
              <w:br/>
              <w:t>The case investigation workspace is Analyst-owned working space. Admin and Lead users may inspect case content for oversight and review, but operational edits such as notes, evidence uploads, IOC creation, task edits, containment requests, and closure submission are reserved for Analysts.</w:t>
            </w:r>
          </w:p>
        </w:tc>
      </w:tr>
    </w:tbl>
    <w:p/>
    <w:p>
      <w:pPr>
        <w:pStyle w:val="Heading1"/>
      </w:pPr>
      <w:r>
        <w:t>7. Dashboard and Operations Posture View</w:t>
      </w:r>
    </w:p>
    <w:p>
      <w:r>
        <w:t>The AstoraSOC dashboard answers SOC operating questions: what needs review, what is assigned, what is actively investigating, what is closed, which cases are false positives, how fast detection and response are moving, and which rules, assets, IOCs, and containment actions need attention.</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3600"/>
        <w:gridCol w:w="3860"/>
      </w:tblGrid>
      <w:tr>
        <w:tc>
          <w:tcPr>
            <w:tcW w:type="dxa" w:w="1900"/>
            <w:shd w:fill="E8EEF5"/>
            <w:tcMar>
              <w:top w:w="80" w:type="dxa"/>
              <w:start w:w="120" w:type="dxa"/>
              <w:bottom w:w="80" w:type="dxa"/>
              <w:end w:w="120" w:type="dxa"/>
            </w:tcMar>
            <w:vAlign w:val="top"/>
          </w:tcPr>
          <w:p>
            <w:pPr>
              <w:spacing w:after="40" w:line="276" w:lineRule="auto"/>
            </w:pPr>
            <w:r>
              <w:rPr>
                <w:rFonts w:ascii="Calibri" w:hAnsi="Calibri"/>
                <w:b/>
                <w:color w:val="102027"/>
                <w:sz w:val="18"/>
              </w:rPr>
              <w:t>Metric</w:t>
            </w:r>
          </w:p>
        </w:tc>
        <w:tc>
          <w:tcPr>
            <w:tcW w:type="dxa" w:w="3600"/>
            <w:shd w:fill="E8EEF5"/>
            <w:tcMar>
              <w:top w:w="80" w:type="dxa"/>
              <w:start w:w="120" w:type="dxa"/>
              <w:bottom w:w="80" w:type="dxa"/>
              <w:end w:w="120" w:type="dxa"/>
            </w:tcMar>
            <w:vAlign w:val="top"/>
          </w:tcPr>
          <w:p>
            <w:pPr>
              <w:spacing w:after="40" w:line="276" w:lineRule="auto"/>
            </w:pPr>
            <w:r>
              <w:rPr>
                <w:rFonts w:ascii="Calibri" w:hAnsi="Calibri"/>
                <w:b/>
                <w:color w:val="102027"/>
                <w:sz w:val="18"/>
              </w:rPr>
              <w:t>Meaning</w:t>
            </w:r>
          </w:p>
        </w:tc>
        <w:tc>
          <w:tcPr>
            <w:tcW w:type="dxa" w:w="3860"/>
            <w:shd w:fill="E8EEF5"/>
            <w:tcMar>
              <w:top w:w="80" w:type="dxa"/>
              <w:start w:w="120" w:type="dxa"/>
              <w:bottom w:w="80" w:type="dxa"/>
              <w:end w:w="120" w:type="dxa"/>
            </w:tcMar>
            <w:vAlign w:val="top"/>
          </w:tcPr>
          <w:p>
            <w:pPr>
              <w:spacing w:after="40" w:line="276" w:lineRule="auto"/>
            </w:pPr>
            <w:r>
              <w:rPr>
                <w:rFonts w:ascii="Calibri" w:hAnsi="Calibri"/>
                <w:b/>
                <w:color w:val="102027"/>
                <w:sz w:val="18"/>
              </w:rPr>
              <w:t>Recommended Use</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Open Cases</w:t>
            </w:r>
          </w:p>
        </w:tc>
        <w:tc>
          <w:tcPr>
            <w:tcW w:type="dxa" w:w="3600"/>
            <w:tcMar>
              <w:top w:w="80" w:type="dxa"/>
              <w:start w:w="120" w:type="dxa"/>
              <w:bottom w:w="80" w:type="dxa"/>
              <w:end w:w="120" w:type="dxa"/>
            </w:tcMar>
            <w:vAlign w:val="top"/>
          </w:tcPr>
          <w:p>
            <w:pPr>
              <w:spacing w:after="40" w:line="276" w:lineRule="auto"/>
            </w:pPr>
            <w:r>
              <w:rPr>
                <w:rFonts w:ascii="Calibri" w:hAnsi="Calibri"/>
                <w:sz w:val="18"/>
              </w:rPr>
              <w:t>All active non-closed cases.</w:t>
            </w:r>
          </w:p>
        </w:tc>
        <w:tc>
          <w:tcPr>
            <w:tcW w:type="dxa" w:w="3860"/>
            <w:tcMar>
              <w:top w:w="80" w:type="dxa"/>
              <w:start w:w="120" w:type="dxa"/>
              <w:bottom w:w="80" w:type="dxa"/>
              <w:end w:w="120" w:type="dxa"/>
            </w:tcMar>
            <w:vAlign w:val="top"/>
          </w:tcPr>
          <w:p>
            <w:pPr>
              <w:spacing w:after="40" w:line="276" w:lineRule="auto"/>
            </w:pPr>
            <w:r>
              <w:rPr>
                <w:rFonts w:ascii="Calibri" w:hAnsi="Calibri"/>
                <w:sz w:val="18"/>
              </w:rPr>
              <w:t>SOC workload and backlog visibility.</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Pending Review</w:t>
            </w:r>
          </w:p>
        </w:tc>
        <w:tc>
          <w:tcPr>
            <w:tcW w:type="dxa" w:w="3600"/>
            <w:tcMar>
              <w:top w:w="80" w:type="dxa"/>
              <w:start w:w="120" w:type="dxa"/>
              <w:bottom w:w="80" w:type="dxa"/>
              <w:end w:w="120" w:type="dxa"/>
            </w:tcMar>
            <w:vAlign w:val="top"/>
          </w:tcPr>
          <w:p>
            <w:pPr>
              <w:spacing w:after="40" w:line="276" w:lineRule="auto"/>
            </w:pPr>
            <w:r>
              <w:rPr>
                <w:rFonts w:ascii="Calibri" w:hAnsi="Calibri"/>
                <w:sz w:val="18"/>
              </w:rPr>
              <w:t>Cases or alerts waiting for Lead review.</w:t>
            </w:r>
          </w:p>
        </w:tc>
        <w:tc>
          <w:tcPr>
            <w:tcW w:type="dxa" w:w="3860"/>
            <w:tcMar>
              <w:top w:w="80" w:type="dxa"/>
              <w:start w:w="120" w:type="dxa"/>
              <w:bottom w:w="80" w:type="dxa"/>
              <w:end w:w="120" w:type="dxa"/>
            </w:tcMar>
            <w:vAlign w:val="top"/>
          </w:tcPr>
          <w:p>
            <w:pPr>
              <w:spacing w:after="40" w:line="276" w:lineRule="auto"/>
            </w:pPr>
            <w:r>
              <w:rPr>
                <w:rFonts w:ascii="Calibri" w:hAnsi="Calibri"/>
                <w:sz w:val="18"/>
              </w:rPr>
              <w:t>Lead queue focus and aging control.</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Assigned</w:t>
            </w:r>
          </w:p>
        </w:tc>
        <w:tc>
          <w:tcPr>
            <w:tcW w:type="dxa" w:w="3600"/>
            <w:tcMar>
              <w:top w:w="80" w:type="dxa"/>
              <w:start w:w="120" w:type="dxa"/>
              <w:bottom w:w="80" w:type="dxa"/>
              <w:end w:w="120" w:type="dxa"/>
            </w:tcMar>
            <w:vAlign w:val="top"/>
          </w:tcPr>
          <w:p>
            <w:pPr>
              <w:spacing w:after="40" w:line="276" w:lineRule="auto"/>
            </w:pPr>
            <w:r>
              <w:rPr>
                <w:rFonts w:ascii="Calibri" w:hAnsi="Calibri"/>
                <w:sz w:val="18"/>
              </w:rPr>
              <w:t>Cases currently assigned to analysts.</w:t>
            </w:r>
          </w:p>
        </w:tc>
        <w:tc>
          <w:tcPr>
            <w:tcW w:type="dxa" w:w="3860"/>
            <w:tcMar>
              <w:top w:w="80" w:type="dxa"/>
              <w:start w:w="120" w:type="dxa"/>
              <w:bottom w:w="80" w:type="dxa"/>
              <w:end w:w="120" w:type="dxa"/>
            </w:tcMar>
            <w:vAlign w:val="top"/>
          </w:tcPr>
          <w:p>
            <w:pPr>
              <w:spacing w:after="40" w:line="276" w:lineRule="auto"/>
            </w:pPr>
            <w:r>
              <w:rPr>
                <w:rFonts w:ascii="Calibri" w:hAnsi="Calibri"/>
                <w:sz w:val="18"/>
              </w:rPr>
              <w:t>Workload balancing.</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Investigating</w:t>
            </w:r>
          </w:p>
        </w:tc>
        <w:tc>
          <w:tcPr>
            <w:tcW w:type="dxa" w:w="3600"/>
            <w:tcMar>
              <w:top w:w="80" w:type="dxa"/>
              <w:start w:w="120" w:type="dxa"/>
              <w:bottom w:w="80" w:type="dxa"/>
              <w:end w:w="120" w:type="dxa"/>
            </w:tcMar>
            <w:vAlign w:val="top"/>
          </w:tcPr>
          <w:p>
            <w:pPr>
              <w:spacing w:after="40" w:line="276" w:lineRule="auto"/>
            </w:pPr>
            <w:r>
              <w:rPr>
                <w:rFonts w:ascii="Calibri" w:hAnsi="Calibri"/>
                <w:sz w:val="18"/>
              </w:rPr>
              <w:t>Cases in active investigation status.</w:t>
            </w:r>
          </w:p>
        </w:tc>
        <w:tc>
          <w:tcPr>
            <w:tcW w:type="dxa" w:w="3860"/>
            <w:tcMar>
              <w:top w:w="80" w:type="dxa"/>
              <w:start w:w="120" w:type="dxa"/>
              <w:bottom w:w="80" w:type="dxa"/>
              <w:end w:w="120" w:type="dxa"/>
            </w:tcMar>
            <w:vAlign w:val="top"/>
          </w:tcPr>
          <w:p>
            <w:pPr>
              <w:spacing w:after="40" w:line="276" w:lineRule="auto"/>
            </w:pPr>
            <w:r>
              <w:rPr>
                <w:rFonts w:ascii="Calibri" w:hAnsi="Calibri"/>
                <w:sz w:val="18"/>
              </w:rPr>
              <w:t>Active incident health.</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Closed Cases</w:t>
            </w:r>
          </w:p>
        </w:tc>
        <w:tc>
          <w:tcPr>
            <w:tcW w:type="dxa" w:w="3600"/>
            <w:tcMar>
              <w:top w:w="80" w:type="dxa"/>
              <w:start w:w="120" w:type="dxa"/>
              <w:bottom w:w="80" w:type="dxa"/>
              <w:end w:w="120" w:type="dxa"/>
            </w:tcMar>
            <w:vAlign w:val="top"/>
          </w:tcPr>
          <w:p>
            <w:pPr>
              <w:spacing w:after="40" w:line="276" w:lineRule="auto"/>
            </w:pPr>
            <w:r>
              <w:rPr>
                <w:rFonts w:ascii="Calibri" w:hAnsi="Calibri"/>
                <w:sz w:val="18"/>
              </w:rPr>
              <w:t>Completed cases.</w:t>
            </w:r>
          </w:p>
        </w:tc>
        <w:tc>
          <w:tcPr>
            <w:tcW w:type="dxa" w:w="3860"/>
            <w:tcMar>
              <w:top w:w="80" w:type="dxa"/>
              <w:start w:w="120" w:type="dxa"/>
              <w:bottom w:w="80" w:type="dxa"/>
              <w:end w:w="120" w:type="dxa"/>
            </w:tcMar>
            <w:vAlign w:val="top"/>
          </w:tcPr>
          <w:p>
            <w:pPr>
              <w:spacing w:after="40" w:line="276" w:lineRule="auto"/>
            </w:pPr>
            <w:r>
              <w:rPr>
                <w:rFonts w:ascii="Calibri" w:hAnsi="Calibri"/>
                <w:sz w:val="18"/>
              </w:rPr>
              <w:t>Throughput and reporting.</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False Positives</w:t>
            </w:r>
          </w:p>
        </w:tc>
        <w:tc>
          <w:tcPr>
            <w:tcW w:type="dxa" w:w="3600"/>
            <w:tcMar>
              <w:top w:w="80" w:type="dxa"/>
              <w:start w:w="120" w:type="dxa"/>
              <w:bottom w:w="80" w:type="dxa"/>
              <w:end w:w="120" w:type="dxa"/>
            </w:tcMar>
            <w:vAlign w:val="top"/>
          </w:tcPr>
          <w:p>
            <w:pPr>
              <w:spacing w:after="40" w:line="276" w:lineRule="auto"/>
            </w:pPr>
            <w:r>
              <w:rPr>
                <w:rFonts w:ascii="Calibri" w:hAnsi="Calibri"/>
                <w:sz w:val="18"/>
              </w:rPr>
              <w:t>Cases or alerts closed as false positive.</w:t>
            </w:r>
          </w:p>
        </w:tc>
        <w:tc>
          <w:tcPr>
            <w:tcW w:type="dxa" w:w="3860"/>
            <w:tcMar>
              <w:top w:w="80" w:type="dxa"/>
              <w:start w:w="120" w:type="dxa"/>
              <w:bottom w:w="80" w:type="dxa"/>
              <w:end w:w="120" w:type="dxa"/>
            </w:tcMar>
            <w:vAlign w:val="top"/>
          </w:tcPr>
          <w:p>
            <w:pPr>
              <w:spacing w:after="40" w:line="276" w:lineRule="auto"/>
            </w:pPr>
            <w:r>
              <w:rPr>
                <w:rFonts w:ascii="Calibri" w:hAnsi="Calibri"/>
                <w:sz w:val="18"/>
              </w:rPr>
              <w:t>Detection tuning and quality feedback.</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MTTD</w:t>
            </w:r>
          </w:p>
        </w:tc>
        <w:tc>
          <w:tcPr>
            <w:tcW w:type="dxa" w:w="3600"/>
            <w:tcMar>
              <w:top w:w="80" w:type="dxa"/>
              <w:start w:w="120" w:type="dxa"/>
              <w:bottom w:w="80" w:type="dxa"/>
              <w:end w:w="120" w:type="dxa"/>
            </w:tcMar>
            <w:vAlign w:val="top"/>
          </w:tcPr>
          <w:p>
            <w:pPr>
              <w:spacing w:after="40" w:line="276" w:lineRule="auto"/>
            </w:pPr>
            <w:r>
              <w:rPr>
                <w:rFonts w:ascii="Calibri" w:hAnsi="Calibri"/>
                <w:sz w:val="18"/>
              </w:rPr>
              <w:t>Mean Time To Detect.</w:t>
            </w:r>
          </w:p>
        </w:tc>
        <w:tc>
          <w:tcPr>
            <w:tcW w:type="dxa" w:w="3860"/>
            <w:tcMar>
              <w:top w:w="80" w:type="dxa"/>
              <w:start w:w="120" w:type="dxa"/>
              <w:bottom w:w="80" w:type="dxa"/>
              <w:end w:w="120" w:type="dxa"/>
            </w:tcMar>
            <w:vAlign w:val="top"/>
          </w:tcPr>
          <w:p>
            <w:pPr>
              <w:spacing w:after="40" w:line="276" w:lineRule="auto"/>
            </w:pPr>
            <w:r>
              <w:rPr>
                <w:rFonts w:ascii="Calibri" w:hAnsi="Calibri"/>
                <w:sz w:val="18"/>
              </w:rPr>
              <w:t>Detection pipeline health and alert latency analysis.</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MTTR</w:t>
            </w:r>
          </w:p>
        </w:tc>
        <w:tc>
          <w:tcPr>
            <w:tcW w:type="dxa" w:w="3600"/>
            <w:tcMar>
              <w:top w:w="80" w:type="dxa"/>
              <w:start w:w="120" w:type="dxa"/>
              <w:bottom w:w="80" w:type="dxa"/>
              <w:end w:w="120" w:type="dxa"/>
            </w:tcMar>
            <w:vAlign w:val="top"/>
          </w:tcPr>
          <w:p>
            <w:pPr>
              <w:spacing w:after="40" w:line="276" w:lineRule="auto"/>
            </w:pPr>
            <w:r>
              <w:rPr>
                <w:rFonts w:ascii="Calibri" w:hAnsi="Calibri"/>
                <w:sz w:val="18"/>
              </w:rPr>
              <w:t>Mean Time To Respond.</w:t>
            </w:r>
          </w:p>
        </w:tc>
        <w:tc>
          <w:tcPr>
            <w:tcW w:type="dxa" w:w="3860"/>
            <w:tcMar>
              <w:top w:w="80" w:type="dxa"/>
              <w:start w:w="120" w:type="dxa"/>
              <w:bottom w:w="80" w:type="dxa"/>
              <w:end w:w="120" w:type="dxa"/>
            </w:tcMar>
            <w:vAlign w:val="top"/>
          </w:tcPr>
          <w:p>
            <w:pPr>
              <w:spacing w:after="40" w:line="276" w:lineRule="auto"/>
            </w:pPr>
            <w:r>
              <w:rPr>
                <w:rFonts w:ascii="Calibri" w:hAnsi="Calibri"/>
                <w:sz w:val="18"/>
              </w:rPr>
              <w:t>Response effectiveness and process maturity.</w:t>
            </w:r>
          </w:p>
        </w:tc>
      </w:tr>
    </w:tbl>
    <w:p>
      <w:pPr>
        <w:pStyle w:val="Heading2"/>
      </w:pPr>
      <w:r>
        <w:t>Dashboard Visuals</w:t>
      </w:r>
    </w:p>
    <w:p>
      <w:pPr>
        <w:pStyle w:val="ListBullet"/>
      </w:pPr>
      <w:r>
        <w:t>Case Severity Distribution reflects incident impact more directly than alert-only severity charts.</w:t>
      </w:r>
    </w:p>
    <w:p>
      <w:pPr>
        <w:pStyle w:val="ListBullet"/>
      </w:pPr>
      <w:r>
        <w:t>Case Status Distribution shows New, Assigned, Investigating, Pending Review, Closed, and False Positive posture.</w:t>
      </w:r>
    </w:p>
    <w:p>
      <w:pPr>
        <w:pStyle w:val="ListBullet"/>
      </w:pPr>
      <w:r>
        <w:t>Top Triggered Detections shows detection name, source platform, and count instead of raw rule IDs only.</w:t>
      </w:r>
    </w:p>
    <w:p>
      <w:pPr>
        <w:pStyle w:val="ListBullet"/>
      </w:pPr>
      <w:r>
        <w:t>Most Affected Assets shows asset name, criticality, open alerts, open cases, and calculated risk score.</w:t>
      </w:r>
    </w:p>
    <w:p>
      <w:pPr>
        <w:pStyle w:val="ListBullet"/>
      </w:pPr>
      <w:r>
        <w:t>Analyst Workload shows assigned, investigating, and pending-review load per analyst.</w:t>
      </w:r>
    </w:p>
    <w:p>
      <w:pPr>
        <w:pStyle w:val="ListBullet"/>
      </w:pPr>
      <w:r>
        <w:t>IOC Intelligence Overview highlights IOC volume, type, correlation, and repeated indicators.</w:t>
      </w:r>
    </w:p>
    <w:p>
      <w:pPr>
        <w:pStyle w:val="ListBullet"/>
      </w:pPr>
      <w:r>
        <w:t>Containment Queue metrics show approval and execution health.</w:t>
      </w:r>
    </w:p>
    <w:p>
      <w:pPr>
        <w:pStyle w:val="ListBullet"/>
      </w:pPr>
      <w:r>
        <w:t>Recent Incident Activity records case creation, review requests, containment events, and closures.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300"/>
        <w:gridCol w:w="4360"/>
      </w:tblGrid>
      <w:tr>
        <w:tc>
          <w:tcPr>
            <w:tcW w:type="dxa" w:w="1700"/>
            <w:shd w:fill="E8EEF5"/>
            <w:tcMar>
              <w:top w:w="80" w:type="dxa"/>
              <w:start w:w="120" w:type="dxa"/>
              <w:bottom w:w="80" w:type="dxa"/>
              <w:end w:w="120" w:type="dxa"/>
            </w:tcMar>
            <w:vAlign w:val="top"/>
          </w:tcPr>
          <w:p>
            <w:pPr>
              <w:spacing w:after="40" w:line="276" w:lineRule="auto"/>
            </w:pPr>
            <w:r>
              <w:rPr>
                <w:rFonts w:ascii="Calibri" w:hAnsi="Calibri"/>
                <w:b/>
                <w:color w:val="102027"/>
                <w:sz w:val="18"/>
              </w:rPr>
              <w:t>Signal</w:t>
            </w:r>
          </w:p>
        </w:tc>
        <w:tc>
          <w:tcPr>
            <w:tcW w:type="dxa" w:w="3300"/>
            <w:shd w:fill="E8EEF5"/>
            <w:tcMar>
              <w:top w:w="80" w:type="dxa"/>
              <w:start w:w="120" w:type="dxa"/>
              <w:bottom w:w="80" w:type="dxa"/>
              <w:end w:w="120" w:type="dxa"/>
            </w:tcMar>
            <w:vAlign w:val="top"/>
          </w:tcPr>
          <w:p>
            <w:pPr>
              <w:spacing w:after="40" w:line="276" w:lineRule="auto"/>
            </w:pPr>
            <w:r>
              <w:rPr>
                <w:rFonts w:ascii="Calibri" w:hAnsi="Calibri"/>
                <w:b/>
                <w:color w:val="102027"/>
                <w:sz w:val="18"/>
              </w:rPr>
              <w:t>Meaning</w:t>
            </w:r>
          </w:p>
        </w:tc>
        <w:tc>
          <w:tcPr>
            <w:tcW w:type="dxa" w:w="4360"/>
            <w:shd w:fill="E8EEF5"/>
            <w:tcMar>
              <w:top w:w="80" w:type="dxa"/>
              <w:start w:w="120" w:type="dxa"/>
              <w:bottom w:w="80" w:type="dxa"/>
              <w:end w:w="120" w:type="dxa"/>
            </w:tcMar>
            <w:vAlign w:val="top"/>
          </w:tcPr>
          <w:p>
            <w:pPr>
              <w:spacing w:after="40" w:line="276" w:lineRule="auto"/>
            </w:pPr>
            <w:r>
              <w:rPr>
                <w:rFonts w:ascii="Calibri" w:hAnsi="Calibri"/>
                <w:b/>
                <w:color w:val="102027"/>
                <w:sz w:val="18"/>
              </w:rPr>
              <w:t>SOC Use</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Critical / Red</w:t>
            </w:r>
          </w:p>
        </w:tc>
        <w:tc>
          <w:tcPr>
            <w:tcW w:type="dxa" w:w="3300"/>
            <w:tcMar>
              <w:top w:w="80" w:type="dxa"/>
              <w:start w:w="120" w:type="dxa"/>
              <w:bottom w:w="80" w:type="dxa"/>
              <w:end w:w="120" w:type="dxa"/>
            </w:tcMar>
            <w:vAlign w:val="top"/>
          </w:tcPr>
          <w:p>
            <w:pPr>
              <w:spacing w:after="40" w:line="276" w:lineRule="auto"/>
            </w:pPr>
            <w:r>
              <w:rPr>
                <w:rFonts w:ascii="Calibri" w:hAnsi="Calibri"/>
                <w:sz w:val="18"/>
              </w:rPr>
              <w:t>Immediate business or security impact.</w:t>
            </w:r>
          </w:p>
        </w:tc>
        <w:tc>
          <w:tcPr>
            <w:tcW w:type="dxa" w:w="4360"/>
            <w:tcMar>
              <w:top w:w="80" w:type="dxa"/>
              <w:start w:w="120" w:type="dxa"/>
              <w:bottom w:w="80" w:type="dxa"/>
              <w:end w:w="120" w:type="dxa"/>
            </w:tcMar>
            <w:vAlign w:val="top"/>
          </w:tcPr>
          <w:p>
            <w:pPr>
              <w:spacing w:after="40" w:line="276" w:lineRule="auto"/>
            </w:pPr>
            <w:r>
              <w:rPr>
                <w:rFonts w:ascii="Calibri" w:hAnsi="Calibri"/>
                <w:sz w:val="18"/>
              </w:rPr>
              <w:t>Prioritize investigation, containment approval, and executive visibility.</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High / Orange</w:t>
            </w:r>
          </w:p>
        </w:tc>
        <w:tc>
          <w:tcPr>
            <w:tcW w:type="dxa" w:w="3300"/>
            <w:tcMar>
              <w:top w:w="80" w:type="dxa"/>
              <w:start w:w="120" w:type="dxa"/>
              <w:bottom w:w="80" w:type="dxa"/>
              <w:end w:w="120" w:type="dxa"/>
            </w:tcMar>
            <w:vAlign w:val="top"/>
          </w:tcPr>
          <w:p>
            <w:pPr>
              <w:spacing w:after="40" w:line="276" w:lineRule="auto"/>
            </w:pPr>
            <w:r>
              <w:rPr>
                <w:rFonts w:ascii="Calibri" w:hAnsi="Calibri"/>
                <w:sz w:val="18"/>
              </w:rPr>
              <w:t>Material risk or likely incident.</w:t>
            </w:r>
          </w:p>
        </w:tc>
        <w:tc>
          <w:tcPr>
            <w:tcW w:type="dxa" w:w="4360"/>
            <w:tcMar>
              <w:top w:w="80" w:type="dxa"/>
              <w:start w:w="120" w:type="dxa"/>
              <w:bottom w:w="80" w:type="dxa"/>
              <w:end w:w="120" w:type="dxa"/>
            </w:tcMar>
            <w:vAlign w:val="top"/>
          </w:tcPr>
          <w:p>
            <w:pPr>
              <w:spacing w:after="40" w:line="276" w:lineRule="auto"/>
            </w:pPr>
            <w:r>
              <w:rPr>
                <w:rFonts w:ascii="Calibri" w:hAnsi="Calibri"/>
                <w:sz w:val="18"/>
              </w:rPr>
              <w:t>Assign quickly and confirm affected assets.</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Medium / Yellow</w:t>
            </w:r>
          </w:p>
        </w:tc>
        <w:tc>
          <w:tcPr>
            <w:tcW w:type="dxa" w:w="3300"/>
            <w:tcMar>
              <w:top w:w="80" w:type="dxa"/>
              <w:start w:w="120" w:type="dxa"/>
              <w:bottom w:w="80" w:type="dxa"/>
              <w:end w:w="120" w:type="dxa"/>
            </w:tcMar>
            <w:vAlign w:val="top"/>
          </w:tcPr>
          <w:p>
            <w:pPr>
              <w:spacing w:after="40" w:line="276" w:lineRule="auto"/>
            </w:pPr>
            <w:r>
              <w:rPr>
                <w:rFonts w:ascii="Calibri" w:hAnsi="Calibri"/>
                <w:sz w:val="18"/>
              </w:rPr>
              <w:t>Requires analyst validation.</w:t>
            </w:r>
          </w:p>
        </w:tc>
        <w:tc>
          <w:tcPr>
            <w:tcW w:type="dxa" w:w="4360"/>
            <w:tcMar>
              <w:top w:w="80" w:type="dxa"/>
              <w:start w:w="120" w:type="dxa"/>
              <w:bottom w:w="80" w:type="dxa"/>
              <w:end w:w="120" w:type="dxa"/>
            </w:tcMar>
            <w:vAlign w:val="top"/>
          </w:tcPr>
          <w:p>
            <w:pPr>
              <w:spacing w:after="40" w:line="276" w:lineRule="auto"/>
            </w:pPr>
            <w:r>
              <w:rPr>
                <w:rFonts w:ascii="Calibri" w:hAnsi="Calibri"/>
                <w:sz w:val="18"/>
              </w:rPr>
              <w:t>Investigate with normal queue urgency.</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Low / Blue</w:t>
            </w:r>
          </w:p>
        </w:tc>
        <w:tc>
          <w:tcPr>
            <w:tcW w:type="dxa" w:w="3300"/>
            <w:tcMar>
              <w:top w:w="80" w:type="dxa"/>
              <w:start w:w="120" w:type="dxa"/>
              <w:bottom w:w="80" w:type="dxa"/>
              <w:end w:w="120" w:type="dxa"/>
            </w:tcMar>
            <w:vAlign w:val="top"/>
          </w:tcPr>
          <w:p>
            <w:pPr>
              <w:spacing w:after="40" w:line="276" w:lineRule="auto"/>
            </w:pPr>
            <w:r>
              <w:rPr>
                <w:rFonts w:ascii="Calibri" w:hAnsi="Calibri"/>
                <w:sz w:val="18"/>
              </w:rPr>
              <w:t>Informational or low impact.</w:t>
            </w:r>
          </w:p>
        </w:tc>
        <w:tc>
          <w:tcPr>
            <w:tcW w:type="dxa" w:w="4360"/>
            <w:tcMar>
              <w:top w:w="80" w:type="dxa"/>
              <w:start w:w="120" w:type="dxa"/>
              <w:bottom w:w="80" w:type="dxa"/>
              <w:end w:w="120" w:type="dxa"/>
            </w:tcMar>
            <w:vAlign w:val="top"/>
          </w:tcPr>
          <w:p>
            <w:pPr>
              <w:spacing w:after="40" w:line="276" w:lineRule="auto"/>
            </w:pPr>
            <w:r>
              <w:rPr>
                <w:rFonts w:ascii="Calibri" w:hAnsi="Calibri"/>
                <w:sz w:val="18"/>
              </w:rPr>
              <w:t>Track, correlate, and close if benign.</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Closed / Green</w:t>
            </w:r>
          </w:p>
        </w:tc>
        <w:tc>
          <w:tcPr>
            <w:tcW w:type="dxa" w:w="3300"/>
            <w:tcMar>
              <w:top w:w="80" w:type="dxa"/>
              <w:start w:w="120" w:type="dxa"/>
              <w:bottom w:w="80" w:type="dxa"/>
              <w:end w:w="120" w:type="dxa"/>
            </w:tcMar>
            <w:vAlign w:val="top"/>
          </w:tcPr>
          <w:p>
            <w:pPr>
              <w:spacing w:after="40" w:line="276" w:lineRule="auto"/>
            </w:pPr>
            <w:r>
              <w:rPr>
                <w:rFonts w:ascii="Calibri" w:hAnsi="Calibri"/>
                <w:sz w:val="18"/>
              </w:rPr>
              <w:t>Resolved or false positive.</w:t>
            </w:r>
          </w:p>
        </w:tc>
        <w:tc>
          <w:tcPr>
            <w:tcW w:type="dxa" w:w="4360"/>
            <w:tcMar>
              <w:top w:w="80" w:type="dxa"/>
              <w:start w:w="120" w:type="dxa"/>
              <w:bottom w:w="80" w:type="dxa"/>
              <w:end w:w="120" w:type="dxa"/>
            </w:tcMar>
            <w:vAlign w:val="top"/>
          </w:tcPr>
          <w:p>
            <w:pPr>
              <w:spacing w:after="40" w:line="276" w:lineRule="auto"/>
            </w:pPr>
            <w:r>
              <w:rPr>
                <w:rFonts w:ascii="Calibri" w:hAnsi="Calibri"/>
                <w:sz w:val="18"/>
              </w:rPr>
              <w:t>Available for reporting and audit.</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Investigating / Purple</w:t>
            </w:r>
          </w:p>
        </w:tc>
        <w:tc>
          <w:tcPr>
            <w:tcW w:type="dxa" w:w="3300"/>
            <w:tcMar>
              <w:top w:w="80" w:type="dxa"/>
              <w:start w:w="120" w:type="dxa"/>
              <w:bottom w:w="80" w:type="dxa"/>
              <w:end w:w="120" w:type="dxa"/>
            </w:tcMar>
            <w:vAlign w:val="top"/>
          </w:tcPr>
          <w:p>
            <w:pPr>
              <w:spacing w:after="40" w:line="276" w:lineRule="auto"/>
            </w:pPr>
            <w:r>
              <w:rPr>
                <w:rFonts w:ascii="Calibri" w:hAnsi="Calibri"/>
                <w:sz w:val="18"/>
              </w:rPr>
              <w:t>Active case work is underway.</w:t>
            </w:r>
          </w:p>
        </w:tc>
        <w:tc>
          <w:tcPr>
            <w:tcW w:type="dxa" w:w="4360"/>
            <w:tcMar>
              <w:top w:w="80" w:type="dxa"/>
              <w:start w:w="120" w:type="dxa"/>
              <w:bottom w:w="80" w:type="dxa"/>
              <w:end w:w="120" w:type="dxa"/>
            </w:tcMar>
            <w:vAlign w:val="top"/>
          </w:tcPr>
          <w:p>
            <w:pPr>
              <w:spacing w:after="40" w:line="276" w:lineRule="auto"/>
            </w:pPr>
            <w:r>
              <w:rPr>
                <w:rFonts w:ascii="Calibri" w:hAnsi="Calibri"/>
                <w:sz w:val="18"/>
              </w:rPr>
              <w:t>Monitor analyst workload and aging.</w:t>
            </w:r>
          </w:p>
        </w:tc>
      </w:tr>
      <w:tr>
        <w:tc>
          <w:tcPr>
            <w:tcW w:type="dxa" w:w="1700"/>
            <w:tcMar>
              <w:top w:w="80" w:type="dxa"/>
              <w:start w:w="120" w:type="dxa"/>
              <w:bottom w:w="80" w:type="dxa"/>
              <w:end w:w="120" w:type="dxa"/>
            </w:tcMar>
            <w:vAlign w:val="top"/>
          </w:tcPr>
          <w:p>
            <w:pPr>
              <w:spacing w:after="40" w:line="276" w:lineRule="auto"/>
            </w:pPr>
            <w:r>
              <w:rPr>
                <w:rFonts w:ascii="Calibri" w:hAnsi="Calibri"/>
                <w:sz w:val="18"/>
              </w:rPr>
              <w:t>Pending Review / Amber</w:t>
            </w:r>
          </w:p>
        </w:tc>
        <w:tc>
          <w:tcPr>
            <w:tcW w:type="dxa" w:w="3300"/>
            <w:tcMar>
              <w:top w:w="80" w:type="dxa"/>
              <w:start w:w="120" w:type="dxa"/>
              <w:bottom w:w="80" w:type="dxa"/>
              <w:end w:w="120" w:type="dxa"/>
            </w:tcMar>
            <w:vAlign w:val="top"/>
          </w:tcPr>
          <w:p>
            <w:pPr>
              <w:spacing w:after="40" w:line="276" w:lineRule="auto"/>
            </w:pPr>
            <w:r>
              <w:rPr>
                <w:rFonts w:ascii="Calibri" w:hAnsi="Calibri"/>
                <w:sz w:val="18"/>
              </w:rPr>
              <w:t>Waiting on Lead decision.</w:t>
            </w:r>
          </w:p>
        </w:tc>
        <w:tc>
          <w:tcPr>
            <w:tcW w:type="dxa" w:w="4360"/>
            <w:tcMar>
              <w:top w:w="80" w:type="dxa"/>
              <w:start w:w="120" w:type="dxa"/>
              <w:bottom w:w="80" w:type="dxa"/>
              <w:end w:w="120" w:type="dxa"/>
            </w:tcMar>
            <w:vAlign w:val="top"/>
          </w:tcPr>
          <w:p>
            <w:pPr>
              <w:spacing w:after="40" w:line="276" w:lineRule="auto"/>
            </w:pPr>
            <w:r>
              <w:rPr>
                <w:rFonts w:ascii="Calibri" w:hAnsi="Calibri"/>
                <w:sz w:val="18"/>
              </w:rPr>
              <w:t>Focus Lead queue and closure governance.</w:t>
            </w:r>
          </w:p>
        </w:tc>
      </w:tr>
    </w:tbl>
    <w:p>
      <w:pPr>
        <w:pStyle w:val="Heading2"/>
      </w:pPr>
      <w:r>
        <w:t>Date Filtering</w:t>
      </w:r>
    </w:p>
    <w:p>
      <w:r>
        <w:t>Dashboard filters support all-time, daily, weekly, monthly, yearly, and calendar-driven selection. When a date or period is selected, AstoraSOC queries backend case and alert data for that period. If the selected date has no records, widgets correctly show zero or an empty state. Refresh-free background updates should preserve selected filters, open UI state, and scroll position.</w:t>
      </w:r>
    </w:p>
    <w:p>
      <w:pPr>
        <w:spacing w:before="160" w:after="80"/>
        <w:jc w:val="center"/>
      </w:pPr>
      <w:r>
        <w:drawing>
          <wp:inline xmlns:a="http://schemas.openxmlformats.org/drawingml/2006/main" xmlns:pic="http://schemas.openxmlformats.org/drawingml/2006/picture">
            <wp:extent cx="5852160" cy="3086477"/>
            <wp:docPr id="1" name="Picture 1"/>
            <wp:cNvGraphicFramePr>
              <a:graphicFrameLocks noChangeAspect="1"/>
            </wp:cNvGraphicFramePr>
            <a:graphic>
              <a:graphicData uri="http://schemas.openxmlformats.org/drawingml/2006/picture">
                <pic:pic>
                  <pic:nvPicPr>
                    <pic:cNvPr id="0" name="figure-01-dashboard-overview.png"/>
                    <pic:cNvPicPr/>
                  </pic:nvPicPr>
                  <pic:blipFill>
                    <a:blip r:embed="rId11"/>
                    <a:stretch>
                      <a:fillRect/>
                    </a:stretch>
                  </pic:blipFill>
                  <pic:spPr>
                    <a:xfrm>
                      <a:off x="0" y="0"/>
                      <a:ext cx="5852160" cy="3086477"/>
                    </a:xfrm>
                    <a:prstGeom prst="rect"/>
                  </pic:spPr>
                </pic:pic>
              </a:graphicData>
            </a:graphic>
          </wp:inline>
        </w:drawing>
      </w:r>
    </w:p>
    <w:p>
      <w:pPr>
        <w:spacing w:before="0" w:after="200"/>
        <w:jc w:val="center"/>
      </w:pPr>
      <w:r>
        <w:rPr>
          <w:i/>
          <w:color w:val="60737D"/>
          <w:sz w:val="17"/>
        </w:rPr>
        <w:t>Figure 1: AstoraSOC dashboard showing SOC workload, case analytics, incident activity, and operational response posture.</w:t>
      </w:r>
    </w:p>
    <w:p>
      <w:pPr>
        <w:spacing w:before="160" w:after="80"/>
        <w:jc w:val="center"/>
      </w:pPr>
      <w:r>
        <w:drawing>
          <wp:inline xmlns:a="http://schemas.openxmlformats.org/drawingml/2006/main" xmlns:pic="http://schemas.openxmlformats.org/drawingml/2006/picture">
            <wp:extent cx="5852160" cy="3075700"/>
            <wp:docPr id="2" name="Picture 2"/>
            <wp:cNvGraphicFramePr>
              <a:graphicFrameLocks noChangeAspect="1"/>
            </wp:cNvGraphicFramePr>
            <a:graphic>
              <a:graphicData uri="http://schemas.openxmlformats.org/drawingml/2006/picture">
                <pic:pic>
                  <pic:nvPicPr>
                    <pic:cNvPr id="0" name="figure-02-dashboard-intelligence.png"/>
                    <pic:cNvPicPr/>
                  </pic:nvPicPr>
                  <pic:blipFill>
                    <a:blip r:embed="rId12"/>
                    <a:stretch>
                      <a:fillRect/>
                    </a:stretch>
                  </pic:blipFill>
                  <pic:spPr>
                    <a:xfrm>
                      <a:off x="0" y="0"/>
                      <a:ext cx="5852160" cy="3075700"/>
                    </a:xfrm>
                    <a:prstGeom prst="rect"/>
                  </pic:spPr>
                </pic:pic>
              </a:graphicData>
            </a:graphic>
          </wp:inline>
        </w:drawing>
      </w:r>
    </w:p>
    <w:p>
      <w:pPr>
        <w:spacing w:before="0" w:after="200"/>
        <w:jc w:val="center"/>
      </w:pPr>
      <w:r>
        <w:rPr>
          <w:i/>
          <w:color w:val="60737D"/>
          <w:sz w:val="17"/>
        </w:rPr>
        <w:t>Figure 2: AstoraSOC dashboard intelligence panels showing triggered detections, affected assets, analyst workload, and IOC activity.</w:t>
      </w:r>
    </w:p>
    <w:p>
      <w:pPr>
        <w:pStyle w:val="Heading1"/>
      </w:pPr>
      <w:r>
        <w:t>8. Alerts and SIEM Intake</w:t>
      </w:r>
    </w:p>
    <w:p>
      <w:r>
        <w:t>Alerts are the first normalized AstoraSOC object created from external detections. The alert queue is provider-neutral and should display clean fields even when different SIEMs use different payload names. The alert queue is not intended to be the final record of response; validated alerts move through review and become cases for investigation.</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7060"/>
      </w:tblGrid>
      <w:tr>
        <w:tc>
          <w:tcPr>
            <w:tcW w:type="dxa" w:w="2300"/>
            <w:shd w:fill="E8EEF5"/>
            <w:tcMar>
              <w:top w:w="80" w:type="dxa"/>
              <w:start w:w="120" w:type="dxa"/>
              <w:bottom w:w="80" w:type="dxa"/>
              <w:end w:w="120" w:type="dxa"/>
            </w:tcMar>
            <w:vAlign w:val="top"/>
          </w:tcPr>
          <w:p>
            <w:pPr>
              <w:spacing w:after="40" w:line="276" w:lineRule="auto"/>
            </w:pPr>
            <w:r>
              <w:rPr>
                <w:rFonts w:ascii="Calibri" w:hAnsi="Calibri"/>
                <w:b/>
                <w:color w:val="102027"/>
                <w:sz w:val="18"/>
              </w:rPr>
              <w:t>Field</w:t>
            </w:r>
          </w:p>
        </w:tc>
        <w:tc>
          <w:tcPr>
            <w:tcW w:type="dxa" w:w="7060"/>
            <w:shd w:fill="E8EEF5"/>
            <w:tcMar>
              <w:top w:w="80" w:type="dxa"/>
              <w:start w:w="120" w:type="dxa"/>
              <w:bottom w:w="80" w:type="dxa"/>
              <w:end w:w="120" w:type="dxa"/>
            </w:tcMar>
            <w:vAlign w:val="top"/>
          </w:tcPr>
          <w:p>
            <w:pPr>
              <w:spacing w:after="40" w:line="276" w:lineRule="auto"/>
            </w:pPr>
            <w:r>
              <w:rPr>
                <w:rFonts w:ascii="Calibri" w:hAnsi="Calibri"/>
                <w:b/>
                <w:color w:val="102027"/>
                <w:sz w:val="18"/>
              </w:rPr>
              <w:t>Purpose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Tracking ID</w:t>
            </w:r>
          </w:p>
        </w:tc>
        <w:tc>
          <w:tcPr>
            <w:tcW w:type="dxa" w:w="7060"/>
            <w:tcMar>
              <w:top w:w="80" w:type="dxa"/>
              <w:start w:w="120" w:type="dxa"/>
              <w:bottom w:w="80" w:type="dxa"/>
              <w:end w:w="120" w:type="dxa"/>
            </w:tcMar>
            <w:vAlign w:val="top"/>
          </w:tcPr>
          <w:p>
            <w:pPr>
              <w:spacing w:after="40" w:line="276" w:lineRule="auto"/>
            </w:pPr>
            <w:r>
              <w:rPr>
                <w:rFonts w:ascii="Calibri" w:hAnsi="Calibri"/>
                <w:sz w:val="18"/>
              </w:rPr>
              <w:t>Human-readable AstoraSOC identifier such as AST-2026-000124.</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Detection Name</w:t>
            </w:r>
          </w:p>
        </w:tc>
        <w:tc>
          <w:tcPr>
            <w:tcW w:type="dxa" w:w="7060"/>
            <w:tcMar>
              <w:top w:w="80" w:type="dxa"/>
              <w:start w:w="120" w:type="dxa"/>
              <w:bottom w:w="80" w:type="dxa"/>
              <w:end w:w="120" w:type="dxa"/>
            </w:tcMar>
            <w:vAlign w:val="top"/>
          </w:tcPr>
          <w:p>
            <w:pPr>
              <w:spacing w:after="40" w:line="276" w:lineRule="auto"/>
            </w:pPr>
            <w:r>
              <w:rPr>
                <w:rFonts w:ascii="Calibri" w:hAnsi="Calibri"/>
                <w:sz w:val="18"/>
              </w:rPr>
              <w:t>Readable detection, signature, rule name, or event action derived from the source payload.</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Title/Description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Readable summary and detail of the detection.</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Severity</w:t>
            </w:r>
          </w:p>
        </w:tc>
        <w:tc>
          <w:tcPr>
            <w:tcW w:type="dxa" w:w="7060"/>
            <w:tcMar>
              <w:top w:w="80" w:type="dxa"/>
              <w:start w:w="120" w:type="dxa"/>
              <w:bottom w:w="80" w:type="dxa"/>
              <w:end w:w="120" w:type="dxa"/>
            </w:tcMar>
            <w:vAlign w:val="top"/>
          </w:tcPr>
          <w:p>
            <w:pPr>
              <w:spacing w:after="40" w:line="276" w:lineRule="auto"/>
            </w:pPr>
            <w:r>
              <w:rPr>
                <w:rFonts w:ascii="Calibri" w:hAnsi="Calibri"/>
                <w:sz w:val="18"/>
              </w:rPr>
              <w:t>Security severity: Critical, High, Medium, Low.</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Status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Workflow status such as New, Pending Review, Promoted, or False Positive.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Source</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Alert source such as SIEM Webhook, Wazuh, Splunk, Sentinel, QRadar, Elastic, Security Onion, Shuffle, API, or manual source.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Event ID</w:t>
            </w:r>
          </w:p>
        </w:tc>
        <w:tc>
          <w:tcPr>
            <w:tcW w:type="dxa" w:w="7060"/>
            <w:tcMar>
              <w:top w:w="80" w:type="dxa"/>
              <w:start w:w="120" w:type="dxa"/>
              <w:bottom w:w="80" w:type="dxa"/>
              <w:end w:w="120" w:type="dxa"/>
            </w:tcMar>
            <w:vAlign w:val="top"/>
          </w:tcPr>
          <w:p>
            <w:pPr>
              <w:spacing w:after="40" w:line="276" w:lineRule="auto"/>
            </w:pPr>
            <w:r>
              <w:rPr>
                <w:rFonts w:ascii="Calibri" w:hAnsi="Calibri"/>
                <w:sz w:val="18"/>
              </w:rPr>
              <w:t>External SIEM identifier for de-duplication and traceability.</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Rule ID</w:t>
            </w:r>
          </w:p>
        </w:tc>
        <w:tc>
          <w:tcPr>
            <w:tcW w:type="dxa" w:w="7060"/>
            <w:tcMar>
              <w:top w:w="80" w:type="dxa"/>
              <w:start w:w="120" w:type="dxa"/>
              <w:bottom w:w="80" w:type="dxa"/>
              <w:end w:w="120" w:type="dxa"/>
            </w:tcMar>
            <w:vAlign w:val="top"/>
          </w:tcPr>
          <w:p>
            <w:pPr>
              <w:spacing w:after="40" w:line="276" w:lineRule="auto"/>
            </w:pPr>
            <w:r>
              <w:rPr>
                <w:rFonts w:ascii="Calibri" w:hAnsi="Calibri"/>
                <w:sz w:val="18"/>
              </w:rPr>
              <w:t>Optional SIEM rule/signature identifier used by dashboard, playbooks, and reporting when present.</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Host/User/IPs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Normalized affected host, hostname, agent name, username, source IP, and destination IP from provider-specific fields.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MITRE tactic/technique</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ATT&amp;CK mapping when provided by source.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Raw JSON</w:t>
            </w:r>
          </w:p>
        </w:tc>
        <w:tc>
          <w:tcPr>
            <w:tcW w:type="dxa" w:w="7060"/>
            <w:tcMar>
              <w:top w:w="80" w:type="dxa"/>
              <w:start w:w="120" w:type="dxa"/>
              <w:bottom w:w="80" w:type="dxa"/>
              <w:end w:w="120" w:type="dxa"/>
            </w:tcMar>
            <w:vAlign w:val="top"/>
          </w:tcPr>
          <w:p>
            <w:pPr>
              <w:spacing w:after="40" w:line="276" w:lineRule="auto"/>
            </w:pPr>
            <w:r>
              <w:rPr>
                <w:rFonts w:ascii="Calibri" w:hAnsi="Calibri"/>
                <w:sz w:val="18"/>
              </w:rPr>
              <w:t>Original payload retained for later review and report context.</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Asset link</w:t>
            </w:r>
          </w:p>
        </w:tc>
        <w:tc>
          <w:tcPr>
            <w:tcW w:type="dxa" w:w="7060"/>
            <w:tcMar>
              <w:top w:w="80" w:type="dxa"/>
              <w:start w:w="120" w:type="dxa"/>
              <w:bottom w:w="80" w:type="dxa"/>
              <w:end w:w="120" w:type="dxa"/>
            </w:tcMar>
            <w:vAlign w:val="top"/>
          </w:tcPr>
          <w:p>
            <w:pPr>
              <w:spacing w:after="40" w:line="276" w:lineRule="auto"/>
            </w:pPr>
            <w:r>
              <w:rPr>
                <w:rFonts w:ascii="Calibri" w:hAnsi="Calibri"/>
                <w:sz w:val="18"/>
              </w:rPr>
              <w:t>Linked asset when hostname, agent name, or IP matches known Asset records.</w:t>
            </w:r>
          </w:p>
        </w:tc>
      </w:tr>
    </w:tbl>
    <w:p>
      <w:pPr>
        <w:pStyle w:val="Heading2"/>
      </w:pPr>
      <w:r>
        <w:t>Alert Normalization</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00"/>
        <w:gridCol w:w="6960"/>
      </w:tblGrid>
      <w:tr>
        <w:tc>
          <w:tcPr>
            <w:tcW w:type="dxa" w:w="2400"/>
            <w:shd w:fill="E8EEF5"/>
            <w:tcMar>
              <w:top w:w="80" w:type="dxa"/>
              <w:start w:w="120" w:type="dxa"/>
              <w:bottom w:w="80" w:type="dxa"/>
              <w:end w:w="120" w:type="dxa"/>
            </w:tcMar>
            <w:vAlign w:val="top"/>
          </w:tcPr>
          <w:p>
            <w:pPr>
              <w:spacing w:after="40" w:line="276" w:lineRule="auto"/>
            </w:pPr>
            <w:r>
              <w:rPr>
                <w:rFonts w:ascii="Calibri" w:hAnsi="Calibri"/>
                <w:b/>
                <w:color w:val="102027"/>
                <w:sz w:val="18"/>
              </w:rPr>
              <w:t>Normalized Field</w:t>
            </w:r>
          </w:p>
        </w:tc>
        <w:tc>
          <w:tcPr>
            <w:tcW w:type="dxa" w:w="6960"/>
            <w:shd w:fill="E8EEF5"/>
            <w:tcMar>
              <w:top w:w="80" w:type="dxa"/>
              <w:start w:w="120" w:type="dxa"/>
              <w:bottom w:w="80" w:type="dxa"/>
              <w:end w:w="120" w:type="dxa"/>
            </w:tcMar>
            <w:vAlign w:val="top"/>
          </w:tcPr>
          <w:p>
            <w:pPr>
              <w:spacing w:after="40" w:line="276" w:lineRule="auto"/>
            </w:pPr>
            <w:r>
              <w:rPr>
                <w:rFonts w:ascii="Calibri" w:hAnsi="Calibri"/>
                <w:b/>
                <w:color w:val="102027"/>
                <w:sz w:val="18"/>
              </w:rPr>
              <w:t>Typical Source Field Examples</w:t>
            </w:r>
          </w:p>
        </w:tc>
      </w:tr>
      <w:tr>
        <w:tc>
          <w:tcPr>
            <w:tcW w:type="dxa" w:w="2400"/>
            <w:tcMar>
              <w:top w:w="80" w:type="dxa"/>
              <w:start w:w="120" w:type="dxa"/>
              <w:bottom w:w="80" w:type="dxa"/>
              <w:end w:w="120" w:type="dxa"/>
            </w:tcMar>
            <w:vAlign w:val="top"/>
          </w:tcPr>
          <w:p>
            <w:pPr>
              <w:spacing w:after="40" w:line="276" w:lineRule="auto"/>
            </w:pPr>
            <w:r>
              <w:rPr>
                <w:rFonts w:ascii="Calibri" w:hAnsi="Calibri"/>
                <w:sz w:val="18"/>
              </w:rPr>
              <w:t>Source IP</w:t>
            </w:r>
          </w:p>
        </w:tc>
        <w:tc>
          <w:tcPr>
            <w:tcW w:type="dxa" w:w="6960"/>
            <w:tcMar>
              <w:top w:w="80" w:type="dxa"/>
              <w:start w:w="120" w:type="dxa"/>
              <w:bottom w:w="80" w:type="dxa"/>
              <w:end w:w="120" w:type="dxa"/>
            </w:tcMar>
            <w:vAlign w:val="top"/>
          </w:tcPr>
          <w:p>
            <w:pPr>
              <w:spacing w:after="40" w:line="276" w:lineRule="auto"/>
            </w:pPr>
            <w:r>
              <w:rPr>
                <w:rFonts w:ascii="Calibri" w:hAnsi="Calibri"/>
                <w:sz w:val="18"/>
              </w:rPr>
              <w:t>source_ip, src_ip, srcip, source.ip, data.srcip, event.source_ip, SourceIP, id.orig_h.</w:t>
            </w:r>
          </w:p>
        </w:tc>
      </w:tr>
      <w:tr>
        <w:tc>
          <w:tcPr>
            <w:tcW w:type="dxa" w:w="2400"/>
            <w:tcMar>
              <w:top w:w="80" w:type="dxa"/>
              <w:start w:w="120" w:type="dxa"/>
              <w:bottom w:w="80" w:type="dxa"/>
              <w:end w:w="120" w:type="dxa"/>
            </w:tcMar>
            <w:vAlign w:val="top"/>
          </w:tcPr>
          <w:p>
            <w:pPr>
              <w:spacing w:after="40" w:line="276" w:lineRule="auto"/>
            </w:pPr>
            <w:r>
              <w:rPr>
                <w:rFonts w:ascii="Calibri" w:hAnsi="Calibri"/>
                <w:sz w:val="18"/>
              </w:rPr>
              <w:t>Destination IP</w:t>
            </w:r>
          </w:p>
        </w:tc>
        <w:tc>
          <w:tcPr>
            <w:tcW w:type="dxa" w:w="6960"/>
            <w:tcMar>
              <w:top w:w="80" w:type="dxa"/>
              <w:start w:w="120" w:type="dxa"/>
              <w:bottom w:w="80" w:type="dxa"/>
              <w:end w:w="120" w:type="dxa"/>
            </w:tcMar>
            <w:vAlign w:val="top"/>
          </w:tcPr>
          <w:p>
            <w:pPr>
              <w:spacing w:after="40" w:line="276" w:lineRule="auto"/>
            </w:pPr>
            <w:r>
              <w:rPr>
                <w:rFonts w:ascii="Calibri" w:hAnsi="Calibri"/>
                <w:sz w:val="18"/>
              </w:rPr>
              <w:t>destination_ip, dst_ip, destination.ip, data.dstip, event.dst_ip, DestinationIP, id.resp_h.</w:t>
            </w:r>
          </w:p>
        </w:tc>
      </w:tr>
      <w:tr>
        <w:tc>
          <w:tcPr>
            <w:tcW w:type="dxa" w:w="2400"/>
            <w:tcMar>
              <w:top w:w="80" w:type="dxa"/>
              <w:start w:w="120" w:type="dxa"/>
              <w:bottom w:w="80" w:type="dxa"/>
              <w:end w:w="120" w:type="dxa"/>
            </w:tcMar>
            <w:vAlign w:val="top"/>
          </w:tcPr>
          <w:p>
            <w:pPr>
              <w:spacing w:after="40" w:line="276" w:lineRule="auto"/>
            </w:pPr>
            <w:r>
              <w:rPr>
                <w:rFonts w:ascii="Calibri" w:hAnsi="Calibri"/>
                <w:sz w:val="18"/>
              </w:rPr>
              <w:t>Username</w:t>
            </w:r>
          </w:p>
        </w:tc>
        <w:tc>
          <w:tcPr>
            <w:tcW w:type="dxa" w:w="6960"/>
            <w:tcMar>
              <w:top w:w="80" w:type="dxa"/>
              <w:start w:w="120" w:type="dxa"/>
              <w:bottom w:w="80" w:type="dxa"/>
              <w:end w:w="120" w:type="dxa"/>
            </w:tcMar>
            <w:vAlign w:val="top"/>
          </w:tcPr>
          <w:p>
            <w:pPr>
              <w:spacing w:after="40" w:line="276" w:lineRule="auto"/>
            </w:pPr>
            <w:r>
              <w:rPr>
                <w:rFonts w:ascii="Calibri" w:hAnsi="Calibri"/>
                <w:sz w:val="18"/>
              </w:rPr>
              <w:t>username, user.name, data.dstuser, data.srcuser, TargetUserName, SubjectUserName, account_name.</w:t>
            </w:r>
          </w:p>
        </w:tc>
      </w:tr>
      <w:tr>
        <w:tc>
          <w:tcPr>
            <w:tcW w:type="dxa" w:w="2400"/>
            <w:tcMar>
              <w:top w:w="80" w:type="dxa"/>
              <w:start w:w="120" w:type="dxa"/>
              <w:bottom w:w="80" w:type="dxa"/>
              <w:end w:w="120" w:type="dxa"/>
            </w:tcMar>
            <w:vAlign w:val="top"/>
          </w:tcPr>
          <w:p>
            <w:pPr>
              <w:spacing w:after="40" w:line="276" w:lineRule="auto"/>
            </w:pPr>
            <w:r>
              <w:rPr>
                <w:rFonts w:ascii="Calibri" w:hAnsi="Calibri"/>
                <w:sz w:val="18"/>
              </w:rPr>
              <w:t>Host</w:t>
            </w:r>
          </w:p>
        </w:tc>
        <w:tc>
          <w:tcPr>
            <w:tcW w:type="dxa" w:w="6960"/>
            <w:tcMar>
              <w:top w:w="80" w:type="dxa"/>
              <w:start w:w="120" w:type="dxa"/>
              <w:bottom w:w="80" w:type="dxa"/>
              <w:end w:w="120" w:type="dxa"/>
            </w:tcMar>
            <w:vAlign w:val="top"/>
          </w:tcPr>
          <w:p>
            <w:pPr>
              <w:spacing w:after="40" w:line="276" w:lineRule="auto"/>
            </w:pPr>
            <w:r>
              <w:rPr>
                <w:rFonts w:ascii="Calibri" w:hAnsi="Calibri"/>
                <w:sz w:val="18"/>
              </w:rPr>
              <w:t>host, hostname, host.name, agent.name, computer, computer_name, winlog.computer_name.</w:t>
            </w:r>
          </w:p>
        </w:tc>
      </w:tr>
      <w:tr>
        <w:tc>
          <w:tcPr>
            <w:tcW w:type="dxa" w:w="2400"/>
            <w:tcMar>
              <w:top w:w="80" w:type="dxa"/>
              <w:start w:w="120" w:type="dxa"/>
              <w:bottom w:w="80" w:type="dxa"/>
              <w:end w:w="120" w:type="dxa"/>
            </w:tcMar>
            <w:vAlign w:val="top"/>
          </w:tcPr>
          <w:p>
            <w:pPr>
              <w:spacing w:after="40" w:line="276" w:lineRule="auto"/>
            </w:pPr>
            <w:r>
              <w:rPr>
                <w:rFonts w:ascii="Calibri" w:hAnsi="Calibri"/>
                <w:sz w:val="18"/>
              </w:rPr>
              <w:t>Detection Name</w:t>
            </w:r>
          </w:p>
        </w:tc>
        <w:tc>
          <w:tcPr>
            <w:tcW w:type="dxa" w:w="6960"/>
            <w:tcMar>
              <w:top w:w="80" w:type="dxa"/>
              <w:start w:w="120" w:type="dxa"/>
              <w:bottom w:w="80" w:type="dxa"/>
              <w:end w:w="120" w:type="dxa"/>
            </w:tcMar>
            <w:vAlign w:val="top"/>
          </w:tcPr>
          <w:p>
            <w:pPr>
              <w:spacing w:after="40" w:line="276" w:lineRule="auto"/>
            </w:pPr>
            <w:r>
              <w:rPr>
                <w:rFonts w:ascii="Calibri" w:hAnsi="Calibri"/>
                <w:sz w:val="18"/>
              </w:rPr>
              <w:t>rule.description, rule.name, title, alert.title, event.action, signature, detection.name.</w:t>
            </w:r>
          </w:p>
        </w:tc>
      </w:tr>
      <w:tr>
        <w:tc>
          <w:tcPr>
            <w:tcW w:type="dxa" w:w="2400"/>
            <w:tcMar>
              <w:top w:w="80" w:type="dxa"/>
              <w:start w:w="120" w:type="dxa"/>
              <w:bottom w:w="80" w:type="dxa"/>
              <w:end w:w="120" w:type="dxa"/>
            </w:tcMar>
            <w:vAlign w:val="top"/>
          </w:tcPr>
          <w:p>
            <w:pPr>
              <w:spacing w:after="40" w:line="276" w:lineRule="auto"/>
            </w:pPr>
            <w:r>
              <w:rPr>
                <w:rFonts w:ascii="Calibri" w:hAnsi="Calibri"/>
                <w:sz w:val="18"/>
              </w:rPr>
              <w:t>Raw Alert</w:t>
            </w:r>
          </w:p>
        </w:tc>
        <w:tc>
          <w:tcPr>
            <w:tcW w:type="dxa" w:w="6960"/>
            <w:tcMar>
              <w:top w:w="80" w:type="dxa"/>
              <w:start w:w="120" w:type="dxa"/>
              <w:bottom w:w="80" w:type="dxa"/>
              <w:end w:w="120" w:type="dxa"/>
            </w:tcMar>
            <w:vAlign w:val="top"/>
          </w:tcPr>
          <w:p>
            <w:pPr>
              <w:spacing w:after="40" w:line="276" w:lineRule="auto"/>
            </w:pPr>
            <w:r>
              <w:rPr>
                <w:rFonts w:ascii="Calibri" w:hAnsi="Calibri"/>
                <w:sz w:val="18"/>
              </w:rPr>
              <w:t>Original JSON payload retained separately for forensic review and integration debugging.</w:t>
            </w:r>
          </w:p>
        </w:tc>
      </w:tr>
    </w:tbl>
    <w:p>
      <w:r>
        <w:t>Admin users may use normalized-field debug views to troubleshoot integration payloads. Analyst-facing cards should hide empty optional fields instead of displaying repeated placeholder values.</w:t>
      </w:r>
    </w:p>
    <w:p>
      <w:pPr>
        <w:spacing w:before="160" w:after="80"/>
        <w:jc w:val="center"/>
      </w:pPr>
      <w:r>
        <w:drawing>
          <wp:inline xmlns:a="http://schemas.openxmlformats.org/drawingml/2006/main" xmlns:pic="http://schemas.openxmlformats.org/drawingml/2006/picture">
            <wp:extent cx="5852160" cy="3039328"/>
            <wp:docPr id="3" name="Picture 3"/>
            <wp:cNvGraphicFramePr>
              <a:graphicFrameLocks noChangeAspect="1"/>
            </wp:cNvGraphicFramePr>
            <a:graphic>
              <a:graphicData uri="http://schemas.openxmlformats.org/drawingml/2006/picture">
                <pic:pic>
                  <pic:nvPicPr>
                    <pic:cNvPr id="0" name="figure-03-alerts-queue.png"/>
                    <pic:cNvPicPr/>
                  </pic:nvPicPr>
                  <pic:blipFill>
                    <a:blip r:embed="rId13"/>
                    <a:stretch>
                      <a:fillRect/>
                    </a:stretch>
                  </pic:blipFill>
                  <pic:spPr>
                    <a:xfrm>
                      <a:off x="0" y="0"/>
                      <a:ext cx="5852160" cy="3039328"/>
                    </a:xfrm>
                    <a:prstGeom prst="rect"/>
                  </pic:spPr>
                </pic:pic>
              </a:graphicData>
            </a:graphic>
          </wp:inline>
        </w:drawing>
      </w:r>
    </w:p>
    <w:p>
      <w:pPr>
        <w:spacing w:before="0" w:after="200"/>
        <w:jc w:val="center"/>
      </w:pPr>
      <w:r>
        <w:rPr>
          <w:i/>
          <w:color w:val="60737D"/>
          <w:sz w:val="17"/>
        </w:rPr>
        <w:t>Figure 3: Alert queue showing provider-neutral alert normalization, detection metadata, linked asset impact, and triage actions.</w:t>
      </w:r>
    </w:p>
    <w:p>
      <w:pPr>
        <w:pStyle w:val="Heading2"/>
      </w:pPr>
      <w:r>
        <w:t>Junior Analyst Triage Flow</w:t>
      </w:r>
    </w:p>
    <w:p>
      <w:pPr>
        <w:pStyle w:val="ListNumber"/>
      </w:pPr>
      <w:r>
        <w:t>Review the alert summary, severity, asset context, rule ID, and raw event details.</w:t>
      </w:r>
    </w:p>
    <w:p>
      <w:pPr>
        <w:pStyle w:val="ListNumber"/>
      </w:pPr>
      <w:r>
        <w:t>Check whether the affected asset is known and whether criticality changes priority.</w:t>
      </w:r>
    </w:p>
    <w:p>
      <w:pPr>
        <w:pStyle w:val="ListNumber"/>
      </w:pPr>
      <w:r>
        <w:t>Review extracted IOCs and related activity.</w:t>
      </w:r>
    </w:p>
    <w:p>
      <w:pPr>
        <w:pStyle w:val="ListNumber"/>
      </w:pPr>
      <w:r>
        <w:t>Mark the alert false positive if it is clearly benign and document rationale.</w:t>
      </w:r>
    </w:p>
    <w:p>
      <w:pPr>
        <w:pStyle w:val="ListNumber"/>
      </w:pPr>
      <w:r>
        <w:t>Send the alert for Lead review when it appears valid or requires case creation.</w:t>
      </w:r>
    </w:p>
    <w:p>
      <w:pPr>
        <w:pStyle w:val="Heading1"/>
      </w:pPr>
      <w:r>
        <w:t>9. Review Queue</w:t>
      </w:r>
    </w:p>
    <w:p>
      <w:r>
        <w:t>The Review module is the governance point between triage, investigation, and closure. Reviews should feel like reviews, not ordinary case editing. Leads are responsible for forward movement and review decisions; Admins may see review content for oversight but should not perform review actions.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2200"/>
        <w:gridCol w:w="2200"/>
        <w:gridCol w:w="2760"/>
      </w:tblGrid>
      <w:tr>
        <w:tc>
          <w:tcPr>
            <w:tcW w:type="dxa" w:w="2200"/>
            <w:shd w:fill="E8EEF5"/>
            <w:tcMar>
              <w:top w:w="80" w:type="dxa"/>
              <w:start w:w="120" w:type="dxa"/>
              <w:bottom w:w="80" w:type="dxa"/>
              <w:end w:w="120" w:type="dxa"/>
            </w:tcMar>
            <w:vAlign w:val="top"/>
          </w:tcPr>
          <w:p>
            <w:pPr>
              <w:spacing w:after="40" w:line="276" w:lineRule="auto"/>
            </w:pPr>
            <w:r>
              <w:rPr>
                <w:rFonts w:ascii="Calibri" w:hAnsi="Calibri"/>
                <w:b/>
                <w:color w:val="102027"/>
                <w:sz w:val="18"/>
              </w:rPr>
              <w:t>Review Type</w:t>
            </w:r>
          </w:p>
        </w:tc>
        <w:tc>
          <w:tcPr>
            <w:tcW w:type="dxa" w:w="2200"/>
            <w:shd w:fill="E8EEF5"/>
            <w:tcMar>
              <w:top w:w="80" w:type="dxa"/>
              <w:start w:w="120" w:type="dxa"/>
              <w:bottom w:w="80" w:type="dxa"/>
              <w:end w:w="120" w:type="dxa"/>
            </w:tcMar>
            <w:vAlign w:val="top"/>
          </w:tcPr>
          <w:p>
            <w:pPr>
              <w:spacing w:after="40" w:line="276" w:lineRule="auto"/>
            </w:pPr>
            <w:r>
              <w:rPr>
                <w:rFonts w:ascii="Calibri" w:hAnsi="Calibri"/>
                <w:b/>
                <w:color w:val="102027"/>
                <w:sz w:val="18"/>
              </w:rPr>
              <w:t>Submitted By</w:t>
            </w:r>
          </w:p>
        </w:tc>
        <w:tc>
          <w:tcPr>
            <w:tcW w:type="dxa" w:w="2200"/>
            <w:shd w:fill="E8EEF5"/>
            <w:tcMar>
              <w:top w:w="80" w:type="dxa"/>
              <w:start w:w="120" w:type="dxa"/>
              <w:bottom w:w="80" w:type="dxa"/>
              <w:end w:w="120" w:type="dxa"/>
            </w:tcMar>
            <w:vAlign w:val="top"/>
          </w:tcPr>
          <w:p>
            <w:pPr>
              <w:spacing w:after="40" w:line="276" w:lineRule="auto"/>
            </w:pPr>
            <w:r>
              <w:rPr>
                <w:rFonts w:ascii="Calibri" w:hAnsi="Calibri"/>
                <w:b/>
                <w:color w:val="102027"/>
                <w:sz w:val="18"/>
              </w:rPr>
              <w:t>Decision Owner</w:t>
            </w:r>
          </w:p>
        </w:tc>
        <w:tc>
          <w:tcPr>
            <w:tcW w:type="dxa" w:w="2760"/>
            <w:shd w:fill="E8EEF5"/>
            <w:tcMar>
              <w:top w:w="80" w:type="dxa"/>
              <w:start w:w="120" w:type="dxa"/>
              <w:bottom w:w="80" w:type="dxa"/>
              <w:end w:w="120" w:type="dxa"/>
            </w:tcMar>
            <w:vAlign w:val="top"/>
          </w:tcPr>
          <w:p>
            <w:pPr>
              <w:spacing w:after="40" w:line="276" w:lineRule="auto"/>
            </w:pPr>
            <w:r>
              <w:rPr>
                <w:rFonts w:ascii="Calibri" w:hAnsi="Calibri"/>
                <w:b/>
                <w:color w:val="102027"/>
                <w:sz w:val="18"/>
              </w:rPr>
              <w:t>Possible Outcomes</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Alert Review</w:t>
            </w:r>
          </w:p>
        </w:tc>
        <w:tc>
          <w:tcPr>
            <w:tcW w:type="dxa" w:w="2200"/>
            <w:tcMar>
              <w:top w:w="80" w:type="dxa"/>
              <w:start w:w="120" w:type="dxa"/>
              <w:bottom w:w="80" w:type="dxa"/>
              <w:end w:w="120" w:type="dxa"/>
            </w:tcMar>
            <w:vAlign w:val="top"/>
          </w:tcPr>
          <w:p>
            <w:pPr>
              <w:spacing w:after="40" w:line="276" w:lineRule="auto"/>
            </w:pPr>
            <w:r>
              <w:rPr>
                <w:rFonts w:ascii="Calibri" w:hAnsi="Calibri"/>
                <w:sz w:val="18"/>
              </w:rPr>
              <w:t>Junior Analyst or authorized triage role</w:t>
            </w:r>
          </w:p>
        </w:tc>
        <w:tc>
          <w:tcPr>
            <w:tcW w:type="dxa" w:w="2200"/>
            <w:tcMar>
              <w:top w:w="80" w:type="dxa"/>
              <w:start w:w="120" w:type="dxa"/>
              <w:bottom w:w="80" w:type="dxa"/>
              <w:end w:w="120" w:type="dxa"/>
            </w:tcMar>
            <w:vAlign w:val="top"/>
          </w:tcPr>
          <w:p>
            <w:pPr>
              <w:spacing w:after="40" w:line="276" w:lineRule="auto"/>
            </w:pPr>
            <w:r>
              <w:rPr>
                <w:rFonts w:ascii="Calibri" w:hAnsi="Calibri"/>
                <w:sz w:val="18"/>
              </w:rPr>
              <w:t>Lead Analyst</w:t>
            </w:r>
          </w:p>
        </w:tc>
        <w:tc>
          <w:tcPr>
            <w:tcW w:type="dxa" w:w="2760"/>
            <w:tcMar>
              <w:top w:w="80" w:type="dxa"/>
              <w:start w:w="120" w:type="dxa"/>
              <w:bottom w:w="80" w:type="dxa"/>
              <w:end w:w="120" w:type="dxa"/>
            </w:tcMar>
            <w:vAlign w:val="top"/>
          </w:tcPr>
          <w:p>
            <w:pPr>
              <w:spacing w:after="40" w:line="276" w:lineRule="auto"/>
            </w:pPr>
            <w:r>
              <w:rPr>
                <w:rFonts w:ascii="Calibri" w:hAnsi="Calibri"/>
                <w:sz w:val="18"/>
              </w:rPr>
              <w:t>Promote to case, request more work, or close as false positive.</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Closure Review</w:t>
            </w:r>
          </w:p>
        </w:tc>
        <w:tc>
          <w:tcPr>
            <w:tcW w:type="dxa" w:w="2200"/>
            <w:tcMar>
              <w:top w:w="80" w:type="dxa"/>
              <w:start w:w="120" w:type="dxa"/>
              <w:bottom w:w="80" w:type="dxa"/>
              <w:end w:w="120" w:type="dxa"/>
            </w:tcMar>
            <w:vAlign w:val="top"/>
          </w:tcPr>
          <w:p>
            <w:pPr>
              <w:spacing w:after="40" w:line="276" w:lineRule="auto"/>
            </w:pPr>
            <w:r>
              <w:rPr>
                <w:rFonts w:ascii="Calibri" w:hAnsi="Calibri"/>
                <w:sz w:val="18"/>
              </w:rPr>
              <w:t>Assigned Analyst</w:t>
            </w:r>
          </w:p>
        </w:tc>
        <w:tc>
          <w:tcPr>
            <w:tcW w:type="dxa" w:w="2200"/>
            <w:tcMar>
              <w:top w:w="80" w:type="dxa"/>
              <w:start w:w="120" w:type="dxa"/>
              <w:bottom w:w="80" w:type="dxa"/>
              <w:end w:w="120" w:type="dxa"/>
            </w:tcMar>
            <w:vAlign w:val="top"/>
          </w:tcPr>
          <w:p>
            <w:pPr>
              <w:spacing w:after="40" w:line="276" w:lineRule="auto"/>
            </w:pPr>
            <w:r>
              <w:rPr>
                <w:rFonts w:ascii="Calibri" w:hAnsi="Calibri"/>
                <w:sz w:val="18"/>
              </w:rPr>
              <w:t>Lead Analyst</w:t>
            </w:r>
          </w:p>
        </w:tc>
        <w:tc>
          <w:tcPr>
            <w:tcW w:type="dxa" w:w="2760"/>
            <w:tcMar>
              <w:top w:w="80" w:type="dxa"/>
              <w:start w:w="120" w:type="dxa"/>
              <w:bottom w:w="80" w:type="dxa"/>
              <w:end w:w="120" w:type="dxa"/>
            </w:tcMar>
            <w:vAlign w:val="top"/>
          </w:tcPr>
          <w:p>
            <w:pPr>
              <w:spacing w:after="40" w:line="276" w:lineRule="auto"/>
            </w:pPr>
            <w:r>
              <w:rPr>
                <w:rFonts w:ascii="Calibri" w:hAnsi="Calibri"/>
                <w:sz w:val="18"/>
              </w:rPr>
              <w:t>Approve closure, request more work, escalate, or mark false positive if appropriate.</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Containment Approval</w:t>
            </w:r>
          </w:p>
        </w:tc>
        <w:tc>
          <w:tcPr>
            <w:tcW w:type="dxa" w:w="2200"/>
            <w:tcMar>
              <w:top w:w="80" w:type="dxa"/>
              <w:start w:w="120" w:type="dxa"/>
              <w:bottom w:w="80" w:type="dxa"/>
              <w:end w:w="120" w:type="dxa"/>
            </w:tcMar>
            <w:vAlign w:val="top"/>
          </w:tcPr>
          <w:p>
            <w:pPr>
              <w:spacing w:after="40" w:line="276" w:lineRule="auto"/>
            </w:pPr>
            <w:r>
              <w:rPr>
                <w:rFonts w:ascii="Calibri" w:hAnsi="Calibri"/>
                <w:sz w:val="18"/>
              </w:rPr>
              <w:t>Assigned Analyst</w:t>
            </w:r>
          </w:p>
        </w:tc>
        <w:tc>
          <w:tcPr>
            <w:tcW w:type="dxa" w:w="2200"/>
            <w:tcMar>
              <w:top w:w="80" w:type="dxa"/>
              <w:start w:w="120" w:type="dxa"/>
              <w:bottom w:w="80" w:type="dxa"/>
              <w:end w:w="120" w:type="dxa"/>
            </w:tcMar>
            <w:vAlign w:val="top"/>
          </w:tcPr>
          <w:p>
            <w:pPr>
              <w:spacing w:after="40" w:line="276" w:lineRule="auto"/>
            </w:pPr>
            <w:r>
              <w:rPr>
                <w:rFonts w:ascii="Calibri" w:hAnsi="Calibri"/>
                <w:sz w:val="18"/>
              </w:rPr>
              <w:t>Lead Analyst</w:t>
            </w:r>
          </w:p>
        </w:tc>
        <w:tc>
          <w:tcPr>
            <w:tcW w:type="dxa" w:w="2760"/>
            <w:tcMar>
              <w:top w:w="80" w:type="dxa"/>
              <w:start w:w="120" w:type="dxa"/>
              <w:bottom w:w="80" w:type="dxa"/>
              <w:end w:w="120" w:type="dxa"/>
            </w:tcMar>
            <w:vAlign w:val="top"/>
          </w:tcPr>
          <w:p>
            <w:pPr>
              <w:spacing w:after="40" w:line="276" w:lineRule="auto"/>
            </w:pPr>
            <w:r>
              <w:rPr>
                <w:rFonts w:ascii="Calibri" w:hAnsi="Calibri"/>
                <w:sz w:val="18"/>
              </w:rPr>
              <w:t>Approve, reject, or cancel depending on risk and evidence.</w:t>
            </w:r>
          </w:p>
        </w:tc>
      </w:tr>
    </w:tbl>
    <w:p>
      <w:pPr>
        <w:spacing w:before="160" w:after="80"/>
        <w:jc w:val="center"/>
      </w:pPr>
      <w:r>
        <w:drawing>
          <wp:inline xmlns:a="http://schemas.openxmlformats.org/drawingml/2006/main" xmlns:pic="http://schemas.openxmlformats.org/drawingml/2006/picture">
            <wp:extent cx="5852160" cy="3045325"/>
            <wp:docPr id="4" name="Picture 4"/>
            <wp:cNvGraphicFramePr>
              <a:graphicFrameLocks noChangeAspect="1"/>
            </wp:cNvGraphicFramePr>
            <a:graphic>
              <a:graphicData uri="http://schemas.openxmlformats.org/drawingml/2006/picture">
                <pic:pic>
                  <pic:nvPicPr>
                    <pic:cNvPr id="0" name="figure-04-review-queue.png"/>
                    <pic:cNvPicPr/>
                  </pic:nvPicPr>
                  <pic:blipFill>
                    <a:blip r:embed="rId14"/>
                    <a:stretch>
                      <a:fillRect/>
                    </a:stretch>
                  </pic:blipFill>
                  <pic:spPr>
                    <a:xfrm>
                      <a:off x="0" y="0"/>
                      <a:ext cx="5852160" cy="3045325"/>
                    </a:xfrm>
                    <a:prstGeom prst="rect"/>
                  </pic:spPr>
                </pic:pic>
              </a:graphicData>
            </a:graphic>
          </wp:inline>
        </w:drawing>
      </w:r>
    </w:p>
    <w:p>
      <w:pPr>
        <w:spacing w:before="0" w:after="200"/>
        <w:jc w:val="center"/>
      </w:pPr>
      <w:r>
        <w:rPr>
          <w:i/>
          <w:color w:val="60737D"/>
          <w:sz w:val="17"/>
        </w:rPr>
        <w:t>Figure 4: Review Queue showing alert reviews, case closure reviews, Lead decision points, assignment visibility, and review status controls.</w:t>
      </w:r>
    </w:p>
    <w:p>
      <w:pPr>
        <w:pStyle w:val="Heading1"/>
      </w:pPr>
      <w:r>
        <w:t>10. Case Investigation Workspace</w:t>
      </w:r>
    </w:p>
    <w:p>
      <w:r>
        <w:t>Cases are the central operational unit in AstoraSOC. All incident response work should converge into the case: summary fields, incident type, business impact, root cause, resolution summary, tasks, notes, evidence, IOCs, linked assets, timeline, containment requests, review state, and reports.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000"/>
        <w:gridCol w:w="5200"/>
        <w:gridCol w:w="2160"/>
      </w:tblGrid>
      <w:tr>
        <w:tc>
          <w:tcPr>
            <w:tcW w:type="dxa" w:w="2000"/>
            <w:shd w:fill="E8EEF5"/>
            <w:tcMar>
              <w:top w:w="80" w:type="dxa"/>
              <w:start w:w="120" w:type="dxa"/>
              <w:bottom w:w="80" w:type="dxa"/>
              <w:end w:w="120" w:type="dxa"/>
            </w:tcMar>
            <w:vAlign w:val="top"/>
          </w:tcPr>
          <w:p>
            <w:pPr>
              <w:spacing w:after="40" w:line="276" w:lineRule="auto"/>
            </w:pPr>
            <w:r>
              <w:rPr>
                <w:rFonts w:ascii="Calibri" w:hAnsi="Calibri"/>
                <w:b/>
                <w:color w:val="102027"/>
                <w:sz w:val="18"/>
              </w:rPr>
              <w:t>Section</w:t>
            </w:r>
          </w:p>
        </w:tc>
        <w:tc>
          <w:tcPr>
            <w:tcW w:type="dxa" w:w="5200"/>
            <w:shd w:fill="E8EEF5"/>
            <w:tcMar>
              <w:top w:w="80" w:type="dxa"/>
              <w:start w:w="120" w:type="dxa"/>
              <w:bottom w:w="80" w:type="dxa"/>
              <w:end w:w="120" w:type="dxa"/>
            </w:tcMar>
            <w:vAlign w:val="top"/>
          </w:tcPr>
          <w:p>
            <w:pPr>
              <w:spacing w:after="40" w:line="276" w:lineRule="auto"/>
            </w:pPr>
            <w:r>
              <w:rPr>
                <w:rFonts w:ascii="Calibri" w:hAnsi="Calibri"/>
                <w:b/>
                <w:color w:val="102027"/>
                <w:sz w:val="18"/>
              </w:rPr>
              <w:t>Purpose</w:t>
            </w:r>
          </w:p>
        </w:tc>
        <w:tc>
          <w:tcPr>
            <w:tcW w:type="dxa" w:w="2160"/>
            <w:shd w:fill="E8EEF5"/>
            <w:tcMar>
              <w:top w:w="80" w:type="dxa"/>
              <w:start w:w="120" w:type="dxa"/>
              <w:bottom w:w="80" w:type="dxa"/>
              <w:end w:w="120" w:type="dxa"/>
            </w:tcMar>
            <w:vAlign w:val="top"/>
          </w:tcPr>
          <w:p>
            <w:pPr>
              <w:spacing w:after="40" w:line="276" w:lineRule="auto"/>
            </w:pPr>
            <w:r>
              <w:rPr>
                <w:rFonts w:ascii="Calibri" w:hAnsi="Calibri"/>
                <w:b/>
                <w:color w:val="102027"/>
                <w:sz w:val="18"/>
              </w:rPr>
              <w:t>Primary Editor</w:t>
            </w:r>
          </w:p>
        </w:tc>
      </w:tr>
      <w:tr>
        <w:tc>
          <w:tcPr>
            <w:tcW w:type="dxa" w:w="2000"/>
            <w:tcMar>
              <w:top w:w="80" w:type="dxa"/>
              <w:start w:w="120" w:type="dxa"/>
              <w:bottom w:w="80" w:type="dxa"/>
              <w:end w:w="120" w:type="dxa"/>
            </w:tcMar>
            <w:vAlign w:val="top"/>
          </w:tcPr>
          <w:p>
            <w:pPr>
              <w:spacing w:after="40" w:line="276" w:lineRule="auto"/>
            </w:pPr>
            <w:r>
              <w:rPr>
                <w:rFonts w:ascii="Calibri" w:hAnsi="Calibri"/>
                <w:sz w:val="18"/>
              </w:rPr>
              <w:t>Review Decision</w:t>
            </w:r>
          </w:p>
        </w:tc>
        <w:tc>
          <w:tcPr>
            <w:tcW w:type="dxa" w:w="5200"/>
            <w:tcMar>
              <w:top w:w="80" w:type="dxa"/>
              <w:start w:w="120" w:type="dxa"/>
              <w:bottom w:w="80" w:type="dxa"/>
              <w:end w:w="120" w:type="dxa"/>
            </w:tcMar>
            <w:vAlign w:val="top"/>
          </w:tcPr>
          <w:p>
            <w:pPr>
              <w:spacing w:after="40" w:line="276" w:lineRule="auto"/>
            </w:pPr>
            <w:r>
              <w:rPr>
                <w:rFonts w:ascii="Calibri" w:hAnsi="Calibri"/>
                <w:sz w:val="18"/>
              </w:rPr>
              <w:t>Closure readiness, evidence, reviewer action, and summary context.</w:t>
            </w:r>
          </w:p>
        </w:tc>
        <w:tc>
          <w:tcPr>
            <w:tcW w:type="dxa" w:w="2160"/>
            <w:tcMar>
              <w:top w:w="80" w:type="dxa"/>
              <w:start w:w="120" w:type="dxa"/>
              <w:bottom w:w="80" w:type="dxa"/>
              <w:end w:w="120" w:type="dxa"/>
            </w:tcMar>
            <w:vAlign w:val="top"/>
          </w:tcPr>
          <w:p>
            <w:pPr>
              <w:spacing w:after="40" w:line="276" w:lineRule="auto"/>
            </w:pPr>
            <w:r>
              <w:rPr>
                <w:rFonts w:ascii="Calibri" w:hAnsi="Calibri"/>
                <w:sz w:val="18"/>
              </w:rPr>
              <w:t>Lead decision / Analyst submission</w:t>
            </w:r>
          </w:p>
        </w:tc>
      </w:tr>
      <w:tr>
        <w:tc>
          <w:tcPr>
            <w:tcW w:type="dxa" w:w="2000"/>
            <w:tcMar>
              <w:top w:w="80" w:type="dxa"/>
              <w:start w:w="120" w:type="dxa"/>
              <w:bottom w:w="80" w:type="dxa"/>
              <w:end w:w="120" w:type="dxa"/>
            </w:tcMar>
            <w:vAlign w:val="top"/>
          </w:tcPr>
          <w:p>
            <w:pPr>
              <w:spacing w:after="40" w:line="276" w:lineRule="auto"/>
            </w:pPr>
            <w:r>
              <w:rPr>
                <w:rFonts w:ascii="Calibri" w:hAnsi="Calibri"/>
                <w:sz w:val="18"/>
              </w:rPr>
              <w:t>Review Summary</w:t>
            </w:r>
          </w:p>
        </w:tc>
        <w:tc>
          <w:tcPr>
            <w:tcW w:type="dxa" w:w="5200"/>
            <w:tcMar>
              <w:top w:w="80" w:type="dxa"/>
              <w:start w:w="120" w:type="dxa"/>
              <w:bottom w:w="80" w:type="dxa"/>
              <w:end w:w="120" w:type="dxa"/>
            </w:tcMar>
            <w:vAlign w:val="top"/>
          </w:tcPr>
          <w:p>
            <w:pPr>
              <w:spacing w:after="40" w:line="276" w:lineRule="auto"/>
            </w:pPr>
            <w:r>
              <w:rPr>
                <w:rFonts w:ascii="Calibri" w:hAnsi="Calibri"/>
                <w:sz w:val="18"/>
              </w:rPr>
              <w:t>Core case metadata snapshot for reviewers.</w:t>
            </w:r>
          </w:p>
        </w:tc>
        <w:tc>
          <w:tcPr>
            <w:tcW w:type="dxa" w:w="2160"/>
            <w:tcMar>
              <w:top w:w="80" w:type="dxa"/>
              <w:start w:w="120" w:type="dxa"/>
              <w:bottom w:w="80" w:type="dxa"/>
              <w:end w:w="120" w:type="dxa"/>
            </w:tcMar>
            <w:vAlign w:val="top"/>
          </w:tcPr>
          <w:p>
            <w:pPr>
              <w:spacing w:after="40" w:line="276" w:lineRule="auto"/>
            </w:pPr>
            <w:r>
              <w:rPr>
                <w:rFonts w:ascii="Calibri" w:hAnsi="Calibri"/>
                <w:sz w:val="18"/>
              </w:rPr>
              <w:t>System-generated from case fields</w:t>
            </w:r>
          </w:p>
        </w:tc>
      </w:tr>
      <w:tr>
        <w:tc>
          <w:tcPr>
            <w:tcW w:type="dxa" w:w="2000"/>
            <w:tcMar>
              <w:top w:w="80" w:type="dxa"/>
              <w:start w:w="120" w:type="dxa"/>
              <w:bottom w:w="80" w:type="dxa"/>
              <w:end w:w="120" w:type="dxa"/>
            </w:tcMar>
            <w:vAlign w:val="top"/>
          </w:tcPr>
          <w:p>
            <w:pPr>
              <w:spacing w:after="40" w:line="276" w:lineRule="auto"/>
            </w:pPr>
            <w:r>
              <w:rPr>
                <w:rFonts w:ascii="Calibri" w:hAnsi="Calibri"/>
                <w:sz w:val="18"/>
              </w:rPr>
              <w:t>Case Summary</w:t>
            </w:r>
          </w:p>
        </w:tc>
        <w:tc>
          <w:tcPr>
            <w:tcW w:type="dxa" w:w="5200"/>
            <w:tcMar>
              <w:top w:w="80" w:type="dxa"/>
              <w:start w:w="120" w:type="dxa"/>
              <w:bottom w:w="80" w:type="dxa"/>
              <w:end w:w="120" w:type="dxa"/>
            </w:tcMar>
            <w:vAlign w:val="top"/>
          </w:tcPr>
          <w:p>
            <w:pPr>
              <w:spacing w:after="40" w:line="276" w:lineRule="auto"/>
            </w:pPr>
            <w:r>
              <w:rPr>
                <w:rFonts w:ascii="Calibri" w:hAnsi="Calibri"/>
                <w:sz w:val="18"/>
              </w:rPr>
              <w:t>Incident type, business impact, root cause, resolution summary, created/assigned/closed time, MTTR, host/user/IP context, and linked asset.</w:t>
            </w:r>
          </w:p>
        </w:tc>
        <w:tc>
          <w:tcPr>
            <w:tcW w:type="dxa" w:w="2160"/>
            <w:tcMar>
              <w:top w:w="80" w:type="dxa"/>
              <w:start w:w="120" w:type="dxa"/>
              <w:bottom w:w="80" w:type="dxa"/>
              <w:end w:w="120" w:type="dxa"/>
            </w:tcMar>
            <w:vAlign w:val="top"/>
          </w:tcPr>
          <w:p>
            <w:pPr>
              <w:spacing w:after="40" w:line="276" w:lineRule="auto"/>
            </w:pPr>
            <w:r>
              <w:rPr>
                <w:rFonts w:ascii="Calibri" w:hAnsi="Calibri"/>
                <w:sz w:val="18"/>
              </w:rPr>
              <w:t>System plus authorized case editors</w:t>
            </w:r>
          </w:p>
        </w:tc>
      </w:tr>
      <w:tr>
        <w:tc>
          <w:tcPr>
            <w:tcW w:type="dxa" w:w="2000"/>
            <w:tcMar>
              <w:top w:w="80" w:type="dxa"/>
              <w:start w:w="120" w:type="dxa"/>
              <w:bottom w:w="80" w:type="dxa"/>
              <w:end w:w="120" w:type="dxa"/>
            </w:tcMar>
            <w:vAlign w:val="top"/>
          </w:tcPr>
          <w:p>
            <w:pPr>
              <w:spacing w:after="40" w:line="276" w:lineRule="auto"/>
            </w:pPr>
            <w:r>
              <w:rPr>
                <w:rFonts w:ascii="Calibri" w:hAnsi="Calibri"/>
                <w:sz w:val="18"/>
              </w:rPr>
              <w:t>Timeline</w:t>
            </w:r>
          </w:p>
        </w:tc>
        <w:tc>
          <w:tcPr>
            <w:tcW w:type="dxa" w:w="5200"/>
            <w:tcMar>
              <w:top w:w="80" w:type="dxa"/>
              <w:start w:w="120" w:type="dxa"/>
              <w:bottom w:w="80" w:type="dxa"/>
              <w:end w:w="120" w:type="dxa"/>
            </w:tcMar>
            <w:vAlign w:val="top"/>
          </w:tcPr>
          <w:p>
            <w:pPr>
              <w:spacing w:after="40" w:line="276" w:lineRule="auto"/>
            </w:pPr>
            <w:r>
              <w:rPr>
                <w:rFonts w:ascii="Calibri" w:hAnsi="Calibri"/>
                <w:sz w:val="18"/>
              </w:rPr>
              <w:t>Chronological incident and workflow events.</w:t>
            </w:r>
          </w:p>
        </w:tc>
        <w:tc>
          <w:tcPr>
            <w:tcW w:type="dxa" w:w="2160"/>
            <w:tcMar>
              <w:top w:w="80" w:type="dxa"/>
              <w:start w:w="120" w:type="dxa"/>
              <w:bottom w:w="80" w:type="dxa"/>
              <w:end w:w="120" w:type="dxa"/>
            </w:tcMar>
            <w:vAlign w:val="top"/>
          </w:tcPr>
          <w:p>
            <w:pPr>
              <w:spacing w:after="40" w:line="276" w:lineRule="auto"/>
            </w:pPr>
            <w:r>
              <w:rPr>
                <w:rFonts w:ascii="Calibri" w:hAnsi="Calibri"/>
                <w:sz w:val="18"/>
              </w:rPr>
              <w:t>System plus workflow actions</w:t>
            </w:r>
          </w:p>
        </w:tc>
      </w:tr>
      <w:tr>
        <w:tc>
          <w:tcPr>
            <w:tcW w:type="dxa" w:w="2000"/>
            <w:tcMar>
              <w:top w:w="80" w:type="dxa"/>
              <w:start w:w="120" w:type="dxa"/>
              <w:bottom w:w="80" w:type="dxa"/>
              <w:end w:w="120" w:type="dxa"/>
            </w:tcMar>
            <w:vAlign w:val="top"/>
          </w:tcPr>
          <w:p>
            <w:pPr>
              <w:spacing w:after="40" w:line="276" w:lineRule="auto"/>
            </w:pPr>
            <w:r>
              <w:rPr>
                <w:rFonts w:ascii="Calibri" w:hAnsi="Calibri"/>
                <w:sz w:val="18"/>
              </w:rPr>
              <w:t>Related Activity</w:t>
            </w:r>
          </w:p>
        </w:tc>
        <w:tc>
          <w:tcPr>
            <w:tcW w:type="dxa" w:w="5200"/>
            <w:tcMar>
              <w:top w:w="80" w:type="dxa"/>
              <w:start w:w="120" w:type="dxa"/>
              <w:bottom w:w="80" w:type="dxa"/>
              <w:end w:w="120" w:type="dxa"/>
            </w:tcMar>
            <w:vAlign w:val="top"/>
          </w:tcPr>
          <w:p>
            <w:pPr>
              <w:spacing w:after="40" w:line="276" w:lineRule="auto"/>
            </w:pPr>
            <w:r>
              <w:rPr>
                <w:rFonts w:ascii="Calibri" w:hAnsi="Calibri"/>
                <w:sz w:val="18"/>
              </w:rPr>
              <w:t>Lightweight correlation hints by IOC, rule ID, and host.</w:t>
            </w:r>
          </w:p>
        </w:tc>
        <w:tc>
          <w:tcPr>
            <w:tcW w:type="dxa" w:w="2160"/>
            <w:tcMar>
              <w:top w:w="80" w:type="dxa"/>
              <w:start w:w="120" w:type="dxa"/>
              <w:bottom w:w="80" w:type="dxa"/>
              <w:end w:w="120" w:type="dxa"/>
            </w:tcMar>
            <w:vAlign w:val="top"/>
          </w:tcPr>
          <w:p>
            <w:pPr>
              <w:spacing w:after="40" w:line="276" w:lineRule="auto"/>
            </w:pPr>
            <w:r>
              <w:rPr>
                <w:rFonts w:ascii="Calibri" w:hAnsi="Calibri"/>
                <w:sz w:val="18"/>
              </w:rPr>
              <w:t>System-generated</w:t>
            </w:r>
          </w:p>
        </w:tc>
      </w:tr>
      <w:tr>
        <w:tc>
          <w:tcPr>
            <w:tcW w:type="dxa" w:w="2000"/>
            <w:tcMar>
              <w:top w:w="80" w:type="dxa"/>
              <w:start w:w="120" w:type="dxa"/>
              <w:bottom w:w="80" w:type="dxa"/>
              <w:end w:w="120" w:type="dxa"/>
            </w:tcMar>
            <w:vAlign w:val="top"/>
          </w:tcPr>
          <w:p>
            <w:pPr>
              <w:spacing w:after="40" w:line="276" w:lineRule="auto"/>
            </w:pPr>
            <w:r>
              <w:rPr>
                <w:rFonts w:ascii="Calibri" w:hAnsi="Calibri"/>
                <w:sz w:val="18"/>
              </w:rPr>
              <w:t>IOC Intelligence</w:t>
            </w:r>
          </w:p>
        </w:tc>
        <w:tc>
          <w:tcPr>
            <w:tcW w:type="dxa" w:w="5200"/>
            <w:tcMar>
              <w:top w:w="80" w:type="dxa"/>
              <w:start w:w="120" w:type="dxa"/>
              <w:bottom w:w="80" w:type="dxa"/>
              <w:end w:w="120" w:type="dxa"/>
            </w:tcMar>
            <w:vAlign w:val="top"/>
          </w:tcPr>
          <w:p>
            <w:pPr>
              <w:spacing w:after="40" w:line="276" w:lineRule="auto"/>
            </w:pPr>
            <w:r>
              <w:rPr>
                <w:rFonts w:ascii="Calibri" w:hAnsi="Calibri"/>
                <w:sz w:val="18"/>
              </w:rPr>
              <w:t>Indicators tied to case and alert context.</w:t>
            </w:r>
          </w:p>
        </w:tc>
        <w:tc>
          <w:tcPr>
            <w:tcW w:type="dxa" w:w="2160"/>
            <w:tcMar>
              <w:top w:w="80" w:type="dxa"/>
              <w:start w:w="120" w:type="dxa"/>
              <w:bottom w:w="80" w:type="dxa"/>
              <w:end w:w="120" w:type="dxa"/>
            </w:tcMar>
            <w:vAlign w:val="top"/>
          </w:tcPr>
          <w:p>
            <w:pPr>
              <w:spacing w:after="40" w:line="276" w:lineRule="auto"/>
            </w:pPr>
            <w:r>
              <w:rPr>
                <w:rFonts w:ascii="Calibri" w:hAnsi="Calibri"/>
                <w:sz w:val="18"/>
              </w:rPr>
              <w:t>Assigned Analyst</w:t>
            </w:r>
          </w:p>
        </w:tc>
      </w:tr>
      <w:tr>
        <w:tc>
          <w:tcPr>
            <w:tcW w:type="dxa" w:w="2000"/>
            <w:tcMar>
              <w:top w:w="80" w:type="dxa"/>
              <w:start w:w="120" w:type="dxa"/>
              <w:bottom w:w="80" w:type="dxa"/>
              <w:end w:w="120" w:type="dxa"/>
            </w:tcMar>
            <w:vAlign w:val="top"/>
          </w:tcPr>
          <w:p>
            <w:pPr>
              <w:spacing w:after="40" w:line="276" w:lineRule="auto"/>
            </w:pPr>
            <w:r>
              <w:rPr>
                <w:rFonts w:ascii="Calibri" w:hAnsi="Calibri"/>
                <w:sz w:val="18"/>
              </w:rPr>
              <w:t>Evidence</w:t>
            </w:r>
          </w:p>
        </w:tc>
        <w:tc>
          <w:tcPr>
            <w:tcW w:type="dxa" w:w="5200"/>
            <w:tcMar>
              <w:top w:w="80" w:type="dxa"/>
              <w:start w:w="120" w:type="dxa"/>
              <w:bottom w:w="80" w:type="dxa"/>
              <w:end w:w="120" w:type="dxa"/>
            </w:tcMar>
            <w:vAlign w:val="top"/>
          </w:tcPr>
          <w:p>
            <w:pPr>
              <w:spacing w:after="40" w:line="276" w:lineRule="auto"/>
            </w:pPr>
            <w:r>
              <w:rPr>
                <w:rFonts w:ascii="Calibri" w:hAnsi="Calibri"/>
                <w:sz w:val="18"/>
              </w:rPr>
              <w:t>Uploaded files, hashes, previews, and downloads.</w:t>
            </w:r>
          </w:p>
        </w:tc>
        <w:tc>
          <w:tcPr>
            <w:tcW w:type="dxa" w:w="2160"/>
            <w:tcMar>
              <w:top w:w="80" w:type="dxa"/>
              <w:start w:w="120" w:type="dxa"/>
              <w:bottom w:w="80" w:type="dxa"/>
              <w:end w:w="120" w:type="dxa"/>
            </w:tcMar>
            <w:vAlign w:val="top"/>
          </w:tcPr>
          <w:p>
            <w:pPr>
              <w:spacing w:after="40" w:line="276" w:lineRule="auto"/>
            </w:pPr>
            <w:r>
              <w:rPr>
                <w:rFonts w:ascii="Calibri" w:hAnsi="Calibri"/>
                <w:sz w:val="18"/>
              </w:rPr>
              <w:t>Assigned Analyst</w:t>
            </w:r>
          </w:p>
        </w:tc>
      </w:tr>
      <w:tr>
        <w:tc>
          <w:tcPr>
            <w:tcW w:type="dxa" w:w="2000"/>
            <w:tcMar>
              <w:top w:w="80" w:type="dxa"/>
              <w:start w:w="120" w:type="dxa"/>
              <w:bottom w:w="80" w:type="dxa"/>
              <w:end w:w="120" w:type="dxa"/>
            </w:tcMar>
            <w:vAlign w:val="top"/>
          </w:tcPr>
          <w:p>
            <w:pPr>
              <w:spacing w:after="40" w:line="276" w:lineRule="auto"/>
            </w:pPr>
            <w:r>
              <w:rPr>
                <w:rFonts w:ascii="Calibri" w:hAnsi="Calibri"/>
                <w:sz w:val="18"/>
              </w:rPr>
              <w:t>Tasks</w:t>
            </w:r>
          </w:p>
        </w:tc>
        <w:tc>
          <w:tcPr>
            <w:tcW w:type="dxa" w:w="5200"/>
            <w:tcMar>
              <w:top w:w="80" w:type="dxa"/>
              <w:start w:w="120" w:type="dxa"/>
              <w:bottom w:w="80" w:type="dxa"/>
              <w:end w:w="120" w:type="dxa"/>
            </w:tcMar>
            <w:vAlign w:val="top"/>
          </w:tcPr>
          <w:p>
            <w:pPr>
              <w:spacing w:after="40" w:line="276" w:lineRule="auto"/>
            </w:pPr>
            <w:r>
              <w:rPr>
                <w:rFonts w:ascii="Calibri" w:hAnsi="Calibri"/>
                <w:sz w:val="18"/>
              </w:rPr>
              <w:t>Auto-generated and analyst-created checklist items.</w:t>
            </w:r>
          </w:p>
        </w:tc>
        <w:tc>
          <w:tcPr>
            <w:tcW w:type="dxa" w:w="2160"/>
            <w:tcMar>
              <w:top w:w="80" w:type="dxa"/>
              <w:start w:w="120" w:type="dxa"/>
              <w:bottom w:w="80" w:type="dxa"/>
              <w:end w:w="120" w:type="dxa"/>
            </w:tcMar>
            <w:vAlign w:val="top"/>
          </w:tcPr>
          <w:p>
            <w:pPr>
              <w:spacing w:after="40" w:line="276" w:lineRule="auto"/>
            </w:pPr>
            <w:r>
              <w:rPr>
                <w:rFonts w:ascii="Calibri" w:hAnsi="Calibri"/>
                <w:sz w:val="18"/>
              </w:rPr>
              <w:t>Assigned Analyst</w:t>
            </w:r>
          </w:p>
        </w:tc>
      </w:tr>
      <w:tr>
        <w:tc>
          <w:tcPr>
            <w:tcW w:type="dxa" w:w="2000"/>
            <w:tcMar>
              <w:top w:w="80" w:type="dxa"/>
              <w:start w:w="120" w:type="dxa"/>
              <w:bottom w:w="80" w:type="dxa"/>
              <w:end w:w="120" w:type="dxa"/>
            </w:tcMar>
            <w:vAlign w:val="top"/>
          </w:tcPr>
          <w:p>
            <w:pPr>
              <w:spacing w:after="40" w:line="276" w:lineRule="auto"/>
            </w:pPr>
            <w:r>
              <w:rPr>
                <w:rFonts w:ascii="Calibri" w:hAnsi="Calibri"/>
                <w:sz w:val="18"/>
              </w:rPr>
              <w:t>Investigation Journal</w:t>
            </w:r>
          </w:p>
        </w:tc>
        <w:tc>
          <w:tcPr>
            <w:tcW w:type="dxa" w:w="5200"/>
            <w:tcMar>
              <w:top w:w="80" w:type="dxa"/>
              <w:start w:w="120" w:type="dxa"/>
              <w:bottom w:w="80" w:type="dxa"/>
              <w:end w:w="120" w:type="dxa"/>
            </w:tcMar>
            <w:vAlign w:val="top"/>
          </w:tcPr>
          <w:p>
            <w:pPr>
              <w:spacing w:after="40" w:line="276" w:lineRule="auto"/>
            </w:pPr>
            <w:r>
              <w:rPr>
                <w:rFonts w:ascii="Calibri" w:hAnsi="Calibri"/>
                <w:sz w:val="18"/>
              </w:rPr>
              <w:t>Searchable notes and findings.</w:t>
            </w:r>
          </w:p>
        </w:tc>
        <w:tc>
          <w:tcPr>
            <w:tcW w:type="dxa" w:w="2160"/>
            <w:tcMar>
              <w:top w:w="80" w:type="dxa"/>
              <w:start w:w="120" w:type="dxa"/>
              <w:bottom w:w="80" w:type="dxa"/>
              <w:end w:w="120" w:type="dxa"/>
            </w:tcMar>
            <w:vAlign w:val="top"/>
          </w:tcPr>
          <w:p>
            <w:pPr>
              <w:spacing w:after="40" w:line="276" w:lineRule="auto"/>
            </w:pPr>
            <w:r>
              <w:rPr>
                <w:rFonts w:ascii="Calibri" w:hAnsi="Calibri"/>
                <w:sz w:val="18"/>
              </w:rPr>
              <w:t>Assigned Analyst</w:t>
            </w:r>
          </w:p>
        </w:tc>
      </w:tr>
      <w:tr>
        <w:tc>
          <w:tcPr>
            <w:tcW w:type="dxa" w:w="2000"/>
            <w:tcMar>
              <w:top w:w="80" w:type="dxa"/>
              <w:start w:w="120" w:type="dxa"/>
              <w:bottom w:w="80" w:type="dxa"/>
              <w:end w:w="120" w:type="dxa"/>
            </w:tcMar>
            <w:vAlign w:val="top"/>
          </w:tcPr>
          <w:p>
            <w:pPr>
              <w:spacing w:after="40" w:line="276" w:lineRule="auto"/>
            </w:pPr>
            <w:r>
              <w:rPr>
                <w:rFonts w:ascii="Calibri" w:hAnsi="Calibri"/>
                <w:sz w:val="18"/>
              </w:rPr>
              <w:t>Containment Queue</w:t>
            </w:r>
          </w:p>
        </w:tc>
        <w:tc>
          <w:tcPr>
            <w:tcW w:type="dxa" w:w="5200"/>
            <w:tcMar>
              <w:top w:w="80" w:type="dxa"/>
              <w:start w:w="120" w:type="dxa"/>
              <w:bottom w:w="80" w:type="dxa"/>
              <w:end w:w="120" w:type="dxa"/>
            </w:tcMar>
            <w:vAlign w:val="top"/>
          </w:tcPr>
          <w:p>
            <w:pPr>
              <w:spacing w:after="40" w:line="276" w:lineRule="auto"/>
            </w:pPr>
            <w:r>
              <w:rPr>
                <w:rFonts w:ascii="Calibri" w:hAnsi="Calibri"/>
                <w:sz w:val="18"/>
              </w:rPr>
              <w:t>Response action request, approval, execution, rollback, and history.</w:t>
            </w:r>
          </w:p>
        </w:tc>
        <w:tc>
          <w:tcPr>
            <w:tcW w:type="dxa" w:w="2160"/>
            <w:tcMar>
              <w:top w:w="80" w:type="dxa"/>
              <w:start w:w="120" w:type="dxa"/>
              <w:bottom w:w="80" w:type="dxa"/>
              <w:end w:w="120" w:type="dxa"/>
            </w:tcMar>
            <w:vAlign w:val="top"/>
          </w:tcPr>
          <w:p>
            <w:pPr>
              <w:spacing w:after="40" w:line="276" w:lineRule="auto"/>
            </w:pPr>
            <w:r>
              <w:rPr>
                <w:rFonts w:ascii="Calibri" w:hAnsi="Calibri"/>
                <w:sz w:val="18"/>
              </w:rPr>
              <w:t>Analyst request; Lead/Admin execution depending on policy</w:t>
            </w:r>
          </w:p>
        </w:tc>
      </w:tr>
      <w:tr>
        <w:tc>
          <w:tcPr>
            <w:tcW w:type="dxa" w:w="2000"/>
            <w:tcMar>
              <w:top w:w="80" w:type="dxa"/>
              <w:start w:w="120" w:type="dxa"/>
              <w:bottom w:w="80" w:type="dxa"/>
              <w:end w:w="120" w:type="dxa"/>
            </w:tcMar>
            <w:vAlign w:val="top"/>
          </w:tcPr>
          <w:p>
            <w:pPr>
              <w:spacing w:after="40" w:line="276" w:lineRule="auto"/>
            </w:pPr>
            <w:r>
              <w:rPr>
                <w:rFonts w:ascii="Calibri" w:hAnsi="Calibri"/>
                <w:sz w:val="18"/>
              </w:rPr>
              <w:t>Reports</w:t>
            </w:r>
          </w:p>
        </w:tc>
        <w:tc>
          <w:tcPr>
            <w:tcW w:type="dxa" w:w="5200"/>
            <w:tcMar>
              <w:top w:w="80" w:type="dxa"/>
              <w:start w:w="120" w:type="dxa"/>
              <w:bottom w:w="80" w:type="dxa"/>
              <w:end w:w="120" w:type="dxa"/>
            </w:tcMar>
            <w:vAlign w:val="top"/>
          </w:tcPr>
          <w:p>
            <w:pPr>
              <w:spacing w:after="40" w:line="276" w:lineRule="auto"/>
            </w:pPr>
            <w:r>
              <w:rPr>
                <w:rFonts w:ascii="Calibri" w:hAnsi="Calibri"/>
                <w:sz w:val="18"/>
              </w:rPr>
              <w:t>DOCX/PDF case reporting.</w:t>
            </w:r>
          </w:p>
        </w:tc>
        <w:tc>
          <w:tcPr>
            <w:tcW w:type="dxa" w:w="2160"/>
            <w:tcMar>
              <w:top w:w="80" w:type="dxa"/>
              <w:start w:w="120" w:type="dxa"/>
              <w:bottom w:w="80" w:type="dxa"/>
              <w:end w:w="120" w:type="dxa"/>
            </w:tcMar>
            <w:vAlign w:val="top"/>
          </w:tcPr>
          <w:p>
            <w:pPr>
              <w:spacing w:after="40" w:line="276" w:lineRule="auto"/>
            </w:pPr>
            <w:r>
              <w:rPr>
                <w:rFonts w:ascii="Calibri" w:hAnsi="Calibri"/>
                <w:sz w:val="18"/>
              </w:rPr>
              <w:t>Authorized users by role and assignment</w:t>
            </w:r>
          </w:p>
        </w:tc>
      </w:tr>
    </w:tbl>
    <w:p>
      <w:pPr>
        <w:pStyle w:val="ListBullet"/>
      </w:pPr>
      <w:r>
        <w:t>Every case should identify affected asset, user, host, severity, asset criticality, rule ID, source, and timestamps where available.</w:t>
      </w:r>
    </w:p>
    <w:p>
      <w:pPr>
        <w:pStyle w:val="ListBullet"/>
      </w:pPr>
      <w:r>
        <w:t>Empty optional fields should be hidden in operational views and reports instead of rendered as repeated placeholder text.</w:t>
      </w:r>
    </w:p>
    <w:p>
      <w:pPr>
        <w:pStyle w:val="ListBullet"/>
      </w:pPr>
      <w:r>
        <w:t>Vulnerability cases should record CVE ID, CVSS score, affected software/version, fixed version, patch status, remediation owner, validation performed, and final resolution summary where known.</w:t>
      </w:r>
    </w:p>
    <w:p>
      <w:pPr>
        <w:pStyle w:val="ListBullet"/>
      </w:pPr>
      <w:r>
        <w:t>Every significant analyst decision should be captured in notes, timeline, audit logs, or containment history.</w:t>
      </w:r>
    </w:p>
    <w:p>
      <w:pPr>
        <w:pStyle w:val="ListBullet"/>
      </w:pPr>
      <w:r>
        <w:t>Evidence uploads should be purposeful, named clearly, and referenced in closure notes when relevant.</w:t>
      </w:r>
    </w:p>
    <w:p>
      <w:pPr>
        <w:pStyle w:val="ListBullet"/>
      </w:pPr>
      <w:r>
        <w:t>Closure requests should state finding, impact, action taken, evidence reviewed, and recommended final disposition.</w:t>
      </w:r>
    </w:p>
    <w:p>
      <w:pPr>
        <w:spacing w:before="160" w:after="80"/>
        <w:jc w:val="center"/>
      </w:pPr>
      <w:r>
        <w:drawing>
          <wp:inline xmlns:a="http://schemas.openxmlformats.org/drawingml/2006/main" xmlns:pic="http://schemas.openxmlformats.org/drawingml/2006/picture">
            <wp:extent cx="5852160" cy="2806932"/>
            <wp:docPr id="5" name="Picture 5"/>
            <wp:cNvGraphicFramePr>
              <a:graphicFrameLocks noChangeAspect="1"/>
            </wp:cNvGraphicFramePr>
            <a:graphic>
              <a:graphicData uri="http://schemas.openxmlformats.org/drawingml/2006/picture">
                <pic:pic>
                  <pic:nvPicPr>
                    <pic:cNvPr id="0" name="figure-05-case-workspace-overview.png"/>
                    <pic:cNvPicPr/>
                  </pic:nvPicPr>
                  <pic:blipFill>
                    <a:blip r:embed="rId15"/>
                    <a:stretch>
                      <a:fillRect/>
                    </a:stretch>
                  </pic:blipFill>
                  <pic:spPr>
                    <a:xfrm>
                      <a:off x="0" y="0"/>
                      <a:ext cx="5852160" cy="2806932"/>
                    </a:xfrm>
                    <a:prstGeom prst="rect"/>
                  </pic:spPr>
                </pic:pic>
              </a:graphicData>
            </a:graphic>
          </wp:inline>
        </w:drawing>
      </w:r>
    </w:p>
    <w:p>
      <w:pPr>
        <w:spacing w:before="0" w:after="200"/>
        <w:jc w:val="center"/>
      </w:pPr>
      <w:r>
        <w:rPr>
          <w:i/>
          <w:color w:val="60737D"/>
          <w:sz w:val="17"/>
        </w:rPr>
        <w:t>Figure 5: Investigation workspace showing case summary, workflow status, closure readiness, timeline, and report generation controls.</w:t>
      </w:r>
    </w:p>
    <w:p>
      <w:pPr>
        <w:spacing w:before="160" w:after="80"/>
        <w:jc w:val="center"/>
      </w:pPr>
      <w:r>
        <w:drawing>
          <wp:inline xmlns:a="http://schemas.openxmlformats.org/drawingml/2006/main" xmlns:pic="http://schemas.openxmlformats.org/drawingml/2006/picture">
            <wp:extent cx="5852160" cy="3062465"/>
            <wp:docPr id="6" name="Picture 6"/>
            <wp:cNvGraphicFramePr>
              <a:graphicFrameLocks noChangeAspect="1"/>
            </wp:cNvGraphicFramePr>
            <a:graphic>
              <a:graphicData uri="http://schemas.openxmlformats.org/drawingml/2006/picture">
                <pic:pic>
                  <pic:nvPicPr>
                    <pic:cNvPr id="0" name="figure-06-case-response-ioc.png"/>
                    <pic:cNvPicPr/>
                  </pic:nvPicPr>
                  <pic:blipFill>
                    <a:blip r:embed="rId16"/>
                    <a:stretch>
                      <a:fillRect/>
                    </a:stretch>
                  </pic:blipFill>
                  <pic:spPr>
                    <a:xfrm>
                      <a:off x="0" y="0"/>
                      <a:ext cx="5852160" cy="3062465"/>
                    </a:xfrm>
                    <a:prstGeom prst="rect"/>
                  </pic:spPr>
                </pic:pic>
              </a:graphicData>
            </a:graphic>
          </wp:inline>
        </w:drawing>
      </w:r>
    </w:p>
    <w:p>
      <w:pPr>
        <w:spacing w:before="0" w:after="200"/>
        <w:jc w:val="center"/>
      </w:pPr>
      <w:r>
        <w:rPr>
          <w:i/>
          <w:color w:val="60737D"/>
          <w:sz w:val="17"/>
        </w:rPr>
        <w:t>Figure 6: Investigation workspace response section showing containment readiness, linked asset context, and IOC intelligence actions.</w:t>
      </w:r>
    </w:p>
    <w:p>
      <w:pPr>
        <w:spacing w:before="160" w:after="80"/>
        <w:jc w:val="center"/>
      </w:pPr>
      <w:r>
        <w:drawing>
          <wp:inline xmlns:a="http://schemas.openxmlformats.org/drawingml/2006/main" xmlns:pic="http://schemas.openxmlformats.org/drawingml/2006/picture">
            <wp:extent cx="5852160" cy="3087262"/>
            <wp:docPr id="7" name="Picture 7"/>
            <wp:cNvGraphicFramePr>
              <a:graphicFrameLocks noChangeAspect="1"/>
            </wp:cNvGraphicFramePr>
            <a:graphic>
              <a:graphicData uri="http://schemas.openxmlformats.org/drawingml/2006/picture">
                <pic:pic>
                  <pic:nvPicPr>
                    <pic:cNvPr id="0" name="figure-07-case-evidence-journal.png"/>
                    <pic:cNvPicPr/>
                  </pic:nvPicPr>
                  <pic:blipFill>
                    <a:blip r:embed="rId17"/>
                    <a:stretch>
                      <a:fillRect/>
                    </a:stretch>
                  </pic:blipFill>
                  <pic:spPr>
                    <a:xfrm>
                      <a:off x="0" y="0"/>
                      <a:ext cx="5852160" cy="3087262"/>
                    </a:xfrm>
                    <a:prstGeom prst="rect"/>
                  </pic:spPr>
                </pic:pic>
              </a:graphicData>
            </a:graphic>
          </wp:inline>
        </w:drawing>
      </w:r>
    </w:p>
    <w:p>
      <w:pPr>
        <w:spacing w:before="0" w:after="200"/>
        <w:jc w:val="center"/>
      </w:pPr>
      <w:r>
        <w:rPr>
          <w:i/>
          <w:color w:val="60737D"/>
          <w:sz w:val="17"/>
        </w:rPr>
        <w:t>Figure 7: Investigation workspace evidence, task, and journal panels showing case artifacts, completed work, and analyst notes.</w:t>
      </w:r>
    </w:p>
    <w:p>
      <w:pPr>
        <w:pStyle w:val="Heading1"/>
      </w:pPr>
      <w:r>
        <w:t>11. Asset Management</w:t>
      </w:r>
    </w:p>
    <w:p>
      <w:r>
        <w:t>AstoraSOC Asset Management provides security-focused asset intelligence for investigations, vulnerability response, threat hunting, and reporting. It is not intended to replace an enterprise CMDB, but it gives SOC teams the business and technical context needed to prioritize alerts and cases.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7160"/>
      </w:tblGrid>
      <w:tr>
        <w:tc>
          <w:tcPr>
            <w:tcW w:type="dxa" w:w="2200"/>
            <w:shd w:fill="E8EEF5"/>
            <w:tcMar>
              <w:top w:w="80" w:type="dxa"/>
              <w:start w:w="120" w:type="dxa"/>
              <w:bottom w:w="80" w:type="dxa"/>
              <w:end w:w="120" w:type="dxa"/>
            </w:tcMar>
            <w:vAlign w:val="top"/>
          </w:tcPr>
          <w:p>
            <w:pPr>
              <w:spacing w:after="40" w:line="276" w:lineRule="auto"/>
            </w:pPr>
            <w:r>
              <w:rPr>
                <w:rFonts w:ascii="Calibri" w:hAnsi="Calibri"/>
                <w:b/>
                <w:color w:val="102027"/>
                <w:sz w:val="18"/>
              </w:rPr>
              <w:t>Asset Field</w:t>
            </w:r>
          </w:p>
        </w:tc>
        <w:tc>
          <w:tcPr>
            <w:tcW w:type="dxa" w:w="7160"/>
            <w:shd w:fill="E8EEF5"/>
            <w:tcMar>
              <w:top w:w="80" w:type="dxa"/>
              <w:start w:w="120" w:type="dxa"/>
              <w:bottom w:w="80" w:type="dxa"/>
              <w:end w:w="120" w:type="dxa"/>
            </w:tcMar>
            <w:vAlign w:val="top"/>
          </w:tcPr>
          <w:p>
            <w:pPr>
              <w:spacing w:after="40" w:line="276" w:lineRule="auto"/>
            </w:pPr>
            <w:r>
              <w:rPr>
                <w:rFonts w:ascii="Calibri" w:hAnsi="Calibri"/>
                <w:b/>
                <w:color w:val="102027"/>
                <w:sz w:val="18"/>
              </w:rPr>
              <w:t>Usage</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Asset Name</w:t>
            </w:r>
          </w:p>
        </w:tc>
        <w:tc>
          <w:tcPr>
            <w:tcW w:type="dxa" w:w="7160"/>
            <w:tcMar>
              <w:top w:w="80" w:type="dxa"/>
              <w:start w:w="120" w:type="dxa"/>
              <w:bottom w:w="80" w:type="dxa"/>
              <w:end w:w="120" w:type="dxa"/>
            </w:tcMar>
            <w:vAlign w:val="top"/>
          </w:tcPr>
          <w:p>
            <w:pPr>
              <w:spacing w:after="40" w:line="276" w:lineRule="auto"/>
            </w:pPr>
            <w:r>
              <w:rPr>
                <w:rFonts w:ascii="Calibri" w:hAnsi="Calibri"/>
                <w:sz w:val="18"/>
              </w:rPr>
              <w:t>Human-readable name shown in asset tables, case summaries, and reports.</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Hostname</w:t>
            </w:r>
          </w:p>
        </w:tc>
        <w:tc>
          <w:tcPr>
            <w:tcW w:type="dxa" w:w="7160"/>
            <w:tcMar>
              <w:top w:w="80" w:type="dxa"/>
              <w:start w:w="120" w:type="dxa"/>
              <w:bottom w:w="80" w:type="dxa"/>
              <w:end w:w="120" w:type="dxa"/>
            </w:tcMar>
            <w:vAlign w:val="top"/>
          </w:tcPr>
          <w:p>
            <w:pPr>
              <w:spacing w:after="40" w:line="276" w:lineRule="auto"/>
            </w:pPr>
            <w:r>
              <w:rPr>
                <w:rFonts w:ascii="Calibri" w:hAnsi="Calibri"/>
                <w:sz w:val="18"/>
              </w:rPr>
              <w:t>Primary matching key for agent name, host name, and case affected host.</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IP Address</w:t>
            </w:r>
          </w:p>
        </w:tc>
        <w:tc>
          <w:tcPr>
            <w:tcW w:type="dxa" w:w="7160"/>
            <w:tcMar>
              <w:top w:w="80" w:type="dxa"/>
              <w:start w:w="120" w:type="dxa"/>
              <w:bottom w:w="80" w:type="dxa"/>
              <w:end w:w="120" w:type="dxa"/>
            </w:tcMar>
            <w:vAlign w:val="top"/>
          </w:tcPr>
          <w:p>
            <w:pPr>
              <w:spacing w:after="40" w:line="276" w:lineRule="auto"/>
            </w:pPr>
            <w:r>
              <w:rPr>
                <w:rFonts w:ascii="Calibri" w:hAnsi="Calibri"/>
                <w:sz w:val="18"/>
              </w:rPr>
              <w:t>Secondary matching key for source/destination or host IPs.</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Asset Owner</w:t>
            </w:r>
          </w:p>
        </w:tc>
        <w:tc>
          <w:tcPr>
            <w:tcW w:type="dxa" w:w="7160"/>
            <w:tcMar>
              <w:top w:w="80" w:type="dxa"/>
              <w:start w:w="120" w:type="dxa"/>
              <w:bottom w:w="80" w:type="dxa"/>
              <w:end w:w="120" w:type="dxa"/>
            </w:tcMar>
            <w:vAlign w:val="top"/>
          </w:tcPr>
          <w:p>
            <w:pPr>
              <w:spacing w:after="40" w:line="276" w:lineRule="auto"/>
            </w:pPr>
            <w:r>
              <w:rPr>
                <w:rFonts w:ascii="Calibri" w:hAnsi="Calibri"/>
                <w:sz w:val="18"/>
              </w:rPr>
              <w:t>Business or technical owner for escalation and context.</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Department</w:t>
            </w:r>
          </w:p>
        </w:tc>
        <w:tc>
          <w:tcPr>
            <w:tcW w:type="dxa" w:w="7160"/>
            <w:tcMar>
              <w:top w:w="80" w:type="dxa"/>
              <w:start w:w="120" w:type="dxa"/>
              <w:bottom w:w="80" w:type="dxa"/>
              <w:end w:w="120" w:type="dxa"/>
            </w:tcMar>
            <w:vAlign w:val="top"/>
          </w:tcPr>
          <w:p>
            <w:pPr>
              <w:spacing w:after="40" w:line="276" w:lineRule="auto"/>
            </w:pPr>
            <w:r>
              <w:rPr>
                <w:rFonts w:ascii="Calibri" w:hAnsi="Calibri"/>
                <w:sz w:val="18"/>
              </w:rPr>
              <w:t>Standardized department value; tables may show short names such as ICT, HR, SOC, or R&amp;D while details and reports preserve the full name.</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Business Function</w:t>
            </w:r>
          </w:p>
        </w:tc>
        <w:tc>
          <w:tcPr>
            <w:tcW w:type="dxa" w:w="7160"/>
            <w:tcMar>
              <w:top w:w="80" w:type="dxa"/>
              <w:start w:w="120" w:type="dxa"/>
              <w:bottom w:w="80" w:type="dxa"/>
              <w:end w:w="120" w:type="dxa"/>
            </w:tcMar>
            <w:vAlign w:val="top"/>
          </w:tcPr>
          <w:p>
            <w:pPr>
              <w:spacing w:after="40" w:line="276" w:lineRule="auto"/>
            </w:pPr>
            <w:r>
              <w:rPr>
                <w:rFonts w:ascii="Calibri" w:hAnsi="Calibri"/>
                <w:sz w:val="18"/>
              </w:rPr>
              <w:t>Operational purpose such as SIEM Platform, Active Directory, Payroll System, Email Gateway, Web Server, or custom value.</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Operating System</w:t>
            </w:r>
          </w:p>
        </w:tc>
        <w:tc>
          <w:tcPr>
            <w:tcW w:type="dxa" w:w="7160"/>
            <w:tcMar>
              <w:top w:w="80" w:type="dxa"/>
              <w:start w:w="120" w:type="dxa"/>
              <w:bottom w:w="80" w:type="dxa"/>
              <w:end w:w="120" w:type="dxa"/>
            </w:tcMar>
            <w:vAlign w:val="top"/>
          </w:tcPr>
          <w:p>
            <w:pPr>
              <w:spacing w:after="40" w:line="276" w:lineRule="auto"/>
            </w:pPr>
            <w:r>
              <w:rPr>
                <w:rFonts w:ascii="Calibri" w:hAnsi="Calibri"/>
                <w:sz w:val="18"/>
              </w:rPr>
              <w:t>Investigation context and containment planning.</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Asset Type</w:t>
            </w:r>
          </w:p>
        </w:tc>
        <w:tc>
          <w:tcPr>
            <w:tcW w:type="dxa" w:w="7160"/>
            <w:tcMar>
              <w:top w:w="80" w:type="dxa"/>
              <w:start w:w="120" w:type="dxa"/>
              <w:bottom w:w="80" w:type="dxa"/>
              <w:end w:w="120" w:type="dxa"/>
            </w:tcMar>
            <w:vAlign w:val="top"/>
          </w:tcPr>
          <w:p>
            <w:pPr>
              <w:spacing w:after="40" w:line="276" w:lineRule="auto"/>
            </w:pPr>
            <w:r>
              <w:rPr>
                <w:rFonts w:ascii="Calibri" w:hAnsi="Calibri"/>
                <w:sz w:val="18"/>
              </w:rPr>
              <w:t>Workstation, server, domain controller, network device, cloud resource, or other lightweight type.</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Criticality</w:t>
            </w:r>
          </w:p>
        </w:tc>
        <w:tc>
          <w:tcPr>
            <w:tcW w:type="dxa" w:w="7160"/>
            <w:tcMar>
              <w:top w:w="80" w:type="dxa"/>
              <w:start w:w="120" w:type="dxa"/>
              <w:bottom w:w="80" w:type="dxa"/>
              <w:end w:w="120" w:type="dxa"/>
            </w:tcMar>
            <w:vAlign w:val="top"/>
          </w:tcPr>
          <w:p>
            <w:pPr>
              <w:spacing w:after="40" w:line="276" w:lineRule="auto"/>
            </w:pPr>
            <w:r>
              <w:rPr>
                <w:rFonts w:ascii="Calibri" w:hAnsi="Calibri"/>
                <w:sz w:val="18"/>
              </w:rPr>
              <w:t>Business importance: Critical, High, Medium, or Low. This is separate from current security risk.</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Status</w:t>
            </w:r>
          </w:p>
        </w:tc>
        <w:tc>
          <w:tcPr>
            <w:tcW w:type="dxa" w:w="7160"/>
            <w:tcMar>
              <w:top w:w="80" w:type="dxa"/>
              <w:start w:w="120" w:type="dxa"/>
              <w:bottom w:w="80" w:type="dxa"/>
              <w:end w:w="120" w:type="dxa"/>
            </w:tcMar>
            <w:vAlign w:val="top"/>
          </w:tcPr>
          <w:p>
            <w:pPr>
              <w:spacing w:after="40" w:line="276" w:lineRule="auto"/>
            </w:pPr>
            <w:r>
              <w:rPr>
                <w:rFonts w:ascii="Calibri" w:hAnsi="Calibri"/>
                <w:sz w:val="18"/>
              </w:rPr>
              <w:t>Online, Offline, or Unknown. Status may be updated from network checks, telemetry, or future integrations.</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Risk Score</w:t>
            </w:r>
          </w:p>
        </w:tc>
        <w:tc>
          <w:tcPr>
            <w:tcW w:type="dxa" w:w="7160"/>
            <w:tcMar>
              <w:top w:w="80" w:type="dxa"/>
              <w:start w:w="120" w:type="dxa"/>
              <w:bottom w:w="80" w:type="dxa"/>
              <w:end w:w="120" w:type="dxa"/>
            </w:tcMar>
            <w:vAlign w:val="top"/>
          </w:tcPr>
          <w:p>
            <w:pPr>
              <w:spacing w:after="40" w:line="276" w:lineRule="auto"/>
            </w:pPr>
            <w:r>
              <w:rPr>
                <w:rFonts w:ascii="Calibri" w:hAnsi="Calibri"/>
                <w:sz w:val="18"/>
              </w:rPr>
              <w:t>Current security exposure from open alerts, open cases, IOC associations, vulnerabilities, and recent security activity.</w:t>
            </w:r>
          </w:p>
        </w:tc>
      </w:tr>
    </w:tbl>
    <w:p>
      <w:pPr>
        <w:pStyle w:val="Heading2"/>
      </w:pPr>
      <w:r>
        <w:t>Automatic Asset Linking</w:t>
      </w:r>
    </w:p>
    <w:p>
      <w:r>
        <w:t>AstoraSOC attempts to link alerts and cases to assets when hostname, agent name, affected host, source IP, destination IP, or related host/IP fields match an existing Asset. Linked asset information is displayed directly in alerts, reviews, and cases so analysts can combine technical severity with business criticality.</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00"/>
        <w:gridCol w:w="5000"/>
        <w:gridCol w:w="2760"/>
      </w:tblGrid>
      <w:tr>
        <w:tc>
          <w:tcPr>
            <w:tcW w:type="dxa" w:w="1600"/>
            <w:shd w:fill="E8EEF5"/>
            <w:tcMar>
              <w:top w:w="80" w:type="dxa"/>
              <w:start w:w="120" w:type="dxa"/>
              <w:bottom w:w="80" w:type="dxa"/>
              <w:end w:w="120" w:type="dxa"/>
            </w:tcMar>
            <w:vAlign w:val="top"/>
          </w:tcPr>
          <w:p>
            <w:pPr>
              <w:spacing w:after="40" w:line="276" w:lineRule="auto"/>
            </w:pPr>
            <w:r>
              <w:rPr>
                <w:rFonts w:ascii="Calibri" w:hAnsi="Calibri"/>
                <w:b/>
                <w:color w:val="102027"/>
                <w:sz w:val="18"/>
              </w:rPr>
              <w:t>Criticality</w:t>
            </w:r>
          </w:p>
        </w:tc>
        <w:tc>
          <w:tcPr>
            <w:tcW w:type="dxa" w:w="5000"/>
            <w:shd w:fill="E8EEF5"/>
            <w:tcMar>
              <w:top w:w="80" w:type="dxa"/>
              <w:start w:w="120" w:type="dxa"/>
              <w:bottom w:w="80" w:type="dxa"/>
              <w:end w:w="120" w:type="dxa"/>
            </w:tcMar>
            <w:vAlign w:val="top"/>
          </w:tcPr>
          <w:p>
            <w:pPr>
              <w:spacing w:after="40" w:line="276" w:lineRule="auto"/>
            </w:pPr>
            <w:r>
              <w:rPr>
                <w:rFonts w:ascii="Calibri" w:hAnsi="Calibri"/>
                <w:b/>
                <w:color w:val="102027"/>
                <w:sz w:val="18"/>
              </w:rPr>
              <w:t>Definition</w:t>
            </w:r>
          </w:p>
        </w:tc>
        <w:tc>
          <w:tcPr>
            <w:tcW w:type="dxa" w:w="2760"/>
            <w:shd w:fill="E8EEF5"/>
            <w:tcMar>
              <w:top w:w="80" w:type="dxa"/>
              <w:start w:w="120" w:type="dxa"/>
              <w:bottom w:w="80" w:type="dxa"/>
              <w:end w:w="120" w:type="dxa"/>
            </w:tcMar>
            <w:vAlign w:val="top"/>
          </w:tcPr>
          <w:p>
            <w:pPr>
              <w:spacing w:after="40" w:line="276" w:lineRule="auto"/>
            </w:pPr>
            <w:r>
              <w:rPr>
                <w:rFonts w:ascii="Calibri" w:hAnsi="Calibri"/>
                <w:b/>
                <w:color w:val="102027"/>
                <w:sz w:val="18"/>
              </w:rPr>
              <w:t>Response Impact</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Critical</w:t>
            </w:r>
          </w:p>
        </w:tc>
        <w:tc>
          <w:tcPr>
            <w:tcW w:type="dxa" w:w="5000"/>
            <w:tcMar>
              <w:top w:w="80" w:type="dxa"/>
              <w:start w:w="120" w:type="dxa"/>
              <w:bottom w:w="80" w:type="dxa"/>
              <w:end w:w="120" w:type="dxa"/>
            </w:tcMar>
            <w:vAlign w:val="top"/>
          </w:tcPr>
          <w:p>
            <w:pPr>
              <w:spacing w:after="40" w:line="276" w:lineRule="auto"/>
            </w:pPr>
            <w:r>
              <w:rPr>
                <w:rFonts w:ascii="Calibri" w:hAnsi="Calibri"/>
                <w:sz w:val="18"/>
              </w:rPr>
              <w:t>Business-critical service, privileged infrastructure, identity platform, regulated data, or executive asset.</w:t>
            </w:r>
          </w:p>
        </w:tc>
        <w:tc>
          <w:tcPr>
            <w:tcW w:type="dxa" w:w="2760"/>
            <w:tcMar>
              <w:top w:w="80" w:type="dxa"/>
              <w:start w:w="120" w:type="dxa"/>
              <w:bottom w:w="80" w:type="dxa"/>
              <w:end w:w="120" w:type="dxa"/>
            </w:tcMar>
            <w:vAlign w:val="top"/>
          </w:tcPr>
          <w:p>
            <w:pPr>
              <w:spacing w:after="40" w:line="276" w:lineRule="auto"/>
            </w:pPr>
            <w:r>
              <w:rPr>
                <w:rFonts w:ascii="Calibri" w:hAnsi="Calibri"/>
                <w:sz w:val="18"/>
              </w:rPr>
              <w:t>Escalate quickly; containment may be justified even for medium technical severity.</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High</w:t>
            </w:r>
          </w:p>
        </w:tc>
        <w:tc>
          <w:tcPr>
            <w:tcW w:type="dxa" w:w="5000"/>
            <w:tcMar>
              <w:top w:w="80" w:type="dxa"/>
              <w:start w:w="120" w:type="dxa"/>
              <w:bottom w:w="80" w:type="dxa"/>
              <w:end w:w="120" w:type="dxa"/>
            </w:tcMar>
            <w:vAlign w:val="top"/>
          </w:tcPr>
          <w:p>
            <w:pPr>
              <w:spacing w:after="40" w:line="276" w:lineRule="auto"/>
            </w:pPr>
            <w:r>
              <w:rPr>
                <w:rFonts w:ascii="Calibri" w:hAnsi="Calibri"/>
                <w:sz w:val="18"/>
              </w:rPr>
              <w:t>Important production system, sensitive business process, or high-value user/host.</w:t>
            </w:r>
          </w:p>
        </w:tc>
        <w:tc>
          <w:tcPr>
            <w:tcW w:type="dxa" w:w="2760"/>
            <w:tcMar>
              <w:top w:w="80" w:type="dxa"/>
              <w:start w:w="120" w:type="dxa"/>
              <w:bottom w:w="80" w:type="dxa"/>
              <w:end w:w="120" w:type="dxa"/>
            </w:tcMar>
            <w:vAlign w:val="top"/>
          </w:tcPr>
          <w:p>
            <w:pPr>
              <w:spacing w:after="40" w:line="276" w:lineRule="auto"/>
            </w:pPr>
            <w:r>
              <w:rPr>
                <w:rFonts w:ascii="Calibri" w:hAnsi="Calibri"/>
                <w:sz w:val="18"/>
              </w:rPr>
              <w:t>Prioritize investigation and Lead visibility.</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Medium</w:t>
            </w:r>
          </w:p>
        </w:tc>
        <w:tc>
          <w:tcPr>
            <w:tcW w:type="dxa" w:w="5000"/>
            <w:tcMar>
              <w:top w:w="80" w:type="dxa"/>
              <w:start w:w="120" w:type="dxa"/>
              <w:bottom w:w="80" w:type="dxa"/>
              <w:end w:w="120" w:type="dxa"/>
            </w:tcMar>
            <w:vAlign w:val="top"/>
          </w:tcPr>
          <w:p>
            <w:pPr>
              <w:spacing w:after="40" w:line="276" w:lineRule="auto"/>
            </w:pPr>
            <w:r>
              <w:rPr>
                <w:rFonts w:ascii="Calibri" w:hAnsi="Calibri"/>
                <w:sz w:val="18"/>
              </w:rPr>
              <w:t>Standard business asset with normal user or service impact.</w:t>
            </w:r>
          </w:p>
        </w:tc>
        <w:tc>
          <w:tcPr>
            <w:tcW w:type="dxa" w:w="2760"/>
            <w:tcMar>
              <w:top w:w="80" w:type="dxa"/>
              <w:start w:w="120" w:type="dxa"/>
              <w:bottom w:w="80" w:type="dxa"/>
              <w:end w:w="120" w:type="dxa"/>
            </w:tcMar>
            <w:vAlign w:val="top"/>
          </w:tcPr>
          <w:p>
            <w:pPr>
              <w:spacing w:after="40" w:line="276" w:lineRule="auto"/>
            </w:pPr>
            <w:r>
              <w:rPr>
                <w:rFonts w:ascii="Calibri" w:hAnsi="Calibri"/>
                <w:sz w:val="18"/>
              </w:rPr>
              <w:t>Use normal SOC workflow.</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Low</w:t>
            </w:r>
          </w:p>
        </w:tc>
        <w:tc>
          <w:tcPr>
            <w:tcW w:type="dxa" w:w="5000"/>
            <w:tcMar>
              <w:top w:w="80" w:type="dxa"/>
              <w:start w:w="120" w:type="dxa"/>
              <w:bottom w:w="80" w:type="dxa"/>
              <w:end w:w="120" w:type="dxa"/>
            </w:tcMar>
            <w:vAlign w:val="top"/>
          </w:tcPr>
          <w:p>
            <w:pPr>
              <w:spacing w:after="40" w:line="276" w:lineRule="auto"/>
            </w:pPr>
            <w:r>
              <w:rPr>
                <w:rFonts w:ascii="Calibri" w:hAnsi="Calibri"/>
                <w:sz w:val="18"/>
              </w:rPr>
              <w:t>Low-impact endpoint, lab asset, or informational context.</w:t>
            </w:r>
          </w:p>
        </w:tc>
        <w:tc>
          <w:tcPr>
            <w:tcW w:type="dxa" w:w="2760"/>
            <w:tcMar>
              <w:top w:w="80" w:type="dxa"/>
              <w:start w:w="120" w:type="dxa"/>
              <w:bottom w:w="80" w:type="dxa"/>
              <w:end w:w="120" w:type="dxa"/>
            </w:tcMar>
            <w:vAlign w:val="top"/>
          </w:tcPr>
          <w:p>
            <w:pPr>
              <w:spacing w:after="40" w:line="276" w:lineRule="auto"/>
            </w:pPr>
            <w:r>
              <w:rPr>
                <w:rFonts w:ascii="Calibri" w:hAnsi="Calibri"/>
                <w:sz w:val="18"/>
              </w:rPr>
              <w:t>Correlate, document, and avoid unnecessary escalation.</w:t>
            </w:r>
          </w:p>
        </w:tc>
      </w:tr>
    </w:tbl>
    <w:p>
      <w:pPr>
        <w:pStyle w:val="Heading2"/>
      </w:pPr>
      <w:r>
        <w:t>Asset Risk Score</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1600"/>
        <w:gridCol w:w="5960"/>
      </w:tblGrid>
      <w:tr>
        <w:tc>
          <w:tcPr>
            <w:tcW w:type="dxa" w:w="1800"/>
            <w:shd w:fill="E8EEF5"/>
            <w:tcMar>
              <w:top w:w="80" w:type="dxa"/>
              <w:start w:w="120" w:type="dxa"/>
              <w:bottom w:w="80" w:type="dxa"/>
              <w:end w:w="120" w:type="dxa"/>
            </w:tcMar>
            <w:vAlign w:val="top"/>
          </w:tcPr>
          <w:p>
            <w:pPr>
              <w:spacing w:after="40" w:line="276" w:lineRule="auto"/>
            </w:pPr>
            <w:r>
              <w:rPr>
                <w:rFonts w:ascii="Calibri" w:hAnsi="Calibri"/>
                <w:b/>
                <w:color w:val="102027"/>
                <w:sz w:val="18"/>
              </w:rPr>
              <w:t>Risk Rating</w:t>
            </w:r>
          </w:p>
        </w:tc>
        <w:tc>
          <w:tcPr>
            <w:tcW w:type="dxa" w:w="1600"/>
            <w:shd w:fill="E8EEF5"/>
            <w:tcMar>
              <w:top w:w="80" w:type="dxa"/>
              <w:start w:w="120" w:type="dxa"/>
              <w:bottom w:w="80" w:type="dxa"/>
              <w:end w:w="120" w:type="dxa"/>
            </w:tcMar>
            <w:vAlign w:val="top"/>
          </w:tcPr>
          <w:p>
            <w:pPr>
              <w:spacing w:after="40" w:line="276" w:lineRule="auto"/>
            </w:pPr>
            <w:r>
              <w:rPr>
                <w:rFonts w:ascii="Calibri" w:hAnsi="Calibri"/>
                <w:b/>
                <w:color w:val="102027"/>
                <w:sz w:val="18"/>
              </w:rPr>
              <w:t>Score Range</w:t>
            </w:r>
          </w:p>
        </w:tc>
        <w:tc>
          <w:tcPr>
            <w:tcW w:type="dxa" w:w="5960"/>
            <w:shd w:fill="E8EEF5"/>
            <w:tcMar>
              <w:top w:w="80" w:type="dxa"/>
              <w:start w:w="120" w:type="dxa"/>
              <w:bottom w:w="80" w:type="dxa"/>
              <w:end w:w="120" w:type="dxa"/>
            </w:tcMar>
            <w:vAlign w:val="top"/>
          </w:tcPr>
          <w:p>
            <w:pPr>
              <w:spacing w:after="40" w:line="276" w:lineRule="auto"/>
            </w:pPr>
            <w:r>
              <w:rPr>
                <w:rFonts w:ascii="Calibri" w:hAnsi="Calibri"/>
                <w:b/>
                <w:color w:val="102027"/>
                <w:sz w:val="18"/>
              </w:rPr>
              <w:t>Meaning</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Low Risk</w:t>
            </w:r>
          </w:p>
        </w:tc>
        <w:tc>
          <w:tcPr>
            <w:tcW w:type="dxa" w:w="1600"/>
            <w:tcMar>
              <w:top w:w="80" w:type="dxa"/>
              <w:start w:w="120" w:type="dxa"/>
              <w:bottom w:w="80" w:type="dxa"/>
              <w:end w:w="120" w:type="dxa"/>
            </w:tcMar>
            <w:vAlign w:val="top"/>
          </w:tcPr>
          <w:p>
            <w:pPr>
              <w:spacing w:after="40" w:line="276" w:lineRule="auto"/>
            </w:pPr>
            <w:r>
              <w:rPr>
                <w:rFonts w:ascii="Calibri" w:hAnsi="Calibri"/>
                <w:sz w:val="18"/>
              </w:rPr>
              <w:t>0-24</w:t>
            </w:r>
          </w:p>
        </w:tc>
        <w:tc>
          <w:tcPr>
            <w:tcW w:type="dxa" w:w="5960"/>
            <w:tcMar>
              <w:top w:w="80" w:type="dxa"/>
              <w:start w:w="120" w:type="dxa"/>
              <w:bottom w:w="80" w:type="dxa"/>
              <w:end w:w="120" w:type="dxa"/>
            </w:tcMar>
            <w:vAlign w:val="top"/>
          </w:tcPr>
          <w:p>
            <w:pPr>
              <w:spacing w:after="40" w:line="276" w:lineRule="auto"/>
            </w:pPr>
            <w:r>
              <w:rPr>
                <w:rFonts w:ascii="Calibri" w:hAnsi="Calibri"/>
                <w:sz w:val="18"/>
              </w:rPr>
              <w:t>Low current security exposure, even if the asset is business critical.</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Medium Risk</w:t>
            </w:r>
          </w:p>
        </w:tc>
        <w:tc>
          <w:tcPr>
            <w:tcW w:type="dxa" w:w="1600"/>
            <w:tcMar>
              <w:top w:w="80" w:type="dxa"/>
              <w:start w:w="120" w:type="dxa"/>
              <w:bottom w:w="80" w:type="dxa"/>
              <w:end w:w="120" w:type="dxa"/>
            </w:tcMar>
            <w:vAlign w:val="top"/>
          </w:tcPr>
          <w:p>
            <w:pPr>
              <w:spacing w:after="40" w:line="276" w:lineRule="auto"/>
            </w:pPr>
            <w:r>
              <w:rPr>
                <w:rFonts w:ascii="Calibri" w:hAnsi="Calibri"/>
                <w:sz w:val="18"/>
              </w:rPr>
              <w:t>25-49</w:t>
            </w:r>
          </w:p>
        </w:tc>
        <w:tc>
          <w:tcPr>
            <w:tcW w:type="dxa" w:w="5960"/>
            <w:tcMar>
              <w:top w:w="80" w:type="dxa"/>
              <w:start w:w="120" w:type="dxa"/>
              <w:bottom w:w="80" w:type="dxa"/>
              <w:end w:w="120" w:type="dxa"/>
            </w:tcMar>
            <w:vAlign w:val="top"/>
          </w:tcPr>
          <w:p>
            <w:pPr>
              <w:spacing w:after="40" w:line="276" w:lineRule="auto"/>
            </w:pPr>
            <w:r>
              <w:rPr>
                <w:rFonts w:ascii="Calibri" w:hAnsi="Calibri"/>
                <w:sz w:val="18"/>
              </w:rPr>
              <w:t>Some active exposure such as recent alerts, related IOCs, or unresolved investigation context.</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High Risk</w:t>
            </w:r>
          </w:p>
        </w:tc>
        <w:tc>
          <w:tcPr>
            <w:tcW w:type="dxa" w:w="1600"/>
            <w:tcMar>
              <w:top w:w="80" w:type="dxa"/>
              <w:start w:w="120" w:type="dxa"/>
              <w:bottom w:w="80" w:type="dxa"/>
              <w:end w:w="120" w:type="dxa"/>
            </w:tcMar>
            <w:vAlign w:val="top"/>
          </w:tcPr>
          <w:p>
            <w:pPr>
              <w:spacing w:after="40" w:line="276" w:lineRule="auto"/>
            </w:pPr>
            <w:r>
              <w:rPr>
                <w:rFonts w:ascii="Calibri" w:hAnsi="Calibri"/>
                <w:sz w:val="18"/>
              </w:rPr>
              <w:t>50-74</w:t>
            </w:r>
          </w:p>
        </w:tc>
        <w:tc>
          <w:tcPr>
            <w:tcW w:type="dxa" w:w="5960"/>
            <w:tcMar>
              <w:top w:w="80" w:type="dxa"/>
              <w:start w:w="120" w:type="dxa"/>
              <w:bottom w:w="80" w:type="dxa"/>
              <w:end w:w="120" w:type="dxa"/>
            </w:tcMar>
            <w:vAlign w:val="top"/>
          </w:tcPr>
          <w:p>
            <w:pPr>
              <w:spacing w:after="40" w:line="276" w:lineRule="auto"/>
            </w:pPr>
            <w:r>
              <w:rPr>
                <w:rFonts w:ascii="Calibri" w:hAnsi="Calibri"/>
                <w:sz w:val="18"/>
              </w:rPr>
              <w:t>Material exposure from open cases, active alerts, high-value indicators, or vulnerable business context.</w:t>
            </w:r>
          </w:p>
        </w:tc>
      </w:tr>
      <w:tr>
        <w:tc>
          <w:tcPr>
            <w:tcW w:type="dxa" w:w="1800"/>
            <w:tcMar>
              <w:top w:w="80" w:type="dxa"/>
              <w:start w:w="120" w:type="dxa"/>
              <w:bottom w:w="80" w:type="dxa"/>
              <w:end w:w="120" w:type="dxa"/>
            </w:tcMar>
            <w:vAlign w:val="top"/>
          </w:tcPr>
          <w:p>
            <w:pPr>
              <w:spacing w:after="40" w:line="276" w:lineRule="auto"/>
            </w:pPr>
            <w:r>
              <w:rPr>
                <w:rFonts w:ascii="Calibri" w:hAnsi="Calibri"/>
                <w:sz w:val="18"/>
              </w:rPr>
              <w:t>Critical Risk</w:t>
            </w:r>
          </w:p>
        </w:tc>
        <w:tc>
          <w:tcPr>
            <w:tcW w:type="dxa" w:w="1600"/>
            <w:tcMar>
              <w:top w:w="80" w:type="dxa"/>
              <w:start w:w="120" w:type="dxa"/>
              <w:bottom w:w="80" w:type="dxa"/>
              <w:end w:w="120" w:type="dxa"/>
            </w:tcMar>
            <w:vAlign w:val="top"/>
          </w:tcPr>
          <w:p>
            <w:pPr>
              <w:spacing w:after="40" w:line="276" w:lineRule="auto"/>
            </w:pPr>
            <w:r>
              <w:rPr>
                <w:rFonts w:ascii="Calibri" w:hAnsi="Calibri"/>
                <w:sz w:val="18"/>
              </w:rPr>
              <w:t>75-100</w:t>
            </w:r>
          </w:p>
        </w:tc>
        <w:tc>
          <w:tcPr>
            <w:tcW w:type="dxa" w:w="5960"/>
            <w:tcMar>
              <w:top w:w="80" w:type="dxa"/>
              <w:start w:w="120" w:type="dxa"/>
              <w:bottom w:w="80" w:type="dxa"/>
              <w:end w:w="120" w:type="dxa"/>
            </w:tcMar>
            <w:vAlign w:val="top"/>
          </w:tcPr>
          <w:p>
            <w:pPr>
              <w:spacing w:after="40" w:line="276" w:lineRule="auto"/>
            </w:pPr>
            <w:r>
              <w:rPr>
                <w:rFonts w:ascii="Calibri" w:hAnsi="Calibri"/>
                <w:sz w:val="18"/>
              </w:rPr>
              <w:t>High likelihood or impact requiring immediate SOC attention.</w:t>
            </w:r>
          </w:p>
        </w:tc>
      </w:tr>
    </w:tbl>
    <w:p>
      <w:r>
        <w:t>Asset Criticality represents business importance. Asset Risk Score represents current security exposure. A critical asset with no current alerts may have low risk, while a medium asset with active malware activity may have high or critical risk.</w:t>
      </w:r>
    </w:p>
    <w:p>
      <w:pPr>
        <w:spacing w:before="160" w:after="80"/>
        <w:jc w:val="center"/>
      </w:pPr>
      <w:r>
        <w:drawing>
          <wp:inline xmlns:a="http://schemas.openxmlformats.org/drawingml/2006/main" xmlns:pic="http://schemas.openxmlformats.org/drawingml/2006/picture">
            <wp:extent cx="5852160" cy="3025295"/>
            <wp:docPr id="8" name="Picture 8"/>
            <wp:cNvGraphicFramePr>
              <a:graphicFrameLocks noChangeAspect="1"/>
            </wp:cNvGraphicFramePr>
            <a:graphic>
              <a:graphicData uri="http://schemas.openxmlformats.org/drawingml/2006/picture">
                <pic:pic>
                  <pic:nvPicPr>
                    <pic:cNvPr id="0" name="figure-08-asset-management.png"/>
                    <pic:cNvPicPr/>
                  </pic:nvPicPr>
                  <pic:blipFill>
                    <a:blip r:embed="rId18"/>
                    <a:stretch>
                      <a:fillRect/>
                    </a:stretch>
                  </pic:blipFill>
                  <pic:spPr>
                    <a:xfrm>
                      <a:off x="0" y="0"/>
                      <a:ext cx="5852160" cy="3025295"/>
                    </a:xfrm>
                    <a:prstGeom prst="rect"/>
                  </pic:spPr>
                </pic:pic>
              </a:graphicData>
            </a:graphic>
          </wp:inline>
        </w:drawing>
      </w:r>
    </w:p>
    <w:p>
      <w:pPr>
        <w:spacing w:before="0" w:after="200"/>
        <w:jc w:val="center"/>
      </w:pPr>
      <w:r>
        <w:rPr>
          <w:i/>
          <w:color w:val="60737D"/>
          <w:sz w:val="17"/>
        </w:rPr>
        <w:t>Figure 8: Asset Management inventory showing criticality, asset owner, department, operating system, status, risk score, and linked alert/case counts.</w:t>
      </w:r>
    </w:p>
    <w:p>
      <w:pPr>
        <w:pStyle w:val="Heading1"/>
      </w:pPr>
      <w:r>
        <w:t>12. Playbook Engine and Tasks</w:t>
      </w:r>
    </w:p>
    <w:p>
      <w:r>
        <w:t>The Playbook Engine automatically creates investigation tasks when a case is created from an alert or manually opened by a Lead/Admin. Administrators manage central templates, while Analysts retain the ability to add, edit, delete, and complete tasks during the investigation.</w:t>
      </w:r>
    </w:p>
    <w:p>
      <w:pPr>
        <w:pStyle w:val="ListNumber"/>
      </w:pPr>
      <w:r>
        <w:t>SIEM Rule ID playbooks match the normalized detection rule/signature ID when an exact or contained match is found.</w:t>
      </w:r>
    </w:p>
    <w:p>
      <w:pPr>
        <w:pStyle w:val="ListNumber"/>
      </w:pPr>
      <w:r>
        <w:t>Source Category playbooks match alert category, decoder, rule groups, or provider category fields when provided.</w:t>
      </w:r>
    </w:p>
    <w:p>
      <w:pPr>
        <w:pStyle w:val="ListNumber"/>
      </w:pPr>
      <w:r>
        <w:t>MITRE Tactic playbooks match the alert MITRE tactic field.</w:t>
      </w:r>
    </w:p>
    <w:p>
      <w:pPr>
        <w:pStyle w:val="ListNumber"/>
      </w:pPr>
      <w:r>
        <w:t>Alert Type playbooks match alert type, event type, title, or description keywords.</w:t>
      </w:r>
    </w:p>
    <w:p>
      <w:pPr>
        <w:pStyle w:val="ListNumber"/>
      </w:pPr>
      <w:r>
        <w:t>Case Type playbooks match manually created cases such as Vulnerability Remediation, Malware Incident, Credential Access, Threat Hunt, Compliance Investigation, Asset Investigation, Security Request, or Manual Investigation.</w:t>
      </w:r>
    </w:p>
    <w:p>
      <w:pPr>
        <w:pStyle w:val="ListNumber"/>
      </w:pPr>
      <w:r>
        <w:t>Generic fallback playbook is used when no more specific playbook matches.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7260"/>
      </w:tblGrid>
      <w:tr>
        <w:tc>
          <w:tcPr>
            <w:tcW w:type="dxa" w:w="2100"/>
            <w:shd w:fill="E8EEF5"/>
            <w:tcMar>
              <w:top w:w="80" w:type="dxa"/>
              <w:start w:w="120" w:type="dxa"/>
              <w:bottom w:w="80" w:type="dxa"/>
              <w:end w:w="120" w:type="dxa"/>
            </w:tcMar>
            <w:vAlign w:val="top"/>
          </w:tcPr>
          <w:p>
            <w:pPr>
              <w:spacing w:after="40" w:line="276" w:lineRule="auto"/>
            </w:pPr>
            <w:r>
              <w:rPr>
                <w:rFonts w:ascii="Calibri" w:hAnsi="Calibri"/>
                <w:b/>
                <w:color w:val="102027"/>
                <w:sz w:val="18"/>
              </w:rPr>
              <w:t>Template Field</w:t>
            </w:r>
          </w:p>
        </w:tc>
        <w:tc>
          <w:tcPr>
            <w:tcW w:type="dxa" w:w="7260"/>
            <w:shd w:fill="E8EEF5"/>
            <w:tcMar>
              <w:top w:w="80" w:type="dxa"/>
              <w:start w:w="120" w:type="dxa"/>
              <w:bottom w:w="80" w:type="dxa"/>
              <w:end w:w="120" w:type="dxa"/>
            </w:tcMar>
            <w:vAlign w:val="top"/>
          </w:tcPr>
          <w:p>
            <w:pPr>
              <w:spacing w:after="40" w:line="276" w:lineRule="auto"/>
            </w:pPr>
            <w:r>
              <w:rPr>
                <w:rFonts w:ascii="Calibri" w:hAnsi="Calibri"/>
                <w:b/>
                <w:color w:val="102027"/>
                <w:sz w:val="18"/>
              </w:rPr>
              <w:t>Meaning</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Name</w:t>
            </w:r>
          </w:p>
        </w:tc>
        <w:tc>
          <w:tcPr>
            <w:tcW w:type="dxa" w:w="7260"/>
            <w:tcMar>
              <w:top w:w="80" w:type="dxa"/>
              <w:start w:w="120" w:type="dxa"/>
              <w:bottom w:w="80" w:type="dxa"/>
              <w:end w:w="120" w:type="dxa"/>
            </w:tcMar>
            <w:vAlign w:val="top"/>
          </w:tcPr>
          <w:p>
            <w:pPr>
              <w:spacing w:after="40" w:line="276" w:lineRule="auto"/>
            </w:pPr>
            <w:r>
              <w:rPr>
                <w:rFonts w:ascii="Calibri" w:hAnsi="Calibri"/>
                <w:sz w:val="18"/>
              </w:rPr>
              <w:t>Human-readable playbook name.</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Description</w:t>
            </w:r>
          </w:p>
        </w:tc>
        <w:tc>
          <w:tcPr>
            <w:tcW w:type="dxa" w:w="7260"/>
            <w:tcMar>
              <w:top w:w="80" w:type="dxa"/>
              <w:start w:w="120" w:type="dxa"/>
              <w:bottom w:w="80" w:type="dxa"/>
              <w:end w:w="120" w:type="dxa"/>
            </w:tcMar>
            <w:vAlign w:val="top"/>
          </w:tcPr>
          <w:p>
            <w:pPr>
              <w:spacing w:after="40" w:line="276" w:lineRule="auto"/>
            </w:pPr>
            <w:r>
              <w:rPr>
                <w:rFonts w:ascii="Calibri" w:hAnsi="Calibri"/>
                <w:sz w:val="18"/>
              </w:rPr>
              <w:t>Short explanation of the scenario.</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Category</w:t>
            </w:r>
          </w:p>
        </w:tc>
        <w:tc>
          <w:tcPr>
            <w:tcW w:type="dxa" w:w="7260"/>
            <w:tcMar>
              <w:top w:w="80" w:type="dxa"/>
              <w:start w:w="120" w:type="dxa"/>
              <w:bottom w:w="80" w:type="dxa"/>
              <w:end w:w="120" w:type="dxa"/>
            </w:tcMar>
            <w:vAlign w:val="top"/>
          </w:tcPr>
          <w:p>
            <w:pPr>
              <w:spacing w:after="40" w:line="276" w:lineRule="auto"/>
            </w:pPr>
            <w:r>
              <w:rPr>
                <w:rFonts w:ascii="Calibri" w:hAnsi="Calibri"/>
                <w:sz w:val="18"/>
              </w:rPr>
              <w:t>Operational category such as Vulnerability, Malware, Phishing, Credential Access, Threat Hunting, Compliance, Operations, or Generic.</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Match Type</w:t>
            </w:r>
          </w:p>
        </w:tc>
        <w:tc>
          <w:tcPr>
            <w:tcW w:type="dxa" w:w="7260"/>
            <w:tcMar>
              <w:top w:w="80" w:type="dxa"/>
              <w:start w:w="120" w:type="dxa"/>
              <w:bottom w:w="80" w:type="dxa"/>
              <w:end w:w="120" w:type="dxa"/>
            </w:tcMar>
            <w:vAlign w:val="top"/>
          </w:tcPr>
          <w:p>
            <w:pPr>
              <w:spacing w:after="40" w:line="276" w:lineRule="auto"/>
            </w:pPr>
            <w:r>
              <w:rPr>
                <w:rFonts w:ascii="Calibri" w:hAnsi="Calibri"/>
                <w:sz w:val="18"/>
              </w:rPr>
              <w:t>SIEM_RULE_ID, SOURCE_CATEGORY, MITRE_TACTIC, ALERT_TYPE, CASE_TYPE, or GENERIC.</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Match Value</w:t>
            </w:r>
          </w:p>
        </w:tc>
        <w:tc>
          <w:tcPr>
            <w:tcW w:type="dxa" w:w="7260"/>
            <w:tcMar>
              <w:top w:w="80" w:type="dxa"/>
              <w:start w:w="120" w:type="dxa"/>
              <w:bottom w:w="80" w:type="dxa"/>
              <w:end w:w="120" w:type="dxa"/>
            </w:tcMar>
            <w:vAlign w:val="top"/>
          </w:tcPr>
          <w:p>
            <w:pPr>
              <w:spacing w:after="40" w:line="276" w:lineRule="auto"/>
            </w:pPr>
            <w:r>
              <w:rPr>
                <w:rFonts w:ascii="Calibri" w:hAnsi="Calibri"/>
                <w:sz w:val="18"/>
              </w:rPr>
              <w:t>Rule/category/tactic/type value used for matching; generic uses *.</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Priority</w:t>
            </w:r>
          </w:p>
        </w:tc>
        <w:tc>
          <w:tcPr>
            <w:tcW w:type="dxa" w:w="7260"/>
            <w:tcMar>
              <w:top w:w="80" w:type="dxa"/>
              <w:start w:w="120" w:type="dxa"/>
              <w:bottom w:w="80" w:type="dxa"/>
              <w:end w:w="120" w:type="dxa"/>
            </w:tcMar>
            <w:vAlign w:val="top"/>
          </w:tcPr>
          <w:p>
            <w:pPr>
              <w:spacing w:after="40" w:line="276" w:lineRule="auto"/>
            </w:pPr>
            <w:r>
              <w:rPr>
                <w:rFonts w:ascii="Calibri" w:hAnsi="Calibri"/>
                <w:sz w:val="18"/>
              </w:rPr>
              <w:t>Lower numbers win when multiple templates could match.</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Active Flag</w:t>
            </w:r>
          </w:p>
        </w:tc>
        <w:tc>
          <w:tcPr>
            <w:tcW w:type="dxa" w:w="7260"/>
            <w:tcMar>
              <w:top w:w="80" w:type="dxa"/>
              <w:start w:w="120" w:type="dxa"/>
              <w:bottom w:w="80" w:type="dxa"/>
              <w:end w:w="120" w:type="dxa"/>
            </w:tcMar>
            <w:vAlign w:val="top"/>
          </w:tcPr>
          <w:p>
            <w:pPr>
              <w:spacing w:after="40" w:line="276" w:lineRule="auto"/>
            </w:pPr>
            <w:r>
              <w:rPr>
                <w:rFonts w:ascii="Calibri" w:hAnsi="Calibri"/>
                <w:sz w:val="18"/>
              </w:rPr>
              <w:t>Disabled templates are ignored.</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Tasks Text</w:t>
            </w:r>
          </w:p>
        </w:tc>
        <w:tc>
          <w:tcPr>
            <w:tcW w:type="dxa" w:w="7260"/>
            <w:tcMar>
              <w:top w:w="80" w:type="dxa"/>
              <w:start w:w="120" w:type="dxa"/>
              <w:bottom w:w="80" w:type="dxa"/>
              <w:end w:w="120" w:type="dxa"/>
            </w:tcMar>
            <w:vAlign w:val="top"/>
          </w:tcPr>
          <w:p>
            <w:pPr>
              <w:spacing w:after="40" w:line="276" w:lineRule="auto"/>
            </w:pPr>
            <w:r>
              <w:rPr>
                <w:rFonts w:ascii="Calibri" w:hAnsi="Calibri"/>
                <w:sz w:val="18"/>
              </w:rPr>
              <w:t>One investigation step per line.</w:t>
            </w:r>
          </w:p>
        </w:tc>
      </w:tr>
    </w:tbl>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2200"/>
        <w:gridCol w:w="4860"/>
      </w:tblGrid>
      <w:tr>
        <w:tc>
          <w:tcPr>
            <w:tcW w:type="dxa" w:w="2300"/>
            <w:shd w:fill="E8EEF5"/>
            <w:tcMar>
              <w:top w:w="80" w:type="dxa"/>
              <w:start w:w="120" w:type="dxa"/>
              <w:bottom w:w="80" w:type="dxa"/>
              <w:end w:w="120" w:type="dxa"/>
            </w:tcMar>
            <w:vAlign w:val="top"/>
          </w:tcPr>
          <w:p>
            <w:pPr>
              <w:spacing w:after="40" w:line="276" w:lineRule="auto"/>
            </w:pPr>
            <w:r>
              <w:rPr>
                <w:rFonts w:ascii="Calibri" w:hAnsi="Calibri"/>
                <w:b/>
                <w:color w:val="102027"/>
                <w:sz w:val="18"/>
              </w:rPr>
              <w:t>Playbook</w:t>
            </w:r>
          </w:p>
        </w:tc>
        <w:tc>
          <w:tcPr>
            <w:tcW w:type="dxa" w:w="2200"/>
            <w:shd w:fill="E8EEF5"/>
            <w:tcMar>
              <w:top w:w="80" w:type="dxa"/>
              <w:start w:w="120" w:type="dxa"/>
              <w:bottom w:w="80" w:type="dxa"/>
              <w:end w:w="120" w:type="dxa"/>
            </w:tcMar>
            <w:vAlign w:val="top"/>
          </w:tcPr>
          <w:p>
            <w:pPr>
              <w:spacing w:after="40" w:line="276" w:lineRule="auto"/>
            </w:pPr>
            <w:r>
              <w:rPr>
                <w:rFonts w:ascii="Calibri" w:hAnsi="Calibri"/>
                <w:b/>
                <w:color w:val="102027"/>
                <w:sz w:val="18"/>
              </w:rPr>
              <w:t>Match</w:t>
            </w:r>
          </w:p>
        </w:tc>
        <w:tc>
          <w:tcPr>
            <w:tcW w:type="dxa" w:w="4860"/>
            <w:shd w:fill="E8EEF5"/>
            <w:tcMar>
              <w:top w:w="80" w:type="dxa"/>
              <w:start w:w="120" w:type="dxa"/>
              <w:bottom w:w="80" w:type="dxa"/>
              <w:end w:w="120" w:type="dxa"/>
            </w:tcMar>
            <w:vAlign w:val="top"/>
          </w:tcPr>
          <w:p>
            <w:pPr>
              <w:spacing w:after="40" w:line="276" w:lineRule="auto"/>
            </w:pPr>
            <w:r>
              <w:rPr>
                <w:rFonts w:ascii="Calibri" w:hAnsi="Calibri"/>
                <w:b/>
                <w:color w:val="102027"/>
                <w:sz w:val="18"/>
              </w:rPr>
              <w:t>Example Tasks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Generic SOC Triage</w:t>
            </w:r>
          </w:p>
        </w:tc>
        <w:tc>
          <w:tcPr>
            <w:tcW w:type="dxa" w:w="2200"/>
            <w:tcMar>
              <w:top w:w="80" w:type="dxa"/>
              <w:start w:w="120" w:type="dxa"/>
              <w:bottom w:w="80" w:type="dxa"/>
              <w:end w:w="120" w:type="dxa"/>
            </w:tcMar>
            <w:vAlign w:val="top"/>
          </w:tcPr>
          <w:p>
            <w:pPr>
              <w:spacing w:after="40" w:line="276" w:lineRule="auto"/>
            </w:pPr>
            <w:r>
              <w:rPr>
                <w:rFonts w:ascii="Calibri" w:hAnsi="Calibri"/>
                <w:sz w:val="18"/>
              </w:rPr>
              <w:t>GENERIC *</w:t>
            </w:r>
          </w:p>
        </w:tc>
        <w:tc>
          <w:tcPr>
            <w:tcW w:type="dxa" w:w="4860"/>
            <w:tcMar>
              <w:top w:w="80" w:type="dxa"/>
              <w:start w:w="120" w:type="dxa"/>
              <w:bottom w:w="80" w:type="dxa"/>
              <w:end w:w="120" w:type="dxa"/>
            </w:tcMar>
            <w:vAlign w:val="top"/>
          </w:tcPr>
          <w:p>
            <w:pPr>
              <w:spacing w:after="40" w:line="276" w:lineRule="auto"/>
            </w:pPr>
            <w:r>
              <w:rPr>
                <w:rFonts w:ascii="Calibri" w:hAnsi="Calibri"/>
                <w:sz w:val="18"/>
              </w:rPr>
              <w:t>Validate alert fidelity; review raw event; collect evidence; identify IOCs; assess containment; prepare summary.</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Vulnerability Remediation</w:t>
            </w:r>
          </w:p>
        </w:tc>
        <w:tc>
          <w:tcPr>
            <w:tcW w:type="dxa" w:w="2200"/>
            <w:tcMar>
              <w:top w:w="80" w:type="dxa"/>
              <w:start w:w="120" w:type="dxa"/>
              <w:bottom w:w="80" w:type="dxa"/>
              <w:end w:w="120" w:type="dxa"/>
            </w:tcMar>
            <w:vAlign w:val="top"/>
          </w:tcPr>
          <w:p>
            <w:pPr>
              <w:spacing w:after="40" w:line="276" w:lineRule="auto"/>
            </w:pPr>
            <w:r>
              <w:rPr>
                <w:rFonts w:ascii="Calibri" w:hAnsi="Calibri"/>
                <w:sz w:val="18"/>
              </w:rPr>
              <w:t>CASE_TYPE Vulnerability Remediation</w:t>
            </w:r>
          </w:p>
        </w:tc>
        <w:tc>
          <w:tcPr>
            <w:tcW w:type="dxa" w:w="4860"/>
            <w:tcMar>
              <w:top w:w="80" w:type="dxa"/>
              <w:start w:w="120" w:type="dxa"/>
              <w:bottom w:w="80" w:type="dxa"/>
              <w:end w:w="120" w:type="dxa"/>
            </w:tcMar>
            <w:vAlign w:val="top"/>
          </w:tcPr>
          <w:p>
            <w:pPr>
              <w:spacing w:after="40" w:line="276" w:lineRule="auto"/>
            </w:pPr>
            <w:r>
              <w:rPr>
                <w:rFonts w:ascii="Calibri" w:hAnsi="Calibri"/>
                <w:sz w:val="18"/>
              </w:rPr>
              <w:t>Validate vulnerability; confirm affected asset; assess business impact; apply remediation; verify remediation; request closure review.</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Authentication Failure Investigation</w:t>
            </w:r>
          </w:p>
        </w:tc>
        <w:tc>
          <w:tcPr>
            <w:tcW w:type="dxa" w:w="2200"/>
            <w:tcMar>
              <w:top w:w="80" w:type="dxa"/>
              <w:start w:w="120" w:type="dxa"/>
              <w:bottom w:w="80" w:type="dxa"/>
              <w:end w:w="120" w:type="dxa"/>
            </w:tcMar>
            <w:vAlign w:val="top"/>
          </w:tcPr>
          <w:p>
            <w:pPr>
              <w:spacing w:after="40" w:line="276" w:lineRule="auto"/>
            </w:pPr>
            <w:r>
              <w:rPr>
                <w:rFonts w:ascii="Calibri" w:hAnsi="Calibri"/>
                <w:sz w:val="18"/>
              </w:rPr>
              <w:t>CATEGORY authentication</w:t>
            </w:r>
          </w:p>
        </w:tc>
        <w:tc>
          <w:tcPr>
            <w:tcW w:type="dxa" w:w="4860"/>
            <w:tcMar>
              <w:top w:w="80" w:type="dxa"/>
              <w:start w:w="120" w:type="dxa"/>
              <w:bottom w:w="80" w:type="dxa"/>
              <w:end w:w="120" w:type="dxa"/>
            </w:tcMar>
            <w:vAlign w:val="top"/>
          </w:tcPr>
          <w:p>
            <w:pPr>
              <w:spacing w:after="40" w:line="276" w:lineRule="auto"/>
            </w:pPr>
            <w:r>
              <w:rPr>
                <w:rFonts w:ascii="Calibri" w:hAnsi="Calibri"/>
                <w:sz w:val="18"/>
              </w:rPr>
              <w:t>Confirm login pattern; review source IP; check successful logins; validate MFA/password reset indicators.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Malware / File Execution Investigation</w:t>
            </w:r>
          </w:p>
        </w:tc>
        <w:tc>
          <w:tcPr>
            <w:tcW w:type="dxa" w:w="2200"/>
            <w:tcMar>
              <w:top w:w="80" w:type="dxa"/>
              <w:start w:w="120" w:type="dxa"/>
              <w:bottom w:w="80" w:type="dxa"/>
              <w:end w:w="120" w:type="dxa"/>
            </w:tcMar>
            <w:vAlign w:val="top"/>
          </w:tcPr>
          <w:p>
            <w:pPr>
              <w:spacing w:after="40" w:line="276" w:lineRule="auto"/>
            </w:pPr>
            <w:r>
              <w:rPr>
                <w:rFonts w:ascii="Calibri" w:hAnsi="Calibri"/>
                <w:sz w:val="18"/>
              </w:rPr>
              <w:t>ALERT_TYPE malware</w:t>
            </w:r>
          </w:p>
        </w:tc>
        <w:tc>
          <w:tcPr>
            <w:tcW w:type="dxa" w:w="4860"/>
            <w:tcMar>
              <w:top w:w="80" w:type="dxa"/>
              <w:start w:w="120" w:type="dxa"/>
              <w:bottom w:w="80" w:type="dxa"/>
              <w:end w:w="120" w:type="dxa"/>
            </w:tcMar>
            <w:vAlign w:val="top"/>
          </w:tcPr>
          <w:p>
            <w:pPr>
              <w:spacing w:after="40" w:line="276" w:lineRule="auto"/>
            </w:pPr>
            <w:r>
              <w:rPr>
                <w:rFonts w:ascii="Calibri" w:hAnsi="Calibri"/>
                <w:sz w:val="18"/>
              </w:rPr>
              <w:t>Identify process/file/hash; check recurrence; collect process tree; assess isolation or quarantine.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MITRE Credential Access</w:t>
            </w:r>
          </w:p>
        </w:tc>
        <w:tc>
          <w:tcPr>
            <w:tcW w:type="dxa" w:w="2200"/>
            <w:tcMar>
              <w:top w:w="80" w:type="dxa"/>
              <w:start w:w="120" w:type="dxa"/>
              <w:bottom w:w="80" w:type="dxa"/>
              <w:end w:w="120" w:type="dxa"/>
            </w:tcMar>
            <w:vAlign w:val="top"/>
          </w:tcPr>
          <w:p>
            <w:pPr>
              <w:spacing w:after="40" w:line="276" w:lineRule="auto"/>
            </w:pPr>
            <w:r>
              <w:rPr>
                <w:rFonts w:ascii="Calibri" w:hAnsi="Calibri"/>
                <w:sz w:val="18"/>
              </w:rPr>
              <w:t>MITRE_TACTIC Credential Access</w:t>
            </w:r>
          </w:p>
        </w:tc>
        <w:tc>
          <w:tcPr>
            <w:tcW w:type="dxa" w:w="4860"/>
            <w:tcMar>
              <w:top w:w="80" w:type="dxa"/>
              <w:start w:w="120" w:type="dxa"/>
              <w:bottom w:w="80" w:type="dxa"/>
              <w:end w:w="120" w:type="dxa"/>
            </w:tcMar>
            <w:vAlign w:val="top"/>
          </w:tcPr>
          <w:p>
            <w:pPr>
              <w:spacing w:after="40" w:line="276" w:lineRule="auto"/>
            </w:pPr>
            <w:r>
              <w:rPr>
                <w:rFonts w:ascii="Calibri" w:hAnsi="Calibri"/>
                <w:sz w:val="18"/>
              </w:rPr>
              <w:t>Validate tactic; identify impacted users; review auth/lateral movement; determine reset/session revocation.</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Threat Hunting</w:t>
            </w:r>
          </w:p>
        </w:tc>
        <w:tc>
          <w:tcPr>
            <w:tcW w:type="dxa" w:w="2200"/>
            <w:tcMar>
              <w:top w:w="80" w:type="dxa"/>
              <w:start w:w="120" w:type="dxa"/>
              <w:bottom w:w="80" w:type="dxa"/>
              <w:end w:w="120" w:type="dxa"/>
            </w:tcMar>
            <w:vAlign w:val="top"/>
          </w:tcPr>
          <w:p>
            <w:pPr>
              <w:spacing w:after="40" w:line="276" w:lineRule="auto"/>
            </w:pPr>
            <w:r>
              <w:rPr>
                <w:rFonts w:ascii="Calibri" w:hAnsi="Calibri"/>
                <w:sz w:val="18"/>
              </w:rPr>
              <w:t>CASE_TYPE Threat Hunt</w:t>
            </w:r>
          </w:p>
        </w:tc>
        <w:tc>
          <w:tcPr>
            <w:tcW w:type="dxa" w:w="4860"/>
            <w:tcMar>
              <w:top w:w="80" w:type="dxa"/>
              <w:start w:w="120" w:type="dxa"/>
              <w:bottom w:w="80" w:type="dxa"/>
              <w:end w:w="120" w:type="dxa"/>
            </w:tcMar>
            <w:vAlign w:val="top"/>
          </w:tcPr>
          <w:p>
            <w:pPr>
              <w:spacing w:after="40" w:line="276" w:lineRule="auto"/>
            </w:pPr>
            <w:r>
              <w:rPr>
                <w:rFonts w:ascii="Calibri" w:hAnsi="Calibri"/>
                <w:sz w:val="18"/>
              </w:rPr>
              <w:t>Define hunt objective; collect telemetry; search indicators; analyze findings; document outcome; escalate if threats are identified.</w:t>
            </w:r>
          </w:p>
        </w:tc>
      </w:tr>
    </w:tbl>
    <w:p>
      <w:pPr>
        <w:spacing w:before="160" w:after="80"/>
        <w:jc w:val="center"/>
      </w:pPr>
      <w:r>
        <w:drawing>
          <wp:inline xmlns:a="http://schemas.openxmlformats.org/drawingml/2006/main" xmlns:pic="http://schemas.openxmlformats.org/drawingml/2006/picture">
            <wp:extent cx="5852160" cy="3040918"/>
            <wp:docPr id="9" name="Picture 9"/>
            <wp:cNvGraphicFramePr>
              <a:graphicFrameLocks noChangeAspect="1"/>
            </wp:cNvGraphicFramePr>
            <a:graphic>
              <a:graphicData uri="http://schemas.openxmlformats.org/drawingml/2006/picture">
                <pic:pic>
                  <pic:nvPicPr>
                    <pic:cNvPr id="0" name="figure-09-playbook-engine.png"/>
                    <pic:cNvPicPr/>
                  </pic:nvPicPr>
                  <pic:blipFill>
                    <a:blip r:embed="rId19"/>
                    <a:stretch>
                      <a:fillRect/>
                    </a:stretch>
                  </pic:blipFill>
                  <pic:spPr>
                    <a:xfrm>
                      <a:off x="0" y="0"/>
                      <a:ext cx="5852160" cy="3040918"/>
                    </a:xfrm>
                    <a:prstGeom prst="rect"/>
                  </pic:spPr>
                </pic:pic>
              </a:graphicData>
            </a:graphic>
          </wp:inline>
        </w:drawing>
      </w:r>
    </w:p>
    <w:p>
      <w:pPr>
        <w:spacing w:before="0" w:after="200"/>
        <w:jc w:val="center"/>
      </w:pPr>
      <w:r>
        <w:rPr>
          <w:i/>
          <w:color w:val="60737D"/>
          <w:sz w:val="17"/>
        </w:rPr>
        <w:t>Figure 9: Playbook Engine showing SIEM and manual case matching, category selection, priority control, live preview, and reusable workflow templates.</w:t>
      </w:r>
    </w:p>
    <w:p>
      <w:pPr>
        <w:pStyle w:val="Heading1"/>
      </w:pPr>
      <w:r>
        <w:t>13. IOC Intelligence</w:t>
      </w:r>
    </w:p>
    <w:p>
      <w:r>
        <w:t>IOC Intelligence records indicators from alerts and cases, normalizes values for correlation, and presents analyst-friendly type labels such as IP Address, Domain, Hostname, URL, Username, Email, Process, File, Registry Key, File Hash, and Service.</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3300"/>
        <w:gridCol w:w="4160"/>
      </w:tblGrid>
      <w:tr>
        <w:tc>
          <w:tcPr>
            <w:tcW w:type="dxa" w:w="1900"/>
            <w:shd w:fill="E8EEF5"/>
            <w:tcMar>
              <w:top w:w="80" w:type="dxa"/>
              <w:start w:w="120" w:type="dxa"/>
              <w:bottom w:w="80" w:type="dxa"/>
              <w:end w:w="120" w:type="dxa"/>
            </w:tcMar>
            <w:vAlign w:val="top"/>
          </w:tcPr>
          <w:p>
            <w:pPr>
              <w:spacing w:after="40" w:line="276" w:lineRule="auto"/>
            </w:pPr>
            <w:r>
              <w:rPr>
                <w:rFonts w:ascii="Calibri" w:hAnsi="Calibri"/>
                <w:b/>
                <w:color w:val="102027"/>
                <w:sz w:val="18"/>
              </w:rPr>
              <w:t>IOC Type</w:t>
            </w:r>
          </w:p>
        </w:tc>
        <w:tc>
          <w:tcPr>
            <w:tcW w:type="dxa" w:w="3300"/>
            <w:shd w:fill="E8EEF5"/>
            <w:tcMar>
              <w:top w:w="80" w:type="dxa"/>
              <w:start w:w="120" w:type="dxa"/>
              <w:bottom w:w="80" w:type="dxa"/>
              <w:end w:w="120" w:type="dxa"/>
            </w:tcMar>
            <w:vAlign w:val="top"/>
          </w:tcPr>
          <w:p>
            <w:pPr>
              <w:spacing w:after="40" w:line="276" w:lineRule="auto"/>
            </w:pPr>
            <w:r>
              <w:rPr>
                <w:rFonts w:ascii="Calibri" w:hAnsi="Calibri"/>
                <w:b/>
                <w:color w:val="102027"/>
                <w:sz w:val="18"/>
              </w:rPr>
              <w:t>Examples</w:t>
            </w:r>
          </w:p>
        </w:tc>
        <w:tc>
          <w:tcPr>
            <w:tcW w:type="dxa" w:w="4160"/>
            <w:shd w:fill="E8EEF5"/>
            <w:tcMar>
              <w:top w:w="80" w:type="dxa"/>
              <w:start w:w="120" w:type="dxa"/>
              <w:bottom w:w="80" w:type="dxa"/>
              <w:end w:w="120" w:type="dxa"/>
            </w:tcMar>
            <w:vAlign w:val="top"/>
          </w:tcPr>
          <w:p>
            <w:pPr>
              <w:spacing w:after="40" w:line="276" w:lineRule="auto"/>
            </w:pPr>
            <w:r>
              <w:rPr>
                <w:rFonts w:ascii="Calibri" w:hAnsi="Calibri"/>
                <w:b/>
                <w:color w:val="102027"/>
                <w:sz w:val="18"/>
              </w:rPr>
              <w:t>Investigation Use</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IP Address</w:t>
            </w:r>
          </w:p>
        </w:tc>
        <w:tc>
          <w:tcPr>
            <w:tcW w:type="dxa" w:w="3300"/>
            <w:tcMar>
              <w:top w:w="80" w:type="dxa"/>
              <w:start w:w="120" w:type="dxa"/>
              <w:bottom w:w="80" w:type="dxa"/>
              <w:end w:w="120" w:type="dxa"/>
            </w:tcMar>
            <w:vAlign w:val="top"/>
          </w:tcPr>
          <w:p>
            <w:pPr>
              <w:spacing w:after="40" w:line="276" w:lineRule="auto"/>
            </w:pPr>
            <w:r>
              <w:rPr>
                <w:rFonts w:ascii="Calibri" w:hAnsi="Calibri"/>
                <w:sz w:val="18"/>
              </w:rPr>
              <w:t>192.168.1.10, 8.8.8.8</w:t>
            </w:r>
          </w:p>
        </w:tc>
        <w:tc>
          <w:tcPr>
            <w:tcW w:type="dxa" w:w="4160"/>
            <w:tcMar>
              <w:top w:w="80" w:type="dxa"/>
              <w:start w:w="120" w:type="dxa"/>
              <w:bottom w:w="80" w:type="dxa"/>
              <w:end w:w="120" w:type="dxa"/>
            </w:tcMar>
            <w:vAlign w:val="top"/>
          </w:tcPr>
          <w:p>
            <w:pPr>
              <w:spacing w:after="40" w:line="276" w:lineRule="auto"/>
            </w:pPr>
            <w:r>
              <w:rPr>
                <w:rFonts w:ascii="Calibri" w:hAnsi="Calibri"/>
                <w:sz w:val="18"/>
              </w:rPr>
              <w:t>Network source/destination, firewall blocks, reputation checks.</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Domain / URL</w:t>
            </w:r>
          </w:p>
        </w:tc>
        <w:tc>
          <w:tcPr>
            <w:tcW w:type="dxa" w:w="3300"/>
            <w:tcMar>
              <w:top w:w="80" w:type="dxa"/>
              <w:start w:w="120" w:type="dxa"/>
              <w:bottom w:w="80" w:type="dxa"/>
              <w:end w:w="120" w:type="dxa"/>
            </w:tcMar>
            <w:vAlign w:val="top"/>
          </w:tcPr>
          <w:p>
            <w:pPr>
              <w:spacing w:after="40" w:line="276" w:lineRule="auto"/>
            </w:pPr>
            <w:r>
              <w:rPr>
                <w:rFonts w:ascii="Calibri" w:hAnsi="Calibri"/>
                <w:sz w:val="18"/>
              </w:rPr>
              <w:t>example.com, https://site/path</w:t>
            </w:r>
          </w:p>
        </w:tc>
        <w:tc>
          <w:tcPr>
            <w:tcW w:type="dxa" w:w="4160"/>
            <w:tcMar>
              <w:top w:w="80" w:type="dxa"/>
              <w:start w:w="120" w:type="dxa"/>
              <w:bottom w:w="80" w:type="dxa"/>
              <w:end w:w="120" w:type="dxa"/>
            </w:tcMar>
            <w:vAlign w:val="top"/>
          </w:tcPr>
          <w:p>
            <w:pPr>
              <w:spacing w:after="40" w:line="276" w:lineRule="auto"/>
            </w:pPr>
            <w:r>
              <w:rPr>
                <w:rFonts w:ascii="Calibri" w:hAnsi="Calibri"/>
                <w:sz w:val="18"/>
              </w:rPr>
              <w:t>Phishing, malware callback, web proxy checks.</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Hostname</w:t>
            </w:r>
          </w:p>
        </w:tc>
        <w:tc>
          <w:tcPr>
            <w:tcW w:type="dxa" w:w="3300"/>
            <w:tcMar>
              <w:top w:w="80" w:type="dxa"/>
              <w:start w:w="120" w:type="dxa"/>
              <w:bottom w:w="80" w:type="dxa"/>
              <w:end w:w="120" w:type="dxa"/>
            </w:tcMar>
            <w:vAlign w:val="top"/>
          </w:tcPr>
          <w:p>
            <w:pPr>
              <w:spacing w:after="40" w:line="276" w:lineRule="auto"/>
            </w:pPr>
            <w:r>
              <w:rPr>
                <w:rFonts w:ascii="Calibri" w:hAnsi="Calibri"/>
                <w:sz w:val="18"/>
              </w:rPr>
              <w:t>WIN-01, server01</w:t>
            </w:r>
          </w:p>
        </w:tc>
        <w:tc>
          <w:tcPr>
            <w:tcW w:type="dxa" w:w="4160"/>
            <w:tcMar>
              <w:top w:w="80" w:type="dxa"/>
              <w:start w:w="120" w:type="dxa"/>
              <w:bottom w:w="80" w:type="dxa"/>
              <w:end w:w="120" w:type="dxa"/>
            </w:tcMar>
            <w:vAlign w:val="top"/>
          </w:tcPr>
          <w:p>
            <w:pPr>
              <w:spacing w:after="40" w:line="276" w:lineRule="auto"/>
            </w:pPr>
            <w:r>
              <w:rPr>
                <w:rFonts w:ascii="Calibri" w:hAnsi="Calibri"/>
                <w:sz w:val="18"/>
              </w:rPr>
              <w:t>Asset linking, host triage, case correlation.</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Username / Email</w:t>
            </w:r>
          </w:p>
        </w:tc>
        <w:tc>
          <w:tcPr>
            <w:tcW w:type="dxa" w:w="3300"/>
            <w:tcMar>
              <w:top w:w="80" w:type="dxa"/>
              <w:start w:w="120" w:type="dxa"/>
              <w:bottom w:w="80" w:type="dxa"/>
              <w:end w:w="120" w:type="dxa"/>
            </w:tcMar>
            <w:vAlign w:val="top"/>
          </w:tcPr>
          <w:p>
            <w:pPr>
              <w:spacing w:after="40" w:line="276" w:lineRule="auto"/>
            </w:pPr>
            <w:r>
              <w:rPr>
                <w:rFonts w:ascii="Calibri" w:hAnsi="Calibri"/>
                <w:sz w:val="18"/>
              </w:rPr>
              <w:t>jdoe, user@example.com</w:t>
            </w:r>
          </w:p>
        </w:tc>
        <w:tc>
          <w:tcPr>
            <w:tcW w:type="dxa" w:w="4160"/>
            <w:tcMar>
              <w:top w:w="80" w:type="dxa"/>
              <w:start w:w="120" w:type="dxa"/>
              <w:bottom w:w="80" w:type="dxa"/>
              <w:end w:w="120" w:type="dxa"/>
            </w:tcMar>
            <w:vAlign w:val="top"/>
          </w:tcPr>
          <w:p>
            <w:pPr>
              <w:spacing w:after="40" w:line="276" w:lineRule="auto"/>
            </w:pPr>
            <w:r>
              <w:rPr>
                <w:rFonts w:ascii="Calibri" w:hAnsi="Calibri"/>
                <w:sz w:val="18"/>
              </w:rPr>
              <w:t>Account compromise, disable user containment, identity review.</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Process / File</w:t>
            </w:r>
          </w:p>
        </w:tc>
        <w:tc>
          <w:tcPr>
            <w:tcW w:type="dxa" w:w="3300"/>
            <w:tcMar>
              <w:top w:w="80" w:type="dxa"/>
              <w:start w:w="120" w:type="dxa"/>
              <w:bottom w:w="80" w:type="dxa"/>
              <w:end w:w="120" w:type="dxa"/>
            </w:tcMar>
            <w:vAlign w:val="top"/>
          </w:tcPr>
          <w:p>
            <w:pPr>
              <w:spacing w:after="40" w:line="276" w:lineRule="auto"/>
            </w:pPr>
            <w:r>
              <w:rPr>
                <w:rFonts w:ascii="Calibri" w:hAnsi="Calibri"/>
                <w:sz w:val="18"/>
              </w:rPr>
              <w:t>powershell.exe, C:\Temp\evil.exe</w:t>
            </w:r>
          </w:p>
        </w:tc>
        <w:tc>
          <w:tcPr>
            <w:tcW w:type="dxa" w:w="4160"/>
            <w:tcMar>
              <w:top w:w="80" w:type="dxa"/>
              <w:start w:w="120" w:type="dxa"/>
              <w:bottom w:w="80" w:type="dxa"/>
              <w:end w:w="120" w:type="dxa"/>
            </w:tcMar>
            <w:vAlign w:val="top"/>
          </w:tcPr>
          <w:p>
            <w:pPr>
              <w:spacing w:after="40" w:line="276" w:lineRule="auto"/>
            </w:pPr>
            <w:r>
              <w:rPr>
                <w:rFonts w:ascii="Calibri" w:hAnsi="Calibri"/>
                <w:sz w:val="18"/>
              </w:rPr>
              <w:t>Endpoint triage, kill process, quarantine file.</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File Hash</w:t>
            </w:r>
          </w:p>
        </w:tc>
        <w:tc>
          <w:tcPr>
            <w:tcW w:type="dxa" w:w="3300"/>
            <w:tcMar>
              <w:top w:w="80" w:type="dxa"/>
              <w:start w:w="120" w:type="dxa"/>
              <w:bottom w:w="80" w:type="dxa"/>
              <w:end w:w="120" w:type="dxa"/>
            </w:tcMar>
            <w:vAlign w:val="top"/>
          </w:tcPr>
          <w:p>
            <w:pPr>
              <w:spacing w:after="40" w:line="276" w:lineRule="auto"/>
            </w:pPr>
            <w:r>
              <w:rPr>
                <w:rFonts w:ascii="Calibri" w:hAnsi="Calibri"/>
                <w:sz w:val="18"/>
              </w:rPr>
              <w:t>SHA256/MD5/SHA1 where provided</w:t>
            </w:r>
          </w:p>
        </w:tc>
        <w:tc>
          <w:tcPr>
            <w:tcW w:type="dxa" w:w="4160"/>
            <w:tcMar>
              <w:top w:w="80" w:type="dxa"/>
              <w:start w:w="120" w:type="dxa"/>
              <w:bottom w:w="80" w:type="dxa"/>
              <w:end w:w="120" w:type="dxa"/>
            </w:tcMar>
            <w:vAlign w:val="top"/>
          </w:tcPr>
          <w:p>
            <w:pPr>
              <w:spacing w:after="40" w:line="276" w:lineRule="auto"/>
            </w:pPr>
            <w:r>
              <w:rPr>
                <w:rFonts w:ascii="Calibri" w:hAnsi="Calibri"/>
                <w:sz w:val="18"/>
              </w:rPr>
              <w:t>Malware lookup and cross-case recurrence.</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Registry Key / Service</w:t>
            </w:r>
          </w:p>
        </w:tc>
        <w:tc>
          <w:tcPr>
            <w:tcW w:type="dxa" w:w="3300"/>
            <w:tcMar>
              <w:top w:w="80" w:type="dxa"/>
              <w:start w:w="120" w:type="dxa"/>
              <w:bottom w:w="80" w:type="dxa"/>
              <w:end w:w="120" w:type="dxa"/>
            </w:tcMar>
            <w:vAlign w:val="top"/>
          </w:tcPr>
          <w:p>
            <w:pPr>
              <w:spacing w:after="40" w:line="276" w:lineRule="auto"/>
            </w:pPr>
            <w:r>
              <w:rPr>
                <w:rFonts w:ascii="Calibri" w:hAnsi="Calibri"/>
                <w:sz w:val="18"/>
              </w:rPr>
              <w:t>Run keys, service names</w:t>
            </w:r>
          </w:p>
        </w:tc>
        <w:tc>
          <w:tcPr>
            <w:tcW w:type="dxa" w:w="4160"/>
            <w:tcMar>
              <w:top w:w="80" w:type="dxa"/>
              <w:start w:w="120" w:type="dxa"/>
              <w:bottom w:w="80" w:type="dxa"/>
              <w:end w:w="120" w:type="dxa"/>
            </w:tcMar>
            <w:vAlign w:val="top"/>
          </w:tcPr>
          <w:p>
            <w:pPr>
              <w:spacing w:after="40" w:line="276" w:lineRule="auto"/>
            </w:pPr>
            <w:r>
              <w:rPr>
                <w:rFonts w:ascii="Calibri" w:hAnsi="Calibri"/>
                <w:sz w:val="18"/>
              </w:rPr>
              <w:t>Persistence analysis.</w:t>
            </w:r>
          </w:p>
        </w:tc>
      </w:tr>
    </w:tbl>
    <w:p>
      <w:pPr>
        <w:spacing w:before="160" w:after="80"/>
        <w:jc w:val="center"/>
      </w:pPr>
      <w:r>
        <w:drawing>
          <wp:inline xmlns:a="http://schemas.openxmlformats.org/drawingml/2006/main" xmlns:pic="http://schemas.openxmlformats.org/drawingml/2006/picture">
            <wp:extent cx="5852160" cy="1313399"/>
            <wp:docPr id="10" name="Picture 10"/>
            <wp:cNvGraphicFramePr>
              <a:graphicFrameLocks noChangeAspect="1"/>
            </wp:cNvGraphicFramePr>
            <a:graphic>
              <a:graphicData uri="http://schemas.openxmlformats.org/drawingml/2006/picture">
                <pic:pic>
                  <pic:nvPicPr>
                    <pic:cNvPr id="0" name="figure-10-ioc-intelligence.png"/>
                    <pic:cNvPicPr/>
                  </pic:nvPicPr>
                  <pic:blipFill>
                    <a:blip r:embed="rId20"/>
                    <a:stretch>
                      <a:fillRect/>
                    </a:stretch>
                  </pic:blipFill>
                  <pic:spPr>
                    <a:xfrm>
                      <a:off x="0" y="0"/>
                      <a:ext cx="5852160" cy="1313399"/>
                    </a:xfrm>
                    <a:prstGeom prst="rect"/>
                  </pic:spPr>
                </pic:pic>
              </a:graphicData>
            </a:graphic>
          </wp:inline>
        </w:drawing>
      </w:r>
    </w:p>
    <w:p>
      <w:pPr>
        <w:spacing w:before="0" w:after="200"/>
        <w:jc w:val="center"/>
      </w:pPr>
      <w:r>
        <w:rPr>
          <w:i/>
          <w:color w:val="60737D"/>
          <w:sz w:val="17"/>
        </w:rPr>
        <w:t>Figure 10: IOC Intelligence panel showing sanitized indicator classification, confidence, first and last seen timestamps, correlation counts, source system, and quick investigation actions.</w:t>
      </w:r>
    </w:p>
    <w:p>
      <w:pPr>
        <w:pStyle w:val="Heading1"/>
      </w:pPr>
      <w:r>
        <w:t>14. Evidence Management</w:t>
      </w:r>
    </w:p>
    <w:p>
      <w:r>
        <w:t>Evidence uploads support investigation documentation, report generation, and reviewer confidence. Each evidence record stores the original filename, randomized stored filename, SHA256 hash, uploader, and timestamp.</w:t>
      </w:r>
    </w:p>
    <w:p>
      <w:pPr>
        <w:pStyle w:val="ListBullet"/>
      </w:pPr>
      <w:r>
        <w:t>Upload only files that support the investigation or closure decision.</w:t>
      </w:r>
    </w:p>
    <w:p>
      <w:pPr>
        <w:pStyle w:val="ListBullet"/>
      </w:pPr>
      <w:r>
        <w:t>Prefer text, logs, PDFs, JSON, CSV, screenshots, and zipped evidence bundles when appropriate.</w:t>
      </w:r>
    </w:p>
    <w:p>
      <w:pPr>
        <w:pStyle w:val="ListBullet"/>
      </w:pPr>
      <w:r>
        <w:t>Avoid uploading secrets, credentials, private keys, or unnecessary personal data.</w:t>
      </w:r>
    </w:p>
    <w:p>
      <w:pPr>
        <w:pStyle w:val="ListBullet"/>
      </w:pPr>
      <w:r>
        <w:t>Reference important evidence in notes or closure summaries.</w:t>
      </w:r>
    </w:p>
    <w:p>
      <w:pPr>
        <w:pStyle w:val="ListBullet"/>
      </w:pPr>
      <w:r>
        <w:t>Use SHA256 values for verification and tamper-evidence, not as a substitute for formal legal chain-of-custody.</w:t>
      </w:r>
    </w:p>
    <w:p>
      <w:pPr>
        <w:spacing w:before="160" w:after="80"/>
        <w:jc w:val="center"/>
      </w:pPr>
      <w:r>
        <w:drawing>
          <wp:inline xmlns:a="http://schemas.openxmlformats.org/drawingml/2006/main" xmlns:pic="http://schemas.openxmlformats.org/drawingml/2006/picture">
            <wp:extent cx="5852160" cy="2690106"/>
            <wp:docPr id="11" name="Picture 11"/>
            <wp:cNvGraphicFramePr>
              <a:graphicFrameLocks noChangeAspect="1"/>
            </wp:cNvGraphicFramePr>
            <a:graphic>
              <a:graphicData uri="http://schemas.openxmlformats.org/drawingml/2006/picture">
                <pic:pic>
                  <pic:nvPicPr>
                    <pic:cNvPr id="0" name="figure-11-evidence-management.png"/>
                    <pic:cNvPicPr/>
                  </pic:nvPicPr>
                  <pic:blipFill>
                    <a:blip r:embed="rId21"/>
                    <a:stretch>
                      <a:fillRect/>
                    </a:stretch>
                  </pic:blipFill>
                  <pic:spPr>
                    <a:xfrm>
                      <a:off x="0" y="0"/>
                      <a:ext cx="5852160" cy="2690106"/>
                    </a:xfrm>
                    <a:prstGeom prst="rect"/>
                  </pic:spPr>
                </pic:pic>
              </a:graphicData>
            </a:graphic>
          </wp:inline>
        </w:drawing>
      </w:r>
    </w:p>
    <w:p>
      <w:pPr>
        <w:spacing w:before="0" w:after="200"/>
        <w:jc w:val="center"/>
      </w:pPr>
      <w:r>
        <w:rPr>
          <w:i/>
          <w:color w:val="60737D"/>
          <w:sz w:val="17"/>
        </w:rPr>
        <w:t>Figure 11: Evidence Management panel showing compact evidence cards, file previews, SHA256 hashes, uploader metadata, and quick preview/download actions.</w:t>
      </w:r>
    </w:p>
    <w:p>
      <w:pPr>
        <w:pStyle w:val="Heading1"/>
      </w:pPr>
      <w:r>
        <w:t>15. Containment Queue and IR Workflow</w:t>
      </w:r>
    </w:p>
    <w:p>
      <w:r>
        <w:t>Containment in AstoraSOC is case-only. Actions originate from the investigation workflow and are never automatically executed directly from alerts. This keeps response actions governed, auditable, and tied to a case record.</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3000"/>
        <w:gridCol w:w="4460"/>
      </w:tblGrid>
      <w:tr>
        <w:tc>
          <w:tcPr>
            <w:tcW w:type="dxa" w:w="1900"/>
            <w:shd w:fill="E8EEF5"/>
            <w:tcMar>
              <w:top w:w="80" w:type="dxa"/>
              <w:start w:w="120" w:type="dxa"/>
              <w:bottom w:w="80" w:type="dxa"/>
              <w:end w:w="120" w:type="dxa"/>
            </w:tcMar>
            <w:vAlign w:val="top"/>
          </w:tcPr>
          <w:p>
            <w:pPr>
              <w:spacing w:after="40" w:line="276" w:lineRule="auto"/>
            </w:pPr>
            <w:r>
              <w:rPr>
                <w:rFonts w:ascii="Calibri" w:hAnsi="Calibri"/>
                <w:b/>
                <w:color w:val="102027"/>
                <w:sz w:val="18"/>
              </w:rPr>
              <w:t>Action Type</w:t>
            </w:r>
          </w:p>
        </w:tc>
        <w:tc>
          <w:tcPr>
            <w:tcW w:type="dxa" w:w="3000"/>
            <w:shd w:fill="E8EEF5"/>
            <w:tcMar>
              <w:top w:w="80" w:type="dxa"/>
              <w:start w:w="120" w:type="dxa"/>
              <w:bottom w:w="80" w:type="dxa"/>
              <w:end w:w="120" w:type="dxa"/>
            </w:tcMar>
            <w:vAlign w:val="top"/>
          </w:tcPr>
          <w:p>
            <w:pPr>
              <w:spacing w:after="40" w:line="276" w:lineRule="auto"/>
            </w:pPr>
            <w:r>
              <w:rPr>
                <w:rFonts w:ascii="Calibri" w:hAnsi="Calibri"/>
                <w:b/>
                <w:color w:val="102027"/>
                <w:sz w:val="18"/>
              </w:rPr>
              <w:t>Typical Target</w:t>
            </w:r>
          </w:p>
        </w:tc>
        <w:tc>
          <w:tcPr>
            <w:tcW w:type="dxa" w:w="4460"/>
            <w:shd w:fill="E8EEF5"/>
            <w:tcMar>
              <w:top w:w="80" w:type="dxa"/>
              <w:start w:w="120" w:type="dxa"/>
              <w:bottom w:w="80" w:type="dxa"/>
              <w:end w:w="120" w:type="dxa"/>
            </w:tcMar>
            <w:vAlign w:val="top"/>
          </w:tcPr>
          <w:p>
            <w:pPr>
              <w:spacing w:after="40" w:line="276" w:lineRule="auto"/>
            </w:pPr>
            <w:r>
              <w:rPr>
                <w:rFonts w:ascii="Calibri" w:hAnsi="Calibri"/>
                <w:b/>
                <w:color w:val="102027"/>
                <w:sz w:val="18"/>
              </w:rPr>
              <w:t>Risk Notes</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Block IP</w:t>
            </w:r>
          </w:p>
        </w:tc>
        <w:tc>
          <w:tcPr>
            <w:tcW w:type="dxa" w:w="3000"/>
            <w:tcMar>
              <w:top w:w="80" w:type="dxa"/>
              <w:start w:w="120" w:type="dxa"/>
              <w:bottom w:w="80" w:type="dxa"/>
              <w:end w:w="120" w:type="dxa"/>
            </w:tcMar>
            <w:vAlign w:val="top"/>
          </w:tcPr>
          <w:p>
            <w:pPr>
              <w:spacing w:after="40" w:line="276" w:lineRule="auto"/>
            </w:pPr>
            <w:r>
              <w:rPr>
                <w:rFonts w:ascii="Calibri" w:hAnsi="Calibri"/>
                <w:sz w:val="18"/>
              </w:rPr>
              <w:t>Source or destination IP</w:t>
            </w:r>
          </w:p>
        </w:tc>
        <w:tc>
          <w:tcPr>
            <w:tcW w:type="dxa" w:w="4460"/>
            <w:tcMar>
              <w:top w:w="80" w:type="dxa"/>
              <w:start w:w="120" w:type="dxa"/>
              <w:bottom w:w="80" w:type="dxa"/>
              <w:end w:w="120" w:type="dxa"/>
            </w:tcMar>
            <w:vAlign w:val="top"/>
          </w:tcPr>
          <w:p>
            <w:pPr>
              <w:spacing w:after="40" w:line="276" w:lineRule="auto"/>
            </w:pPr>
            <w:r>
              <w:rPr>
                <w:rFonts w:ascii="Calibri" w:hAnsi="Calibri"/>
                <w:sz w:val="18"/>
              </w:rPr>
              <w:t>May disrupt legitimate traffic if shared IP or NAT is involved.</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Disable User</w:t>
            </w:r>
          </w:p>
        </w:tc>
        <w:tc>
          <w:tcPr>
            <w:tcW w:type="dxa" w:w="3000"/>
            <w:tcMar>
              <w:top w:w="80" w:type="dxa"/>
              <w:start w:w="120" w:type="dxa"/>
              <w:bottom w:w="80" w:type="dxa"/>
              <w:end w:w="120" w:type="dxa"/>
            </w:tcMar>
            <w:vAlign w:val="top"/>
          </w:tcPr>
          <w:p>
            <w:pPr>
              <w:spacing w:after="40" w:line="276" w:lineRule="auto"/>
            </w:pPr>
            <w:r>
              <w:rPr>
                <w:rFonts w:ascii="Calibri" w:hAnsi="Calibri"/>
                <w:sz w:val="18"/>
              </w:rPr>
              <w:t>Username or email</w:t>
            </w:r>
          </w:p>
        </w:tc>
        <w:tc>
          <w:tcPr>
            <w:tcW w:type="dxa" w:w="4460"/>
            <w:tcMar>
              <w:top w:w="80" w:type="dxa"/>
              <w:start w:w="120" w:type="dxa"/>
              <w:bottom w:w="80" w:type="dxa"/>
              <w:end w:w="120" w:type="dxa"/>
            </w:tcMar>
            <w:vAlign w:val="top"/>
          </w:tcPr>
          <w:p>
            <w:pPr>
              <w:spacing w:after="40" w:line="276" w:lineRule="auto"/>
            </w:pPr>
            <w:r>
              <w:rPr>
                <w:rFonts w:ascii="Calibri" w:hAnsi="Calibri"/>
                <w:sz w:val="18"/>
              </w:rPr>
              <w:t>High-risk identity action; confirm user and business impact.</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Kill Process</w:t>
            </w:r>
          </w:p>
        </w:tc>
        <w:tc>
          <w:tcPr>
            <w:tcW w:type="dxa" w:w="3000"/>
            <w:tcMar>
              <w:top w:w="80" w:type="dxa"/>
              <w:start w:w="120" w:type="dxa"/>
              <w:bottom w:w="80" w:type="dxa"/>
              <w:end w:w="120" w:type="dxa"/>
            </w:tcMar>
            <w:vAlign w:val="top"/>
          </w:tcPr>
          <w:p>
            <w:pPr>
              <w:spacing w:after="40" w:line="276" w:lineRule="auto"/>
            </w:pPr>
            <w:r>
              <w:rPr>
                <w:rFonts w:ascii="Calibri" w:hAnsi="Calibri"/>
                <w:sz w:val="18"/>
              </w:rPr>
              <w:t>Process name or PID</w:t>
            </w:r>
          </w:p>
        </w:tc>
        <w:tc>
          <w:tcPr>
            <w:tcW w:type="dxa" w:w="4460"/>
            <w:tcMar>
              <w:top w:w="80" w:type="dxa"/>
              <w:start w:w="120" w:type="dxa"/>
              <w:bottom w:w="80" w:type="dxa"/>
              <w:end w:w="120" w:type="dxa"/>
            </w:tcMar>
            <w:vAlign w:val="top"/>
          </w:tcPr>
          <w:p>
            <w:pPr>
              <w:spacing w:after="40" w:line="276" w:lineRule="auto"/>
            </w:pPr>
            <w:r>
              <w:rPr>
                <w:rFonts w:ascii="Calibri" w:hAnsi="Calibri"/>
                <w:sz w:val="18"/>
              </w:rPr>
              <w:t>Can disrupt running workloads; confirm host and process context.</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Isolate Host</w:t>
            </w:r>
          </w:p>
        </w:tc>
        <w:tc>
          <w:tcPr>
            <w:tcW w:type="dxa" w:w="3000"/>
            <w:tcMar>
              <w:top w:w="80" w:type="dxa"/>
              <w:start w:w="120" w:type="dxa"/>
              <w:bottom w:w="80" w:type="dxa"/>
              <w:end w:w="120" w:type="dxa"/>
            </w:tcMar>
            <w:vAlign w:val="top"/>
          </w:tcPr>
          <w:p>
            <w:pPr>
              <w:spacing w:after="40" w:line="276" w:lineRule="auto"/>
            </w:pPr>
            <w:r>
              <w:rPr>
                <w:rFonts w:ascii="Calibri" w:hAnsi="Calibri"/>
                <w:sz w:val="18"/>
              </w:rPr>
              <w:t>Hostname or asset</w:t>
            </w:r>
          </w:p>
        </w:tc>
        <w:tc>
          <w:tcPr>
            <w:tcW w:type="dxa" w:w="4460"/>
            <w:tcMar>
              <w:top w:w="80" w:type="dxa"/>
              <w:start w:w="120" w:type="dxa"/>
              <w:bottom w:w="80" w:type="dxa"/>
              <w:end w:w="120" w:type="dxa"/>
            </w:tcMar>
            <w:vAlign w:val="top"/>
          </w:tcPr>
          <w:p>
            <w:pPr>
              <w:spacing w:after="40" w:line="276" w:lineRule="auto"/>
            </w:pPr>
            <w:r>
              <w:rPr>
                <w:rFonts w:ascii="Calibri" w:hAnsi="Calibri"/>
                <w:sz w:val="18"/>
              </w:rPr>
              <w:t>High operational impact; confirm criticality and business owner.</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Add Firewall Rule</w:t>
            </w:r>
          </w:p>
        </w:tc>
        <w:tc>
          <w:tcPr>
            <w:tcW w:type="dxa" w:w="3000"/>
            <w:tcMar>
              <w:top w:w="80" w:type="dxa"/>
              <w:start w:w="120" w:type="dxa"/>
              <w:bottom w:w="80" w:type="dxa"/>
              <w:end w:w="120" w:type="dxa"/>
            </w:tcMar>
            <w:vAlign w:val="top"/>
          </w:tcPr>
          <w:p>
            <w:pPr>
              <w:spacing w:after="40" w:line="276" w:lineRule="auto"/>
            </w:pPr>
            <w:r>
              <w:rPr>
                <w:rFonts w:ascii="Calibri" w:hAnsi="Calibri"/>
                <w:sz w:val="18"/>
              </w:rPr>
              <w:t>IP, port, protocol, direction</w:t>
            </w:r>
          </w:p>
        </w:tc>
        <w:tc>
          <w:tcPr>
            <w:tcW w:type="dxa" w:w="4460"/>
            <w:tcMar>
              <w:top w:w="80" w:type="dxa"/>
              <w:start w:w="120" w:type="dxa"/>
              <w:bottom w:w="80" w:type="dxa"/>
              <w:end w:w="120" w:type="dxa"/>
            </w:tcMar>
            <w:vAlign w:val="top"/>
          </w:tcPr>
          <w:p>
            <w:pPr>
              <w:spacing w:after="40" w:line="276" w:lineRule="auto"/>
            </w:pPr>
            <w:r>
              <w:rPr>
                <w:rFonts w:ascii="Calibri" w:hAnsi="Calibri"/>
                <w:sz w:val="18"/>
              </w:rPr>
              <w:t>Coordinate with network/security owners and document rollback.</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Quarantine File</w:t>
            </w:r>
          </w:p>
        </w:tc>
        <w:tc>
          <w:tcPr>
            <w:tcW w:type="dxa" w:w="3000"/>
            <w:tcMar>
              <w:top w:w="80" w:type="dxa"/>
              <w:start w:w="120" w:type="dxa"/>
              <w:bottom w:w="80" w:type="dxa"/>
              <w:end w:w="120" w:type="dxa"/>
            </w:tcMar>
            <w:vAlign w:val="top"/>
          </w:tcPr>
          <w:p>
            <w:pPr>
              <w:spacing w:after="40" w:line="276" w:lineRule="auto"/>
            </w:pPr>
            <w:r>
              <w:rPr>
                <w:rFonts w:ascii="Calibri" w:hAnsi="Calibri"/>
                <w:sz w:val="18"/>
              </w:rPr>
              <w:t>File path or hash</w:t>
            </w:r>
          </w:p>
        </w:tc>
        <w:tc>
          <w:tcPr>
            <w:tcW w:type="dxa" w:w="4460"/>
            <w:tcMar>
              <w:top w:w="80" w:type="dxa"/>
              <w:start w:w="120" w:type="dxa"/>
              <w:bottom w:w="80" w:type="dxa"/>
              <w:end w:w="120" w:type="dxa"/>
            </w:tcMar>
            <w:vAlign w:val="top"/>
          </w:tcPr>
          <w:p>
            <w:pPr>
              <w:spacing w:after="40" w:line="276" w:lineRule="auto"/>
            </w:pPr>
            <w:r>
              <w:rPr>
                <w:rFonts w:ascii="Calibri" w:hAnsi="Calibri"/>
                <w:sz w:val="18"/>
              </w:rPr>
              <w:t>Confirm file identity and endpoint scope.</w:t>
            </w:r>
          </w:p>
        </w:tc>
      </w:tr>
      <w:tr>
        <w:tc>
          <w:tcPr>
            <w:tcW w:type="dxa" w:w="1900"/>
            <w:tcMar>
              <w:top w:w="80" w:type="dxa"/>
              <w:start w:w="120" w:type="dxa"/>
              <w:bottom w:w="80" w:type="dxa"/>
              <w:end w:w="120" w:type="dxa"/>
            </w:tcMar>
            <w:vAlign w:val="top"/>
          </w:tcPr>
          <w:p>
            <w:pPr>
              <w:spacing w:after="40" w:line="276" w:lineRule="auto"/>
            </w:pPr>
            <w:r>
              <w:rPr>
                <w:rFonts w:ascii="Calibri" w:hAnsi="Calibri"/>
                <w:sz w:val="18"/>
              </w:rPr>
              <w:t>Future Integration</w:t>
            </w:r>
          </w:p>
        </w:tc>
        <w:tc>
          <w:tcPr>
            <w:tcW w:type="dxa" w:w="3000"/>
            <w:tcMar>
              <w:top w:w="80" w:type="dxa"/>
              <w:start w:w="120" w:type="dxa"/>
              <w:bottom w:w="80" w:type="dxa"/>
              <w:end w:w="120" w:type="dxa"/>
            </w:tcMar>
            <w:vAlign w:val="top"/>
          </w:tcPr>
          <w:p>
            <w:pPr>
              <w:spacing w:after="40" w:line="276" w:lineRule="auto"/>
            </w:pPr>
            <w:r>
              <w:rPr>
                <w:rFonts w:ascii="Calibri" w:hAnsi="Calibri"/>
                <w:sz w:val="18"/>
              </w:rPr>
              <w:t>Provider-specific target</w:t>
            </w:r>
          </w:p>
        </w:tc>
        <w:tc>
          <w:tcPr>
            <w:tcW w:type="dxa" w:w="4460"/>
            <w:tcMar>
              <w:top w:w="80" w:type="dxa"/>
              <w:start w:w="120" w:type="dxa"/>
              <w:bottom w:w="80" w:type="dxa"/>
              <w:end w:w="120" w:type="dxa"/>
            </w:tcMar>
            <w:vAlign w:val="top"/>
          </w:tcPr>
          <w:p>
            <w:pPr>
              <w:spacing w:after="40" w:line="276" w:lineRule="auto"/>
            </w:pPr>
            <w:r>
              <w:rPr>
                <w:rFonts w:ascii="Calibri" w:hAnsi="Calibri"/>
                <w:sz w:val="18"/>
              </w:rPr>
              <w:t>Reserved for SIEM/SOAR relays, Wazuh Active Response, Shuffle, PowerShell, SSH, firewall APIs, EDR, and SOAR.</w:t>
            </w:r>
          </w:p>
        </w:tc>
      </w:tr>
    </w:tbl>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7060"/>
      </w:tblGrid>
      <w:tr>
        <w:tc>
          <w:tcPr>
            <w:tcW w:type="dxa" w:w="2300"/>
            <w:shd w:fill="E8EEF5"/>
            <w:tcMar>
              <w:top w:w="80" w:type="dxa"/>
              <w:start w:w="120" w:type="dxa"/>
              <w:bottom w:w="80" w:type="dxa"/>
              <w:end w:w="120" w:type="dxa"/>
            </w:tcMar>
            <w:vAlign w:val="top"/>
          </w:tcPr>
          <w:p>
            <w:pPr>
              <w:spacing w:after="40" w:line="276" w:lineRule="auto"/>
            </w:pPr>
            <w:r>
              <w:rPr>
                <w:rFonts w:ascii="Calibri" w:hAnsi="Calibri"/>
                <w:b/>
                <w:color w:val="102027"/>
                <w:sz w:val="18"/>
              </w:rPr>
              <w:t>Status</w:t>
            </w:r>
          </w:p>
        </w:tc>
        <w:tc>
          <w:tcPr>
            <w:tcW w:type="dxa" w:w="7060"/>
            <w:shd w:fill="E8EEF5"/>
            <w:tcMar>
              <w:top w:w="80" w:type="dxa"/>
              <w:start w:w="120" w:type="dxa"/>
              <w:bottom w:w="80" w:type="dxa"/>
              <w:end w:w="120" w:type="dxa"/>
            </w:tcMar>
            <w:vAlign w:val="top"/>
          </w:tcPr>
          <w:p>
            <w:pPr>
              <w:spacing w:after="40" w:line="276" w:lineRule="auto"/>
            </w:pPr>
            <w:r>
              <w:rPr>
                <w:rFonts w:ascii="Calibri" w:hAnsi="Calibri"/>
                <w:b/>
                <w:color w:val="102027"/>
                <w:sz w:val="18"/>
              </w:rPr>
              <w:t>Meaning</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Draft</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Action has been prepared but not submitted.</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Pending Approval</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Analyst requested action and Lead/Admin approval is required.</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Approved</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Authorized by Lead or authorized approver.</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Rejected</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Approver declined the request.</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Queued</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Approved action is waiting for execution.</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Executing</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Authorized operator is performing manual or provider-backed execution.</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Executed</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Action completed successfully.</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Failed</w:t>
            </w:r>
          </w:p>
        </w:tc>
        <w:tc>
          <w:tcPr>
            <w:tcW w:type="dxa" w:w="7060"/>
            <w:tcMar>
              <w:top w:w="80" w:type="dxa"/>
              <w:start w:w="120" w:type="dxa"/>
              <w:bottom w:w="80" w:type="dxa"/>
              <w:end w:w="120" w:type="dxa"/>
            </w:tcMar>
            <w:vAlign w:val="top"/>
          </w:tcPr>
          <w:p>
            <w:pPr>
              <w:spacing w:after="40" w:line="276" w:lineRule="auto"/>
            </w:pPr>
            <w:r>
              <w:rPr>
                <w:rFonts w:ascii="Calibri" w:hAnsi="Calibri"/>
                <w:sz w:val="18"/>
              </w:rPr>
              <w:t>Execution attempt failed and error/result is recorded.</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Cancelled</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Action was cancelled before completion.</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Rolled Back</w:t>
            </w:r>
          </w:p>
        </w:tc>
        <w:tc>
          <w:tcPr>
            <w:tcW w:type="dxa" w:w="7060"/>
            <w:tcMar>
              <w:top w:w="80" w:type="dxa"/>
              <w:start w:w="120" w:type="dxa"/>
              <w:bottom w:w="80" w:type="dxa"/>
              <w:end w:w="120" w:type="dxa"/>
            </w:tcMar>
            <w:vAlign w:val="top"/>
          </w:tcPr>
          <w:p>
            <w:pPr>
              <w:spacing w:after="40" w:line="276" w:lineRule="auto"/>
            </w:pPr>
            <w:r>
              <w:rPr>
                <w:rFonts w:ascii="Calibri" w:hAnsi="Calibri"/>
                <w:sz w:val="18"/>
              </w:rPr>
              <w:t>Rollback was performed and result was recorded.</w:t>
            </w:r>
          </w:p>
        </w:tc>
      </w:tr>
    </w:tbl>
    <w:p>
      <w:pPr>
        <w:pStyle w:val="Heading2"/>
      </w:pPr>
      <w:r>
        <w:t>Required Containment Fields</w:t>
      </w:r>
    </w:p>
    <w:p>
      <w:pPr>
        <w:pStyle w:val="ListBullet"/>
      </w:pPr>
      <w:r>
        <w:t>Unique Containment Action ID in CA-000001 format.</w:t>
      </w:r>
    </w:p>
    <w:p>
      <w:pPr>
        <w:pStyle w:val="ListBullet"/>
      </w:pPr>
      <w:r>
        <w:t>Action Type, Target, Asset/Host, Risk Level, Approval Requirement, Reason, Analyst Notes.</w:t>
      </w:r>
    </w:p>
    <w:p>
      <w:pPr>
        <w:pStyle w:val="ListBullet"/>
      </w:pPr>
      <w:r>
        <w:t>Requested By, Approved By, Rejected By, Executed By, Cancelled By, Rolled Back By where applicable.</w:t>
      </w:r>
    </w:p>
    <w:p>
      <w:pPr>
        <w:pStyle w:val="ListBullet"/>
      </w:pPr>
      <w:r>
        <w:t>Created, approved, rejected, started, completed, cancelled, and rolled back timestamps as applicable.</w:t>
      </w:r>
    </w:p>
    <w:p>
      <w:pPr>
        <w:pStyle w:val="ListBullet"/>
      </w:pPr>
      <w:r>
        <w:t>Execution Provider, Execution Result, Execution History, Rollback Supported, Rollback Status, and Rollback Result.</w:t>
      </w:r>
    </w:p>
    <w:p>
      <w:pPr>
        <w:pStyle w:val="Heading2"/>
      </w:pPr>
      <w:r>
        <w:t>SOC Workflow</w:t>
      </w:r>
    </w:p>
    <w:p>
      <w:pPr>
        <w:pStyle w:val="ListNumber"/>
      </w:pPr>
      <w:r>
        <w:t>Analyst selects an IOC or enters a target in the case containment request panel.</w:t>
      </w:r>
    </w:p>
    <w:p>
      <w:pPr>
        <w:pStyle w:val="ListNumber"/>
      </w:pPr>
      <w:r>
        <w:t>AstoraSOC shows containment preview: selected IOC, affected asset, primary host, asset criticality, provider, related alerts, and impact summary.</w:t>
      </w:r>
    </w:p>
    <w:p>
      <w:pPr>
        <w:pStyle w:val="ListNumber"/>
      </w:pPr>
      <w:r>
        <w:t>Analyst submits the request with reason, risk level, approval requirement, and notes.</w:t>
      </w:r>
    </w:p>
    <w:p>
      <w:pPr>
        <w:pStyle w:val="ListNumber"/>
      </w:pPr>
      <w:r>
        <w:t>AstoraSOC creates a containment record, writes timeline/audit entries, and notifies Leads/Admins if approval is required.</w:t>
      </w:r>
    </w:p>
    <w:p>
      <w:pPr>
        <w:pStyle w:val="ListNumber"/>
      </w:pPr>
      <w:r>
        <w:t>Lead approves, rejects, or cancels. Decision is written to timeline and audit logs.</w:t>
      </w:r>
    </w:p>
    <w:p>
      <w:pPr>
        <w:pStyle w:val="ListNumber"/>
      </w:pPr>
      <w:r>
        <w:t>After approval, authorized Admin or Lead manually executes the action and records result, notes, and success/failure details.</w:t>
      </w:r>
    </w:p>
    <w:p>
      <w:pPr>
        <w:pStyle w:val="ListNumber"/>
      </w:pPr>
      <w:r>
        <w:t>If rollback is supported and needed, authorized operator records rollback result and AstoraSOC preserves the history.</w:t>
      </w:r>
    </w:p>
    <w:p>
      <w:pPr>
        <w:pStyle w:val="ListNumber"/>
      </w:pPr>
      <w:r>
        <w:t>Reports include containment action history, approvals, execution results, rollback records, and timestamps.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7060"/>
      </w:tblGrid>
      <w:tr>
        <w:tc>
          <w:tcPr>
            <w:tcW w:type="dxa" w:w="2300"/>
            <w:shd w:fill="E8EEF5"/>
            <w:tcMar>
              <w:top w:w="80" w:type="dxa"/>
              <w:start w:w="120" w:type="dxa"/>
              <w:bottom w:w="80" w:type="dxa"/>
              <w:end w:w="120" w:type="dxa"/>
            </w:tcMar>
            <w:vAlign w:val="top"/>
          </w:tcPr>
          <w:p>
            <w:pPr>
              <w:spacing w:after="40" w:line="276" w:lineRule="auto"/>
            </w:pPr>
            <w:r>
              <w:rPr>
                <w:rFonts w:ascii="Calibri" w:hAnsi="Calibri"/>
                <w:b/>
                <w:color w:val="102027"/>
                <w:sz w:val="18"/>
              </w:rPr>
              <w:t>Future Provider</w:t>
            </w:r>
          </w:p>
        </w:tc>
        <w:tc>
          <w:tcPr>
            <w:tcW w:type="dxa" w:w="7060"/>
            <w:shd w:fill="E8EEF5"/>
            <w:tcMar>
              <w:top w:w="80" w:type="dxa"/>
              <w:start w:w="120" w:type="dxa"/>
              <w:bottom w:w="80" w:type="dxa"/>
              <w:end w:w="120" w:type="dxa"/>
            </w:tcMar>
            <w:vAlign w:val="top"/>
          </w:tcPr>
          <w:p>
            <w:pPr>
              <w:spacing w:after="40" w:line="276" w:lineRule="auto"/>
            </w:pPr>
            <w:r>
              <w:rPr>
                <w:rFonts w:ascii="Calibri" w:hAnsi="Calibri"/>
                <w:b/>
                <w:color w:val="102027"/>
                <w:sz w:val="18"/>
              </w:rPr>
              <w:t>Integration Pattern</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SIEM/SOAR Relay</w:t>
            </w:r>
          </w:p>
        </w:tc>
        <w:tc>
          <w:tcPr>
            <w:tcW w:type="dxa" w:w="7060"/>
            <w:tcMar>
              <w:top w:w="80" w:type="dxa"/>
              <w:start w:w="120" w:type="dxa"/>
              <w:bottom w:w="80" w:type="dxa"/>
              <w:end w:w="120" w:type="dxa"/>
            </w:tcMar>
            <w:vAlign w:val="top"/>
          </w:tcPr>
          <w:p>
            <w:pPr>
              <w:spacing w:after="40" w:line="276" w:lineRule="auto"/>
            </w:pPr>
            <w:r>
              <w:rPr>
                <w:rFonts w:ascii="Calibri" w:hAnsi="Calibri"/>
                <w:sz w:val="18"/>
              </w:rPr>
              <w:t>Dispatch approved provider-neutral response payloads to connected SIEM/SOAR workflows.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Wazuh Active Response</w:t>
            </w:r>
          </w:p>
        </w:tc>
        <w:tc>
          <w:tcPr>
            <w:tcW w:type="dxa" w:w="7060"/>
            <w:tcMar>
              <w:top w:w="80" w:type="dxa"/>
              <w:start w:w="120" w:type="dxa"/>
              <w:bottom w:w="80" w:type="dxa"/>
              <w:end w:w="120" w:type="dxa"/>
            </w:tcMar>
            <w:vAlign w:val="top"/>
          </w:tcPr>
          <w:p>
            <w:pPr>
              <w:spacing w:after="40" w:line="276" w:lineRule="auto"/>
            </w:pPr>
            <w:r>
              <w:rPr>
                <w:rFonts w:ascii="Calibri" w:hAnsi="Calibri"/>
                <w:sz w:val="18"/>
              </w:rPr>
              <w:t>Map approved actions to active-response commands with host/agent scope and return execution output when Wazuh is used.</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Shuffle</w:t>
            </w:r>
          </w:p>
        </w:tc>
        <w:tc>
          <w:tcPr>
            <w:tcW w:type="dxa" w:w="7060"/>
            <w:tcMar>
              <w:top w:w="80" w:type="dxa"/>
              <w:start w:w="120" w:type="dxa"/>
              <w:bottom w:w="80" w:type="dxa"/>
              <w:end w:w="120" w:type="dxa"/>
            </w:tcMar>
            <w:vAlign w:val="top"/>
          </w:tcPr>
          <w:p>
            <w:pPr>
              <w:spacing w:after="40" w:line="276" w:lineRule="auto"/>
            </w:pPr>
            <w:r>
              <w:rPr>
                <w:rFonts w:ascii="Calibri" w:hAnsi="Calibri"/>
                <w:sz w:val="18"/>
              </w:rPr>
              <w:t>Trigger workflow webhook with case/action payload and store playbook response.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PowerShell</w:t>
            </w:r>
          </w:p>
        </w:tc>
        <w:tc>
          <w:tcPr>
            <w:tcW w:type="dxa" w:w="7060"/>
            <w:tcMar>
              <w:top w:w="80" w:type="dxa"/>
              <w:start w:w="120" w:type="dxa"/>
              <w:bottom w:w="80" w:type="dxa"/>
              <w:end w:w="120" w:type="dxa"/>
            </w:tcMar>
            <w:vAlign w:val="top"/>
          </w:tcPr>
          <w:p>
            <w:pPr>
              <w:spacing w:after="40" w:line="276" w:lineRule="auto"/>
            </w:pPr>
            <w:r>
              <w:rPr>
                <w:rFonts w:ascii="Calibri" w:hAnsi="Calibri"/>
                <w:sz w:val="18"/>
              </w:rPr>
              <w:t>Execute approved Windows response commands through a controlled runner.</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SSH</w:t>
            </w:r>
          </w:p>
        </w:tc>
        <w:tc>
          <w:tcPr>
            <w:tcW w:type="dxa" w:w="7060"/>
            <w:tcMar>
              <w:top w:w="80" w:type="dxa"/>
              <w:start w:w="120" w:type="dxa"/>
              <w:bottom w:w="80" w:type="dxa"/>
              <w:end w:w="120" w:type="dxa"/>
            </w:tcMar>
            <w:vAlign w:val="top"/>
          </w:tcPr>
          <w:p>
            <w:pPr>
              <w:spacing w:after="40" w:line="276" w:lineRule="auto"/>
            </w:pPr>
            <w:r>
              <w:rPr>
                <w:rFonts w:ascii="Calibri" w:hAnsi="Calibri"/>
                <w:sz w:val="18"/>
              </w:rPr>
              <w:t>Run approved Linux/network commands through credential-safe executor.</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Firewall APIs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Create or remove block rules through vendor API adapters.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EDR Platforms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Isolate host, kill process, quarantine file, or collect telemetry through EDR APIs.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SOAR Playbooks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Dispatch provider-neutral action payloads into enterprise orchestration tooling.</w:t>
            </w:r>
          </w:p>
        </w:tc>
      </w:tr>
    </w:tbl>
    <w:p>
      <w:pPr>
        <w:pStyle w:val="Heading1"/>
      </w:pPr>
      <w:r>
        <w:t>16. Email and In-App Notifications</w:t>
      </w:r>
    </w:p>
    <w:p>
      <w:r>
        <w:t>AstoraSOC combines in-app notification bell records with optional HTML email notifications. Email destinations use the email stored in each user profile, with pending email changes requiring administrator approval before delivery uses the new address.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7060"/>
      </w:tblGrid>
      <w:tr>
        <w:tc>
          <w:tcPr>
            <w:tcW w:type="dxa" w:w="2300"/>
            <w:shd w:fill="E8EEF5"/>
            <w:tcMar>
              <w:top w:w="80" w:type="dxa"/>
              <w:start w:w="120" w:type="dxa"/>
              <w:bottom w:w="80" w:type="dxa"/>
              <w:end w:w="120" w:type="dxa"/>
            </w:tcMar>
            <w:vAlign w:val="top"/>
          </w:tcPr>
          <w:p>
            <w:pPr>
              <w:spacing w:after="40" w:line="276" w:lineRule="auto"/>
            </w:pPr>
            <w:r>
              <w:rPr>
                <w:rFonts w:ascii="Calibri" w:hAnsi="Calibri"/>
                <w:b/>
                <w:color w:val="102027"/>
                <w:sz w:val="18"/>
              </w:rPr>
              <w:t>Setting</w:t>
            </w:r>
          </w:p>
        </w:tc>
        <w:tc>
          <w:tcPr>
            <w:tcW w:type="dxa" w:w="7060"/>
            <w:shd w:fill="E8EEF5"/>
            <w:tcMar>
              <w:top w:w="80" w:type="dxa"/>
              <w:start w:w="120" w:type="dxa"/>
              <w:bottom w:w="80" w:type="dxa"/>
              <w:end w:w="120" w:type="dxa"/>
            </w:tcMar>
            <w:vAlign w:val="top"/>
          </w:tcPr>
          <w:p>
            <w:pPr>
              <w:spacing w:after="40" w:line="276" w:lineRule="auto"/>
            </w:pPr>
            <w:r>
              <w:rPr>
                <w:rFonts w:ascii="Calibri" w:hAnsi="Calibri"/>
                <w:b/>
                <w:color w:val="102027"/>
                <w:sz w:val="18"/>
              </w:rPr>
              <w:t>Purpose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SMTP Host</w:t>
            </w:r>
          </w:p>
        </w:tc>
        <w:tc>
          <w:tcPr>
            <w:tcW w:type="dxa" w:w="7060"/>
            <w:tcMar>
              <w:top w:w="80" w:type="dxa"/>
              <w:start w:w="120" w:type="dxa"/>
              <w:bottom w:w="80" w:type="dxa"/>
              <w:end w:w="120" w:type="dxa"/>
            </w:tcMar>
            <w:vAlign w:val="top"/>
          </w:tcPr>
          <w:p>
            <w:pPr>
              <w:spacing w:after="40" w:line="276" w:lineRule="auto"/>
            </w:pPr>
            <w:r>
              <w:rPr>
                <w:rFonts w:ascii="Calibri" w:hAnsi="Calibri"/>
                <w:sz w:val="18"/>
              </w:rPr>
              <w:t>Mail server hostname.</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SMTP Port</w:t>
            </w:r>
          </w:p>
        </w:tc>
        <w:tc>
          <w:tcPr>
            <w:tcW w:type="dxa" w:w="7060"/>
            <w:tcMar>
              <w:top w:w="80" w:type="dxa"/>
              <w:start w:w="120" w:type="dxa"/>
              <w:bottom w:w="80" w:type="dxa"/>
              <w:end w:w="120" w:type="dxa"/>
            </w:tcMar>
            <w:vAlign w:val="top"/>
          </w:tcPr>
          <w:p>
            <w:pPr>
              <w:spacing w:after="40" w:line="276" w:lineRule="auto"/>
            </w:pPr>
            <w:r>
              <w:rPr>
                <w:rFonts w:ascii="Calibri" w:hAnsi="Calibri"/>
                <w:sz w:val="18"/>
              </w:rPr>
              <w:t>Mail server port, commonly 587 for STARTTLS or 465 for SSL.</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SMTP Username</w:t>
            </w:r>
          </w:p>
        </w:tc>
        <w:tc>
          <w:tcPr>
            <w:tcW w:type="dxa" w:w="7060"/>
            <w:tcMar>
              <w:top w:w="80" w:type="dxa"/>
              <w:start w:w="120" w:type="dxa"/>
              <w:bottom w:w="80" w:type="dxa"/>
              <w:end w:w="120" w:type="dxa"/>
            </w:tcMar>
            <w:vAlign w:val="top"/>
          </w:tcPr>
          <w:p>
            <w:pPr>
              <w:spacing w:after="40" w:line="276" w:lineRule="auto"/>
            </w:pPr>
            <w:r>
              <w:rPr>
                <w:rFonts w:ascii="Calibri" w:hAnsi="Calibri"/>
                <w:sz w:val="18"/>
              </w:rPr>
              <w:t>Authentication username when required.</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SMTP Password</w:t>
            </w:r>
          </w:p>
        </w:tc>
        <w:tc>
          <w:tcPr>
            <w:tcW w:type="dxa" w:w="7060"/>
            <w:tcMar>
              <w:top w:w="80" w:type="dxa"/>
              <w:start w:w="120" w:type="dxa"/>
              <w:bottom w:w="80" w:type="dxa"/>
              <w:end w:w="120" w:type="dxa"/>
            </w:tcMar>
            <w:vAlign w:val="top"/>
          </w:tcPr>
          <w:p>
            <w:pPr>
              <w:spacing w:after="40" w:line="276" w:lineRule="auto"/>
            </w:pPr>
            <w:r>
              <w:rPr>
                <w:rFonts w:ascii="Calibri" w:hAnsi="Calibri"/>
                <w:sz w:val="18"/>
              </w:rPr>
              <w:t>Encrypted at rest with AstoraSOC encryption helper.</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TLS/SSL Options</w:t>
            </w:r>
          </w:p>
        </w:tc>
        <w:tc>
          <w:tcPr>
            <w:tcW w:type="dxa" w:w="7060"/>
            <w:tcMar>
              <w:top w:w="80" w:type="dxa"/>
              <w:start w:w="120" w:type="dxa"/>
              <w:bottom w:w="80" w:type="dxa"/>
              <w:end w:w="120" w:type="dxa"/>
            </w:tcMar>
            <w:vAlign w:val="top"/>
          </w:tcPr>
          <w:p>
            <w:pPr>
              <w:spacing w:after="40" w:line="276" w:lineRule="auto"/>
            </w:pPr>
            <w:r>
              <w:rPr>
                <w:rFonts w:ascii="Calibri" w:hAnsi="Calibri"/>
                <w:sz w:val="18"/>
              </w:rPr>
              <w:t>STARTTLS or SSL transport security modes.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From Name</w:t>
            </w:r>
          </w:p>
        </w:tc>
        <w:tc>
          <w:tcPr>
            <w:tcW w:type="dxa" w:w="7060"/>
            <w:tcMar>
              <w:top w:w="80" w:type="dxa"/>
              <w:start w:w="120" w:type="dxa"/>
              <w:bottom w:w="80" w:type="dxa"/>
              <w:end w:w="120" w:type="dxa"/>
            </w:tcMar>
            <w:vAlign w:val="top"/>
          </w:tcPr>
          <w:p>
            <w:pPr>
              <w:spacing w:after="40" w:line="276" w:lineRule="auto"/>
            </w:pPr>
            <w:r>
              <w:rPr>
                <w:rFonts w:ascii="Calibri" w:hAnsi="Calibri"/>
                <w:sz w:val="18"/>
              </w:rPr>
              <w:t>Display name for AstoraSOC emails.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From Email</w:t>
            </w:r>
          </w:p>
        </w:tc>
        <w:tc>
          <w:tcPr>
            <w:tcW w:type="dxa" w:w="7060"/>
            <w:tcMar>
              <w:top w:w="80" w:type="dxa"/>
              <w:start w:w="120" w:type="dxa"/>
              <w:bottom w:w="80" w:type="dxa"/>
              <w:end w:w="120" w:type="dxa"/>
            </w:tcMar>
            <w:vAlign w:val="top"/>
          </w:tcPr>
          <w:p>
            <w:pPr>
              <w:spacing w:after="40" w:line="276" w:lineRule="auto"/>
            </w:pPr>
            <w:r>
              <w:rPr>
                <w:rFonts w:ascii="Calibri" w:hAnsi="Calibri"/>
                <w:sz w:val="18"/>
              </w:rPr>
              <w:t>Sender address for notifications.</w:t>
            </w:r>
          </w:p>
        </w:tc>
      </w:tr>
      <w:tr>
        <w:tc>
          <w:tcPr>
            <w:tcW w:type="dxa" w:w="2300"/>
            <w:tcMar>
              <w:top w:w="80" w:type="dxa"/>
              <w:start w:w="120" w:type="dxa"/>
              <w:bottom w:w="80" w:type="dxa"/>
              <w:end w:w="120" w:type="dxa"/>
            </w:tcMar>
            <w:vAlign w:val="top"/>
          </w:tcPr>
          <w:p>
            <w:pPr>
              <w:spacing w:after="40" w:line="276" w:lineRule="auto"/>
            </w:pPr>
            <w:r>
              <w:rPr>
                <w:rFonts w:ascii="Calibri" w:hAnsi="Calibri"/>
                <w:sz w:val="18"/>
              </w:rPr>
              <w:t>Test Email</w:t>
            </w:r>
          </w:p>
        </w:tc>
        <w:tc>
          <w:tcPr>
            <w:tcW w:type="dxa" w:w="7060"/>
            <w:tcMar>
              <w:top w:w="80" w:type="dxa"/>
              <w:start w:w="120" w:type="dxa"/>
              <w:bottom w:w="80" w:type="dxa"/>
              <w:end w:w="120" w:type="dxa"/>
            </w:tcMar>
            <w:vAlign w:val="top"/>
          </w:tcPr>
          <w:p>
            <w:pPr>
              <w:spacing w:after="40" w:line="276" w:lineRule="auto"/>
            </w:pPr>
            <w:r>
              <w:rPr>
                <w:rFonts w:ascii="Calibri" w:hAnsi="Calibri"/>
                <w:sz w:val="18"/>
              </w:rPr>
              <w:t>Recipient for validation through Send Test Email.</w:t>
            </w:r>
          </w:p>
        </w:tc>
      </w:tr>
    </w:tbl>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00"/>
        <w:gridCol w:w="2300"/>
        <w:gridCol w:w="2500"/>
        <w:gridCol w:w="1760"/>
      </w:tblGrid>
      <w:tr>
        <w:tc>
          <w:tcPr>
            <w:tcW w:type="dxa" w:w="2800"/>
            <w:shd w:fill="E8EEF5"/>
            <w:tcMar>
              <w:top w:w="80" w:type="dxa"/>
              <w:start w:w="120" w:type="dxa"/>
              <w:bottom w:w="80" w:type="dxa"/>
              <w:end w:w="120" w:type="dxa"/>
            </w:tcMar>
            <w:vAlign w:val="top"/>
          </w:tcPr>
          <w:p>
            <w:pPr>
              <w:spacing w:after="40" w:line="276" w:lineRule="auto"/>
            </w:pPr>
            <w:r>
              <w:rPr>
                <w:rFonts w:ascii="Calibri" w:hAnsi="Calibri"/>
                <w:b/>
                <w:color w:val="102027"/>
                <w:sz w:val="18"/>
              </w:rPr>
              <w:t>Event</w:t>
            </w:r>
          </w:p>
        </w:tc>
        <w:tc>
          <w:tcPr>
            <w:tcW w:type="dxa" w:w="2300"/>
            <w:shd w:fill="E8EEF5"/>
            <w:tcMar>
              <w:top w:w="80" w:type="dxa"/>
              <w:start w:w="120" w:type="dxa"/>
              <w:bottom w:w="80" w:type="dxa"/>
              <w:end w:w="120" w:type="dxa"/>
            </w:tcMar>
            <w:vAlign w:val="top"/>
          </w:tcPr>
          <w:p>
            <w:pPr>
              <w:spacing w:after="40" w:line="276" w:lineRule="auto"/>
            </w:pPr>
            <w:r>
              <w:rPr>
                <w:rFonts w:ascii="Calibri" w:hAnsi="Calibri"/>
                <w:b/>
                <w:color w:val="102027"/>
                <w:sz w:val="18"/>
              </w:rPr>
              <w:t>Recipients</w:t>
            </w:r>
          </w:p>
        </w:tc>
        <w:tc>
          <w:tcPr>
            <w:tcW w:type="dxa" w:w="2500"/>
            <w:shd w:fill="E8EEF5"/>
            <w:tcMar>
              <w:top w:w="80" w:type="dxa"/>
              <w:start w:w="120" w:type="dxa"/>
              <w:bottom w:w="80" w:type="dxa"/>
              <w:end w:w="120" w:type="dxa"/>
            </w:tcMar>
            <w:vAlign w:val="top"/>
          </w:tcPr>
          <w:p>
            <w:pPr>
              <w:spacing w:after="40" w:line="276" w:lineRule="auto"/>
            </w:pPr>
            <w:r>
              <w:rPr>
                <w:rFonts w:ascii="Calibri" w:hAnsi="Calibri"/>
                <w:b/>
                <w:color w:val="102027"/>
                <w:sz w:val="18"/>
              </w:rPr>
              <w:t>Email Title</w:t>
            </w:r>
          </w:p>
        </w:tc>
        <w:tc>
          <w:tcPr>
            <w:tcW w:type="dxa" w:w="1760"/>
            <w:shd w:fill="E8EEF5"/>
            <w:tcMar>
              <w:top w:w="80" w:type="dxa"/>
              <w:start w:w="120" w:type="dxa"/>
              <w:bottom w:w="80" w:type="dxa"/>
              <w:end w:w="120" w:type="dxa"/>
            </w:tcMar>
            <w:vAlign w:val="top"/>
          </w:tcPr>
          <w:p>
            <w:pPr>
              <w:spacing w:after="40" w:line="276" w:lineRule="auto"/>
            </w:pPr>
            <w:r>
              <w:rPr>
                <w:rFonts w:ascii="Calibri" w:hAnsi="Calibri"/>
                <w:b/>
                <w:color w:val="102027"/>
                <w:sz w:val="18"/>
              </w:rPr>
              <w:t>Action Button</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Junior Analyst sends alert for review</w:t>
            </w:r>
          </w:p>
        </w:tc>
        <w:tc>
          <w:tcPr>
            <w:tcW w:type="dxa" w:w="2300"/>
            <w:tcMar>
              <w:top w:w="80" w:type="dxa"/>
              <w:start w:w="120" w:type="dxa"/>
              <w:bottom w:w="80" w:type="dxa"/>
              <w:end w:w="120" w:type="dxa"/>
            </w:tcMar>
            <w:vAlign w:val="top"/>
          </w:tcPr>
          <w:p>
            <w:pPr>
              <w:spacing w:after="40" w:line="276" w:lineRule="auto"/>
            </w:pPr>
            <w:r>
              <w:rPr>
                <w:rFonts w:ascii="Calibri" w:hAnsi="Calibri"/>
                <w:sz w:val="18"/>
              </w:rPr>
              <w:t>All Lead Analysts</w:t>
            </w:r>
          </w:p>
        </w:tc>
        <w:tc>
          <w:tcPr>
            <w:tcW w:type="dxa" w:w="2500"/>
            <w:tcMar>
              <w:top w:w="80" w:type="dxa"/>
              <w:start w:w="120" w:type="dxa"/>
              <w:bottom w:w="80" w:type="dxa"/>
              <w:end w:w="120" w:type="dxa"/>
            </w:tcMar>
            <w:vAlign w:val="top"/>
          </w:tcPr>
          <w:p>
            <w:pPr>
              <w:spacing w:after="40" w:line="276" w:lineRule="auto"/>
            </w:pPr>
            <w:r>
              <w:rPr>
                <w:rFonts w:ascii="Calibri" w:hAnsi="Calibri"/>
                <w:sz w:val="18"/>
              </w:rPr>
              <w:t>Alert Review Required</w:t>
            </w:r>
          </w:p>
        </w:tc>
        <w:tc>
          <w:tcPr>
            <w:tcW w:type="dxa" w:w="1760"/>
            <w:tcMar>
              <w:top w:w="80" w:type="dxa"/>
              <w:start w:w="120" w:type="dxa"/>
              <w:bottom w:w="80" w:type="dxa"/>
              <w:end w:w="120" w:type="dxa"/>
            </w:tcMar>
            <w:vAlign w:val="top"/>
          </w:tcPr>
          <w:p>
            <w:pPr>
              <w:spacing w:after="40" w:line="276" w:lineRule="auto"/>
            </w:pPr>
            <w:r>
              <w:rPr>
                <w:rFonts w:ascii="Calibri" w:hAnsi="Calibri"/>
                <w:sz w:val="18"/>
              </w:rPr>
              <w:t>Review Alert</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Lead assigns case to Analyst</w:t>
            </w:r>
          </w:p>
        </w:tc>
        <w:tc>
          <w:tcPr>
            <w:tcW w:type="dxa" w:w="2300"/>
            <w:tcMar>
              <w:top w:w="80" w:type="dxa"/>
              <w:start w:w="120" w:type="dxa"/>
              <w:bottom w:w="80" w:type="dxa"/>
              <w:end w:w="120" w:type="dxa"/>
            </w:tcMar>
            <w:vAlign w:val="top"/>
          </w:tcPr>
          <w:p>
            <w:pPr>
              <w:spacing w:after="40" w:line="276" w:lineRule="auto"/>
            </w:pPr>
            <w:r>
              <w:rPr>
                <w:rFonts w:ascii="Calibri" w:hAnsi="Calibri"/>
                <w:sz w:val="18"/>
              </w:rPr>
              <w:t>Assigned Analyst</w:t>
            </w:r>
          </w:p>
        </w:tc>
        <w:tc>
          <w:tcPr>
            <w:tcW w:type="dxa" w:w="2500"/>
            <w:tcMar>
              <w:top w:w="80" w:type="dxa"/>
              <w:start w:w="120" w:type="dxa"/>
              <w:bottom w:w="80" w:type="dxa"/>
              <w:end w:w="120" w:type="dxa"/>
            </w:tcMar>
            <w:vAlign w:val="top"/>
          </w:tcPr>
          <w:p>
            <w:pPr>
              <w:spacing w:after="40" w:line="276" w:lineRule="auto"/>
            </w:pPr>
            <w:r>
              <w:rPr>
                <w:rFonts w:ascii="Calibri" w:hAnsi="Calibri"/>
                <w:sz w:val="18"/>
              </w:rPr>
              <w:t>Case Assigned</w:t>
            </w:r>
          </w:p>
        </w:tc>
        <w:tc>
          <w:tcPr>
            <w:tcW w:type="dxa" w:w="1760"/>
            <w:tcMar>
              <w:top w:w="80" w:type="dxa"/>
              <w:start w:w="120" w:type="dxa"/>
              <w:bottom w:w="80" w:type="dxa"/>
              <w:end w:w="120" w:type="dxa"/>
            </w:tcMar>
            <w:vAlign w:val="top"/>
          </w:tcPr>
          <w:p>
            <w:pPr>
              <w:spacing w:after="40" w:line="276" w:lineRule="auto"/>
            </w:pPr>
            <w:r>
              <w:rPr>
                <w:rFonts w:ascii="Calibri" w:hAnsi="Calibri"/>
                <w:sz w:val="18"/>
              </w:rPr>
              <w:t>Open Case</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Analyst requests closure review</w:t>
            </w:r>
          </w:p>
        </w:tc>
        <w:tc>
          <w:tcPr>
            <w:tcW w:type="dxa" w:w="2300"/>
            <w:tcMar>
              <w:top w:w="80" w:type="dxa"/>
              <w:start w:w="120" w:type="dxa"/>
              <w:bottom w:w="80" w:type="dxa"/>
              <w:end w:w="120" w:type="dxa"/>
            </w:tcMar>
            <w:vAlign w:val="top"/>
          </w:tcPr>
          <w:p>
            <w:pPr>
              <w:spacing w:after="40" w:line="276" w:lineRule="auto"/>
            </w:pPr>
            <w:r>
              <w:rPr>
                <w:rFonts w:ascii="Calibri" w:hAnsi="Calibri"/>
                <w:sz w:val="18"/>
              </w:rPr>
              <w:t>Assigned Lead/Lead group</w:t>
            </w:r>
          </w:p>
        </w:tc>
        <w:tc>
          <w:tcPr>
            <w:tcW w:type="dxa" w:w="2500"/>
            <w:tcMar>
              <w:top w:w="80" w:type="dxa"/>
              <w:start w:w="120" w:type="dxa"/>
              <w:bottom w:w="80" w:type="dxa"/>
              <w:end w:w="120" w:type="dxa"/>
            </w:tcMar>
            <w:vAlign w:val="top"/>
          </w:tcPr>
          <w:p>
            <w:pPr>
              <w:spacing w:after="40" w:line="276" w:lineRule="auto"/>
            </w:pPr>
            <w:r>
              <w:rPr>
                <w:rFonts w:ascii="Calibri" w:hAnsi="Calibri"/>
                <w:sz w:val="18"/>
              </w:rPr>
              <w:t>Closure Review Requested</w:t>
            </w:r>
          </w:p>
        </w:tc>
        <w:tc>
          <w:tcPr>
            <w:tcW w:type="dxa" w:w="1760"/>
            <w:tcMar>
              <w:top w:w="80" w:type="dxa"/>
              <w:start w:w="120" w:type="dxa"/>
              <w:bottom w:w="80" w:type="dxa"/>
              <w:end w:w="120" w:type="dxa"/>
            </w:tcMar>
            <w:vAlign w:val="top"/>
          </w:tcPr>
          <w:p>
            <w:pPr>
              <w:spacing w:after="40" w:line="276" w:lineRule="auto"/>
            </w:pPr>
            <w:r>
              <w:rPr>
                <w:rFonts w:ascii="Calibri" w:hAnsi="Calibri"/>
                <w:sz w:val="18"/>
              </w:rPr>
              <w:t>View Investigation</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Containment approval requested</w:t>
            </w:r>
          </w:p>
        </w:tc>
        <w:tc>
          <w:tcPr>
            <w:tcW w:type="dxa" w:w="2300"/>
            <w:tcMar>
              <w:top w:w="80" w:type="dxa"/>
              <w:start w:w="120" w:type="dxa"/>
              <w:bottom w:w="80" w:type="dxa"/>
              <w:end w:w="120" w:type="dxa"/>
            </w:tcMar>
            <w:vAlign w:val="top"/>
          </w:tcPr>
          <w:p>
            <w:pPr>
              <w:spacing w:after="40" w:line="276" w:lineRule="auto"/>
            </w:pPr>
            <w:r>
              <w:rPr>
                <w:rFonts w:ascii="Calibri" w:hAnsi="Calibri"/>
                <w:sz w:val="18"/>
              </w:rPr>
              <w:t>Leads and Administrators</w:t>
            </w:r>
          </w:p>
        </w:tc>
        <w:tc>
          <w:tcPr>
            <w:tcW w:type="dxa" w:w="2500"/>
            <w:tcMar>
              <w:top w:w="80" w:type="dxa"/>
              <w:start w:w="120" w:type="dxa"/>
              <w:bottom w:w="80" w:type="dxa"/>
              <w:end w:w="120" w:type="dxa"/>
            </w:tcMar>
            <w:vAlign w:val="top"/>
          </w:tcPr>
          <w:p>
            <w:pPr>
              <w:spacing w:after="40" w:line="276" w:lineRule="auto"/>
            </w:pPr>
            <w:r>
              <w:rPr>
                <w:rFonts w:ascii="Calibri" w:hAnsi="Calibri"/>
                <w:sz w:val="18"/>
              </w:rPr>
              <w:t>Containment Approval Required</w:t>
            </w:r>
          </w:p>
        </w:tc>
        <w:tc>
          <w:tcPr>
            <w:tcW w:type="dxa" w:w="1760"/>
            <w:tcMar>
              <w:top w:w="80" w:type="dxa"/>
              <w:start w:w="120" w:type="dxa"/>
              <w:bottom w:w="80" w:type="dxa"/>
              <w:end w:w="120" w:type="dxa"/>
            </w:tcMar>
            <w:vAlign w:val="top"/>
          </w:tcPr>
          <w:p>
            <w:pPr>
              <w:spacing w:after="40" w:line="276" w:lineRule="auto"/>
            </w:pPr>
            <w:r>
              <w:rPr>
                <w:rFonts w:ascii="Calibri" w:hAnsi="Calibri"/>
                <w:sz w:val="18"/>
              </w:rPr>
              <w:t>Approve Request</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Containment approved or rejected</w:t>
            </w:r>
          </w:p>
        </w:tc>
        <w:tc>
          <w:tcPr>
            <w:tcW w:type="dxa" w:w="2300"/>
            <w:tcMar>
              <w:top w:w="80" w:type="dxa"/>
              <w:start w:w="120" w:type="dxa"/>
              <w:bottom w:w="80" w:type="dxa"/>
              <w:end w:w="120" w:type="dxa"/>
            </w:tcMar>
            <w:vAlign w:val="top"/>
          </w:tcPr>
          <w:p>
            <w:pPr>
              <w:spacing w:after="40" w:line="276" w:lineRule="auto"/>
            </w:pPr>
            <w:r>
              <w:rPr>
                <w:rFonts w:ascii="Calibri" w:hAnsi="Calibri"/>
                <w:sz w:val="18"/>
              </w:rPr>
              <w:t>Requesting Analyst</w:t>
            </w:r>
          </w:p>
        </w:tc>
        <w:tc>
          <w:tcPr>
            <w:tcW w:type="dxa" w:w="2500"/>
            <w:tcMar>
              <w:top w:w="80" w:type="dxa"/>
              <w:start w:w="120" w:type="dxa"/>
              <w:bottom w:w="80" w:type="dxa"/>
              <w:end w:w="120" w:type="dxa"/>
            </w:tcMar>
            <w:vAlign w:val="top"/>
          </w:tcPr>
          <w:p>
            <w:pPr>
              <w:spacing w:after="40" w:line="276" w:lineRule="auto"/>
            </w:pPr>
            <w:r>
              <w:rPr>
                <w:rFonts w:ascii="Calibri" w:hAnsi="Calibri"/>
                <w:sz w:val="18"/>
              </w:rPr>
              <w:t>Containment Approved / Rejected</w:t>
            </w:r>
          </w:p>
        </w:tc>
        <w:tc>
          <w:tcPr>
            <w:tcW w:type="dxa" w:w="1760"/>
            <w:tcMar>
              <w:top w:w="80" w:type="dxa"/>
              <w:start w:w="120" w:type="dxa"/>
              <w:bottom w:w="80" w:type="dxa"/>
              <w:end w:w="120" w:type="dxa"/>
            </w:tcMar>
            <w:vAlign w:val="top"/>
          </w:tcPr>
          <w:p>
            <w:pPr>
              <w:spacing w:after="40" w:line="276" w:lineRule="auto"/>
            </w:pPr>
            <w:r>
              <w:rPr>
                <w:rFonts w:ascii="Calibri" w:hAnsi="Calibri"/>
                <w:sz w:val="18"/>
              </w:rPr>
              <w:t>View Investigation</w:t>
            </w:r>
          </w:p>
        </w:tc>
      </w:tr>
      <w:tr>
        <w:tc>
          <w:tcPr>
            <w:tcW w:type="dxa" w:w="2800"/>
            <w:tcMar>
              <w:top w:w="80" w:type="dxa"/>
              <w:start w:w="120" w:type="dxa"/>
              <w:bottom w:w="80" w:type="dxa"/>
              <w:end w:w="120" w:type="dxa"/>
            </w:tcMar>
            <w:vAlign w:val="top"/>
          </w:tcPr>
          <w:p>
            <w:pPr>
              <w:spacing w:after="40" w:line="276" w:lineRule="auto"/>
            </w:pPr>
            <w:r>
              <w:rPr>
                <w:rFonts w:ascii="Calibri" w:hAnsi="Calibri"/>
                <w:sz w:val="18"/>
              </w:rPr>
              <w:t>Case closed</w:t>
            </w:r>
          </w:p>
        </w:tc>
        <w:tc>
          <w:tcPr>
            <w:tcW w:type="dxa" w:w="2300"/>
            <w:tcMar>
              <w:top w:w="80" w:type="dxa"/>
              <w:start w:w="120" w:type="dxa"/>
              <w:bottom w:w="80" w:type="dxa"/>
              <w:end w:w="120" w:type="dxa"/>
            </w:tcMar>
            <w:vAlign w:val="top"/>
          </w:tcPr>
          <w:p>
            <w:pPr>
              <w:spacing w:after="40" w:line="276" w:lineRule="auto"/>
            </w:pPr>
            <w:r>
              <w:rPr>
                <w:rFonts w:ascii="Calibri" w:hAnsi="Calibri"/>
                <w:sz w:val="18"/>
              </w:rPr>
              <w:t>Assigned Analyst and Lead</w:t>
            </w:r>
          </w:p>
        </w:tc>
        <w:tc>
          <w:tcPr>
            <w:tcW w:type="dxa" w:w="2500"/>
            <w:tcMar>
              <w:top w:w="80" w:type="dxa"/>
              <w:start w:w="120" w:type="dxa"/>
              <w:bottom w:w="80" w:type="dxa"/>
              <w:end w:w="120" w:type="dxa"/>
            </w:tcMar>
            <w:vAlign w:val="top"/>
          </w:tcPr>
          <w:p>
            <w:pPr>
              <w:spacing w:after="40" w:line="276" w:lineRule="auto"/>
            </w:pPr>
            <w:r>
              <w:rPr>
                <w:rFonts w:ascii="Calibri" w:hAnsi="Calibri"/>
                <w:sz w:val="18"/>
              </w:rPr>
              <w:t>Case Closed</w:t>
            </w:r>
          </w:p>
        </w:tc>
        <w:tc>
          <w:tcPr>
            <w:tcW w:type="dxa" w:w="1760"/>
            <w:tcMar>
              <w:top w:w="80" w:type="dxa"/>
              <w:start w:w="120" w:type="dxa"/>
              <w:bottom w:w="80" w:type="dxa"/>
              <w:end w:w="120" w:type="dxa"/>
            </w:tcMar>
            <w:vAlign w:val="top"/>
          </w:tcPr>
          <w:p>
            <w:pPr>
              <w:spacing w:after="40" w:line="276" w:lineRule="auto"/>
            </w:pPr>
            <w:r>
              <w:rPr>
                <w:rFonts w:ascii="Calibri" w:hAnsi="Calibri"/>
                <w:sz w:val="18"/>
              </w:rPr>
              <w:t>View Investigation</w:t>
            </w:r>
          </w:p>
        </w:tc>
      </w:tr>
    </w:tbl>
    <w:p>
      <w:pPr>
        <w:pStyle w:val="ListBullet"/>
      </w:pPr>
      <w:r>
        <w:t>Email + In-App: user receives an in-app notification and email where workflow supports email.</w:t>
      </w:r>
    </w:p>
    <w:p>
      <w:pPr>
        <w:pStyle w:val="ListBullet"/>
      </w:pPr>
      <w:r>
        <w:t>In-App Only: user receives AstoraSOC bell notifications only.</w:t>
      </w:r>
    </w:p>
    <w:p>
      <w:pPr>
        <w:pStyle w:val="ListBullet"/>
      </w:pPr>
      <w:r>
        <w:t>Disabled: AstoraSOC suppresses notifications for that user where preference checks apply.</w:t>
      </w:r>
    </w:p>
    <w:p>
      <w:pPr>
        <w:pStyle w:val="ListBullet"/>
      </w:pPr>
      <w:r>
        <w:t>EmailDeliveryLog records recipient, notification type, subject, status, errors, created timestamp, and delivered timestamp.</w:t>
      </w:r>
    </w:p>
    <w:p>
      <w:pPr>
        <w:pStyle w:val="Heading1"/>
      </w:pPr>
      <w:r>
        <w:t>17. Reports</w:t>
      </w:r>
    </w:p>
    <w:p>
      <w:r>
        <w:t>AstoraSOC supports professional case report generation to DOCX and PDF-oriented output. Reports are intended for management review, audit support, closure evidence, and post-incident documentation. Reports are generated only after the case is closed and Lead review has approved closure.</w:t>
      </w:r>
    </w:p>
    <w:p>
      <w:pPr>
        <w:pStyle w:val="ListBullet"/>
      </w:pPr>
      <w:r>
        <w:t>Case identifiers, title, severity, status, source, timestamps, assignee, reviewer, and closure metadata.</w:t>
      </w:r>
    </w:p>
    <w:p>
      <w:pPr>
        <w:pStyle w:val="ListBullet"/>
      </w:pPr>
      <w:r>
        <w:t>Executive impact summary explaining what happened, affected systems, asset criticality, business impact, downtime or data exposure when recorded, before/after risk, residual risk, and recommended follow-up.</w:t>
      </w:r>
    </w:p>
    <w:p>
      <w:pPr>
        <w:pStyle w:val="ListBullet"/>
      </w:pPr>
      <w:r>
        <w:t>Alert metadata including detection name, source, optional rule ID, MITRE tactic/technique, affected host/user/IPs, and raw event context where appropriate.</w:t>
      </w:r>
    </w:p>
    <w:p>
      <w:pPr>
        <w:pStyle w:val="ListBullet"/>
      </w:pPr>
      <w:r>
        <w:t>Linked asset context including hostname, IP, owner, department, OS, type, and criticality.</w:t>
      </w:r>
    </w:p>
    <w:p>
      <w:pPr>
        <w:pStyle w:val="ListBullet"/>
      </w:pPr>
      <w:r>
        <w:t>IOC intelligence with analyst-friendly IOC labels.</w:t>
      </w:r>
    </w:p>
    <w:p>
      <w:pPr>
        <w:pStyle w:val="ListBullet"/>
      </w:pPr>
      <w:r>
        <w:t>Evidence register with preview status, filename, evidence type, file size, uploader, upload time, SHA256 hash, and purpose or description.</w:t>
      </w:r>
    </w:p>
    <w:p>
      <w:pPr>
        <w:pStyle w:val="ListBullet"/>
      </w:pPr>
      <w:r>
        <w:t>Evidence image previews embedded directly into generated reports when image artifacts are attached and available.</w:t>
      </w:r>
    </w:p>
    <w:p>
      <w:pPr>
        <w:pStyle w:val="ListBullet"/>
      </w:pPr>
      <w:r>
        <w:t>Task completion status and playbook-generated/analyst-created task source.</w:t>
      </w:r>
    </w:p>
    <w:p>
      <w:pPr>
        <w:pStyle w:val="ListBullet"/>
      </w:pPr>
      <w:r>
        <w:t>Timeline highlights with major milestones only, avoiding report-generation noise and repeated internal activity.</w:t>
      </w:r>
    </w:p>
    <w:p>
      <w:pPr>
        <w:pStyle w:val="ListBullet"/>
      </w:pPr>
      <w:r>
        <w:t>Containment actions, approval history, execution results, rollback records, and operator notes.</w:t>
      </w:r>
    </w:p>
    <w:p>
      <w:pPr>
        <w:pStyle w:val="ListBullet"/>
      </w:pPr>
      <w:r>
        <w:t>MITRE ATT&amp;CK mapping with tactic ID/name, technique ID/name, procedure, and detection source when available from the case or linked alert.</w:t>
      </w:r>
    </w:p>
    <w:p>
      <w:pPr>
        <w:pStyle w:val="ListBullet"/>
      </w:pPr>
      <w:r>
        <w:t>Technical remediation summary with CVE, affected product, affected version, fixed version, patch status, remediation owner, installed patch/update, commands, verification command, and verification result where available.</w:t>
      </w:r>
    </w:p>
    <w:p>
      <w:pPr>
        <w:pStyle w:val="ListBullet"/>
      </w:pPr>
      <w:r>
        <w:t>Risk metrics showing initial risk, residual risk, risk reduction percentage, and confidence based on evidence, task completion, root cause, resolution, validation, and reviewer approval.</w:t>
      </w:r>
    </w:p>
    <w:p>
      <w:pPr>
        <w:pStyle w:val="ListBullet"/>
      </w:pPr>
      <w:r>
        <w:t>Professional report charts generated only from real case data, such as Risk Reduction, Remediation Progress, Timeline Activity, Task Completion, IOC Distribution, Evidence Summary, MITRE Technique Distribution, Severity Distribution, or Containment Status when the data is meaningful.</w:t>
      </w:r>
    </w:p>
    <w:p>
      <w:r>
        <w:t>Report routes enforce role and assignment visibility so Analysts cannot generate or access reports for cases outside their allowed scope. If AI report generation is enabled and configured, AstoraSOC automatically uses AI to enhance the report narrative; if AI is disabled, missing, or fails, the standard report generator is used as a safe fallback.</w:t>
      </w:r>
    </w:p>
    <w:p>
      <w:pPr>
        <w:pStyle w:val="Heading2"/>
      </w:pPr>
      <w:r>
        <w:t>Enterprise Report Engine Behavior</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600"/>
        <w:gridCol w:w="6760"/>
      </w:tblGrid>
      <w:tr>
        <w:tc>
          <w:tcPr>
            <w:tcW w:type="dxa" w:w="2600"/>
            <w:shd w:fill="E8EEF5"/>
            <w:tcMar>
              <w:top w:w="80" w:type="dxa"/>
              <w:start w:w="120" w:type="dxa"/>
              <w:bottom w:w="80" w:type="dxa"/>
              <w:end w:w="120" w:type="dxa"/>
            </w:tcMar>
            <w:vAlign w:val="top"/>
          </w:tcPr>
          <w:p>
            <w:pPr>
              <w:spacing w:after="40" w:line="276" w:lineRule="auto"/>
            </w:pPr>
            <w:r>
              <w:rPr>
                <w:rFonts w:ascii="Calibri" w:hAnsi="Calibri"/>
                <w:b/>
                <w:color w:val="102027"/>
                <w:sz w:val="18"/>
              </w:rPr>
              <w:t>Capability</w:t>
            </w:r>
          </w:p>
        </w:tc>
        <w:tc>
          <w:tcPr>
            <w:tcW w:type="dxa" w:w="6760"/>
            <w:shd w:fill="E8EEF5"/>
            <w:tcMar>
              <w:top w:w="80" w:type="dxa"/>
              <w:start w:w="120" w:type="dxa"/>
              <w:bottom w:w="80" w:type="dxa"/>
              <w:end w:w="120" w:type="dxa"/>
            </w:tcMar>
            <w:vAlign w:val="top"/>
          </w:tcPr>
          <w:p>
            <w:pPr>
              <w:spacing w:after="40" w:line="276" w:lineRule="auto"/>
            </w:pPr>
            <w:r>
              <w:rPr>
                <w:rFonts w:ascii="Calibri" w:hAnsi="Calibri"/>
                <w:b/>
                <w:color w:val="102027"/>
                <w:sz w:val="18"/>
              </w:rPr>
              <w:t>Enterprise Behavior</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Real-data charts</w:t>
            </w:r>
          </w:p>
        </w:tc>
        <w:tc>
          <w:tcPr>
            <w:tcW w:type="dxa" w:w="6760"/>
            <w:tcMar>
              <w:top w:w="80" w:type="dxa"/>
              <w:start w:w="120" w:type="dxa"/>
              <w:bottom w:w="80" w:type="dxa"/>
              <w:end w:w="120" w:type="dxa"/>
            </w:tcMar>
            <w:vAlign w:val="top"/>
          </w:tcPr>
          <w:p>
            <w:pPr>
              <w:spacing w:after="40" w:line="276" w:lineRule="auto"/>
            </w:pPr>
            <w:r>
              <w:rPr>
                <w:rFonts w:ascii="Calibri" w:hAnsi="Calibri"/>
                <w:sz w:val="18"/>
              </w:rPr>
              <w:t>Charts are created from stored case data only. AstoraSOC does not generate random or placeholder graph values. If there is not enough data for a useful chart, the chart is hidden.</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Technical remediation</w:t>
            </w:r>
          </w:p>
        </w:tc>
        <w:tc>
          <w:tcPr>
            <w:tcW w:type="dxa" w:w="6760"/>
            <w:tcMar>
              <w:top w:w="80" w:type="dxa"/>
              <w:start w:w="120" w:type="dxa"/>
              <w:bottom w:w="80" w:type="dxa"/>
              <w:end w:w="120" w:type="dxa"/>
            </w:tcMar>
            <w:vAlign w:val="top"/>
          </w:tcPr>
          <w:p>
            <w:pPr>
              <w:spacing w:after="40" w:line="276" w:lineRule="auto"/>
            </w:pPr>
            <w:r>
              <w:rPr>
                <w:rFonts w:ascii="Calibri" w:hAnsi="Calibri"/>
                <w:sz w:val="18"/>
              </w:rPr>
              <w:t>Exact CVEs, affected/fixed versions, KB/RPM/APT/package details, commands, service restarts, and verification results are shown only when recorded in case fields, notes, tasks, evidence metadata, or timeline entries.</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Evidence intelligence</w:t>
            </w:r>
          </w:p>
        </w:tc>
        <w:tc>
          <w:tcPr>
            <w:tcW w:type="dxa" w:w="6760"/>
            <w:tcMar>
              <w:top w:w="80" w:type="dxa"/>
              <w:start w:w="120" w:type="dxa"/>
              <w:bottom w:w="80" w:type="dxa"/>
              <w:end w:w="120" w:type="dxa"/>
            </w:tcMar>
            <w:vAlign w:val="top"/>
          </w:tcPr>
          <w:p>
            <w:pPr>
              <w:spacing w:after="40" w:line="276" w:lineRule="auto"/>
            </w:pPr>
            <w:r>
              <w:rPr>
                <w:rFonts w:ascii="Calibri" w:hAnsi="Calibri"/>
                <w:sz w:val="18"/>
              </w:rPr>
              <w:t>Reports show evidence metadata and include image previews where supported so reviewers can inspect screenshots without relying only on filenames.</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Risk measurement</w:t>
            </w:r>
          </w:p>
        </w:tc>
        <w:tc>
          <w:tcPr>
            <w:tcW w:type="dxa" w:w="6760"/>
            <w:tcMar>
              <w:top w:w="80" w:type="dxa"/>
              <w:start w:w="120" w:type="dxa"/>
              <w:bottom w:w="80" w:type="dxa"/>
              <w:end w:w="120" w:type="dxa"/>
            </w:tcMar>
            <w:vAlign w:val="top"/>
          </w:tcPr>
          <w:p>
            <w:pPr>
              <w:spacing w:after="40" w:line="276" w:lineRule="auto"/>
            </w:pPr>
            <w:r>
              <w:rPr>
                <w:rFonts w:ascii="Calibri" w:hAnsi="Calibri"/>
                <w:sz w:val="18"/>
              </w:rPr>
              <w:t>Risk sections use calculated initial and residual scores, risk reduction percentage, and confidence. Scores are derived from severity, closure state, remediation status, evidence, tasks, and reviewer approval.</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MITRE mapping</w:t>
            </w:r>
          </w:p>
        </w:tc>
        <w:tc>
          <w:tcPr>
            <w:tcW w:type="dxa" w:w="6760"/>
            <w:tcMar>
              <w:top w:w="80" w:type="dxa"/>
              <w:start w:w="120" w:type="dxa"/>
              <w:bottom w:w="80" w:type="dxa"/>
              <w:end w:w="120" w:type="dxa"/>
            </w:tcMar>
            <w:vAlign w:val="top"/>
          </w:tcPr>
          <w:p>
            <w:pPr>
              <w:spacing w:after="40" w:line="276" w:lineRule="auto"/>
            </w:pPr>
            <w:r>
              <w:rPr>
                <w:rFonts w:ascii="Calibri" w:hAnsi="Calibri"/>
                <w:sz w:val="18"/>
              </w:rPr>
              <w:t>ATT&amp;CK data is split into tactic ID/name and technique ID/name where possible, with procedure and detection source retained for technical traceability.</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Timeline compression</w:t>
            </w:r>
          </w:p>
        </w:tc>
        <w:tc>
          <w:tcPr>
            <w:tcW w:type="dxa" w:w="6760"/>
            <w:tcMar>
              <w:top w:w="80" w:type="dxa"/>
              <w:start w:w="120" w:type="dxa"/>
              <w:bottom w:w="80" w:type="dxa"/>
              <w:end w:w="120" w:type="dxa"/>
            </w:tcMar>
            <w:vAlign w:val="top"/>
          </w:tcPr>
          <w:p>
            <w:pPr>
              <w:spacing w:after="40" w:line="276" w:lineRule="auto"/>
            </w:pPr>
            <w:r>
              <w:rPr>
                <w:rFonts w:ascii="Calibri" w:hAnsi="Calibri"/>
                <w:sz w:val="18"/>
              </w:rPr>
              <w:t>Reports emphasize major milestones such as case creation, investigation, evidence collection, remediation, review, approval, and closure while excluding report-generation noise.</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Page footer</w:t>
            </w:r>
          </w:p>
        </w:tc>
        <w:tc>
          <w:tcPr>
            <w:tcW w:type="dxa" w:w="6760"/>
            <w:tcMar>
              <w:top w:w="80" w:type="dxa"/>
              <w:start w:w="120" w:type="dxa"/>
              <w:bottom w:w="80" w:type="dxa"/>
              <w:end w:w="120" w:type="dxa"/>
            </w:tcMar>
            <w:vAlign w:val="top"/>
          </w:tcPr>
          <w:p>
            <w:pPr>
              <w:spacing w:after="40" w:line="276" w:lineRule="auto"/>
            </w:pPr>
            <w:r>
              <w:t>DOCX/PDF reports include AstoraSOC version, case ID, generation time, page number, and AstoraSOC footer metadata.</w:t>
            </w:r>
          </w:p>
        </w:tc>
      </w:tr>
    </w:tbl>
    <w:p>
      <w:pPr>
        <w:pStyle w:val="Heading2"/>
      </w:pPr>
      <w:r>
        <w:t>AI Report Configuration</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00"/>
        <w:gridCol w:w="6860"/>
      </w:tblGrid>
      <w:tr>
        <w:tc>
          <w:tcPr>
            <w:tcW w:type="dxa" w:w="2500"/>
            <w:shd w:fill="E8EEF5"/>
            <w:tcMar>
              <w:top w:w="80" w:type="dxa"/>
              <w:start w:w="120" w:type="dxa"/>
              <w:bottom w:w="80" w:type="dxa"/>
              <w:end w:w="120" w:type="dxa"/>
            </w:tcMar>
            <w:vAlign w:val="top"/>
          </w:tcPr>
          <w:p>
            <w:pPr>
              <w:spacing w:after="40" w:line="276" w:lineRule="auto"/>
            </w:pPr>
            <w:r>
              <w:rPr>
                <w:rFonts w:ascii="Calibri" w:hAnsi="Calibri"/>
                <w:b/>
                <w:color w:val="102027"/>
                <w:sz w:val="18"/>
              </w:rPr>
              <w:t>Setting</w:t>
            </w:r>
          </w:p>
        </w:tc>
        <w:tc>
          <w:tcPr>
            <w:tcW w:type="dxa" w:w="6860"/>
            <w:shd w:fill="E8EEF5"/>
            <w:tcMar>
              <w:top w:w="80" w:type="dxa"/>
              <w:start w:w="120" w:type="dxa"/>
              <w:bottom w:w="80" w:type="dxa"/>
              <w:end w:w="120" w:type="dxa"/>
            </w:tcMar>
            <w:vAlign w:val="top"/>
          </w:tcPr>
          <w:p>
            <w:pPr>
              <w:spacing w:after="40" w:line="276" w:lineRule="auto"/>
            </w:pPr>
            <w:r>
              <w:rPr>
                <w:rFonts w:ascii="Calibri" w:hAnsi="Calibri"/>
                <w:b/>
                <w:color w:val="102027"/>
                <w:sz w:val="18"/>
              </w:rPr>
              <w:t>Operational Guidance</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Enable AI Report Generation</w:t>
            </w:r>
          </w:p>
        </w:tc>
        <w:tc>
          <w:tcPr>
            <w:tcW w:type="dxa" w:w="6860"/>
            <w:tcMar>
              <w:top w:w="80" w:type="dxa"/>
              <w:start w:w="120" w:type="dxa"/>
              <w:bottom w:w="80" w:type="dxa"/>
              <w:end w:w="120" w:type="dxa"/>
            </w:tcMar>
            <w:vAlign w:val="top"/>
          </w:tcPr>
          <w:p>
            <w:pPr>
              <w:spacing w:after="40" w:line="276" w:lineRule="auto"/>
            </w:pPr>
            <w:r>
              <w:rPr>
                <w:rFonts w:ascii="Calibri" w:hAnsi="Calibri"/>
                <w:sz w:val="18"/>
              </w:rPr>
              <w:t>When enabled, Generate DOCX/PDF automatically attempts AI-enhanced report generation for approved closed cases.</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AI Provider</w:t>
            </w:r>
          </w:p>
        </w:tc>
        <w:tc>
          <w:tcPr>
            <w:tcW w:type="dxa" w:w="6860"/>
            <w:tcMar>
              <w:top w:w="80" w:type="dxa"/>
              <w:start w:w="120" w:type="dxa"/>
              <w:bottom w:w="80" w:type="dxa"/>
              <w:end w:w="120" w:type="dxa"/>
            </w:tcMar>
            <w:vAlign w:val="top"/>
          </w:tcPr>
          <w:p>
            <w:pPr>
              <w:spacing w:after="40" w:line="276" w:lineRule="auto"/>
            </w:pPr>
            <w:r>
              <w:rPr>
                <w:rFonts w:ascii="Calibri" w:hAnsi="Calibri"/>
                <w:sz w:val="18"/>
              </w:rPr>
              <w:t>Supported provider families include OpenAI-compatible APIs, OpenRouter, DeepSeek routes, Google Gemini, Anthropic Claude, Azure OpenAI, Ollama local models, and custom OpenAI-compatible endpoints where configured.</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AI Model</w:t>
            </w:r>
          </w:p>
        </w:tc>
        <w:tc>
          <w:tcPr>
            <w:tcW w:type="dxa" w:w="6860"/>
            <w:tcMar>
              <w:top w:w="80" w:type="dxa"/>
              <w:start w:w="120" w:type="dxa"/>
              <w:bottom w:w="80" w:type="dxa"/>
              <w:end w:w="120" w:type="dxa"/>
            </w:tcMar>
            <w:vAlign w:val="top"/>
          </w:tcPr>
          <w:p>
            <w:pPr>
              <w:spacing w:after="40" w:line="276" w:lineRule="auto"/>
            </w:pPr>
            <w:r>
              <w:rPr>
                <w:rFonts w:ascii="Calibri" w:hAnsi="Calibri"/>
                <w:sz w:val="18"/>
              </w:rPr>
              <w:t>Administrators select from provider-approved model options. Free, local, or low-cost routes should be labelled clearly in the UI.</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API Key</w:t>
            </w:r>
          </w:p>
        </w:tc>
        <w:tc>
          <w:tcPr>
            <w:tcW w:type="dxa" w:w="6860"/>
            <w:tcMar>
              <w:top w:w="80" w:type="dxa"/>
              <w:start w:w="120" w:type="dxa"/>
              <w:bottom w:w="80" w:type="dxa"/>
              <w:end w:w="120" w:type="dxa"/>
            </w:tcMar>
            <w:vAlign w:val="top"/>
          </w:tcPr>
          <w:p>
            <w:pPr>
              <w:spacing w:after="40" w:line="276" w:lineRule="auto"/>
            </w:pPr>
            <w:r>
              <w:rPr>
                <w:rFonts w:ascii="Calibri" w:hAnsi="Calibri"/>
                <w:sz w:val="18"/>
              </w:rPr>
              <w:t>Stored encrypted and never displayed after saving. Replacing the key should be audited.</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Custom Endpoint</w:t>
            </w:r>
          </w:p>
        </w:tc>
        <w:tc>
          <w:tcPr>
            <w:tcW w:type="dxa" w:w="6860"/>
            <w:tcMar>
              <w:top w:w="80" w:type="dxa"/>
              <w:start w:w="120" w:type="dxa"/>
              <w:bottom w:w="80" w:type="dxa"/>
              <w:end w:w="120" w:type="dxa"/>
            </w:tcMar>
            <w:vAlign w:val="top"/>
          </w:tcPr>
          <w:p>
            <w:pPr>
              <w:spacing w:after="40" w:line="276" w:lineRule="auto"/>
            </w:pPr>
            <w:r>
              <w:rPr>
                <w:rFonts w:ascii="Calibri" w:hAnsi="Calibri"/>
                <w:sz w:val="18"/>
              </w:rPr>
              <w:t>Used only for Azure OpenAI, Ollama, or custom OpenAI-compatible services.</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Test AI Connection</w:t>
            </w:r>
          </w:p>
        </w:tc>
        <w:tc>
          <w:tcPr>
            <w:tcW w:type="dxa" w:w="6860"/>
            <w:tcMar>
              <w:top w:w="80" w:type="dxa"/>
              <w:start w:w="120" w:type="dxa"/>
              <w:bottom w:w="80" w:type="dxa"/>
              <w:end w:w="120" w:type="dxa"/>
            </w:tcMar>
            <w:vAlign w:val="top"/>
          </w:tcPr>
          <w:p>
            <w:pPr>
              <w:spacing w:after="40" w:line="276" w:lineRule="auto"/>
            </w:pPr>
            <w:r>
              <w:rPr>
                <w:rFonts w:ascii="Calibri" w:hAnsi="Calibri"/>
                <w:sz w:val="18"/>
              </w:rPr>
              <w:t>Validates endpoint connectivity, authentication, model availability, and response latency before relying on report generation.</w:t>
            </w:r>
          </w:p>
        </w:tc>
      </w:tr>
    </w:tbl>
    <w:p>
      <w:r>
        <w:t>AI-enhanced reports must never invent facts. AI should transform verified case data into executive and technical narrative, omit empty fields, avoid generic language, and fall back to the standard deterministic report generator if the AI call or rendering fails.</w:t>
      </w:r>
    </w:p>
    <w:p>
      <w:pPr>
        <w:pStyle w:val="Heading2"/>
      </w:pPr>
      <w:r>
        <w:t>Report Quality Rules</w:t>
      </w:r>
    </w:p>
    <w:p>
      <w:pPr>
        <w:pStyle w:val="ListBullet"/>
      </w:pPr>
      <w:r>
        <w:t>Reports must not look like raw database exports.</w:t>
      </w:r>
    </w:p>
    <w:p>
      <w:pPr>
        <w:pStyle w:val="ListBullet"/>
      </w:pPr>
      <w:r>
        <w:t>Reports must never invent patches, versions, CVEs, commands, indicators, evidence, or remediation actions.</w:t>
      </w:r>
    </w:p>
    <w:p>
      <w:pPr>
        <w:pStyle w:val="ListBullet"/>
      </w:pPr>
      <w:r>
        <w:t>If a required technical field is unavailable, the report displays Not Available; optional empty sections are omitted where they do not help the reader.</w:t>
      </w:r>
    </w:p>
    <w:p>
      <w:pPr>
        <w:pStyle w:val="ListBullet"/>
      </w:pPr>
      <w:r>
        <w:t>Recommendations, findings, and remediation text must align with the case type and verified case data.</w:t>
      </w:r>
    </w:p>
    <w:p>
      <w:pPr>
        <w:pStyle w:val="ListBullet"/>
      </w:pPr>
      <w:r>
        <w:t>Vulnerability reports must not include unrelated credential, malware, or phishing playbook language.</w:t>
      </w:r>
    </w:p>
    <w:p>
      <w:pPr>
        <w:pStyle w:val="ListBullet"/>
      </w:pPr>
      <w:r>
        <w:t>Evidence, timeline, tasks, notes, and closure information should be summarized for executive readability, with technical detail preserved in appendices where useful.</w:t>
      </w:r>
    </w:p>
    <w:p>
      <w:pPr>
        <w:pStyle w:val="ListBullet"/>
      </w:pPr>
      <w:r>
        <w:t>Charts are generated only when meaningful data exists and should remain compact, print-friendly, and limited to a maximum of three per report.</w:t>
      </w:r>
    </w:p>
    <w:p>
      <w:pPr>
        <w:pStyle w:val="Heading1"/>
      </w:pPr>
      <w:r>
        <w:t>18. Audit Logs</w:t>
      </w:r>
    </w:p>
    <w:p>
      <w:r>
        <w:t>Audit logs provide platform-level accountability. They complement case timelines: timelines explain case chronology, while audit logs explain who changed platform or workflow state and from what IP address.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600"/>
        <w:gridCol w:w="6760"/>
      </w:tblGrid>
      <w:tr>
        <w:tc>
          <w:tcPr>
            <w:tcW w:type="dxa" w:w="2600"/>
            <w:shd w:fill="E8EEF5"/>
            <w:tcMar>
              <w:top w:w="80" w:type="dxa"/>
              <w:start w:w="120" w:type="dxa"/>
              <w:bottom w:w="80" w:type="dxa"/>
              <w:end w:w="120" w:type="dxa"/>
            </w:tcMar>
            <w:vAlign w:val="top"/>
          </w:tcPr>
          <w:p>
            <w:pPr>
              <w:spacing w:after="40" w:line="276" w:lineRule="auto"/>
            </w:pPr>
            <w:r>
              <w:rPr>
                <w:rFonts w:ascii="Calibri" w:hAnsi="Calibri"/>
                <w:b/>
                <w:color w:val="102027"/>
                <w:sz w:val="18"/>
              </w:rPr>
              <w:t>Audit Area</w:t>
            </w:r>
          </w:p>
        </w:tc>
        <w:tc>
          <w:tcPr>
            <w:tcW w:type="dxa" w:w="6760"/>
            <w:shd w:fill="E8EEF5"/>
            <w:tcMar>
              <w:top w:w="80" w:type="dxa"/>
              <w:start w:w="120" w:type="dxa"/>
              <w:bottom w:w="80" w:type="dxa"/>
              <w:end w:w="120" w:type="dxa"/>
            </w:tcMar>
            <w:vAlign w:val="top"/>
          </w:tcPr>
          <w:p>
            <w:pPr>
              <w:spacing w:after="40" w:line="276" w:lineRule="auto"/>
            </w:pPr>
            <w:r>
              <w:rPr>
                <w:rFonts w:ascii="Calibri" w:hAnsi="Calibri"/>
                <w:b/>
                <w:color w:val="102027"/>
                <w:sz w:val="18"/>
              </w:rPr>
              <w:t>Examples</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Authentication and users</w:t>
            </w:r>
          </w:p>
        </w:tc>
        <w:tc>
          <w:tcPr>
            <w:tcW w:type="dxa" w:w="6760"/>
            <w:tcMar>
              <w:top w:w="80" w:type="dxa"/>
              <w:start w:w="120" w:type="dxa"/>
              <w:bottom w:w="80" w:type="dxa"/>
              <w:end w:w="120" w:type="dxa"/>
            </w:tcMar>
            <w:vAlign w:val="top"/>
          </w:tcPr>
          <w:p>
            <w:pPr>
              <w:spacing w:after="40" w:line="276" w:lineRule="auto"/>
            </w:pPr>
            <w:r>
              <w:rPr>
                <w:rFonts w:ascii="Calibri" w:hAnsi="Calibri"/>
                <w:sz w:val="18"/>
              </w:rPr>
              <w:t>Login state, password changes, user creation/edit/delete, email approval/rejection.</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Alerts and cases</w:t>
            </w:r>
          </w:p>
        </w:tc>
        <w:tc>
          <w:tcPr>
            <w:tcW w:type="dxa" w:w="6760"/>
            <w:tcMar>
              <w:top w:w="80" w:type="dxa"/>
              <w:start w:w="120" w:type="dxa"/>
              <w:bottom w:w="80" w:type="dxa"/>
              <w:end w:w="120" w:type="dxa"/>
            </w:tcMar>
            <w:vAlign w:val="top"/>
          </w:tcPr>
          <w:p>
            <w:pPr>
              <w:spacing w:after="40" w:line="276" w:lineRule="auto"/>
            </w:pPr>
            <w:r>
              <w:rPr>
                <w:rFonts w:ascii="Calibri" w:hAnsi="Calibri"/>
                <w:sz w:val="18"/>
              </w:rPr>
              <w:t>Alert review, case promotion, assignment, workflow transitions, closure decisions.</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Playbooks</w:t>
            </w:r>
          </w:p>
        </w:tc>
        <w:tc>
          <w:tcPr>
            <w:tcW w:type="dxa" w:w="6760"/>
            <w:tcMar>
              <w:top w:w="80" w:type="dxa"/>
              <w:start w:w="120" w:type="dxa"/>
              <w:bottom w:w="80" w:type="dxa"/>
              <w:end w:w="120" w:type="dxa"/>
            </w:tcMar>
            <w:vAlign w:val="top"/>
          </w:tcPr>
          <w:p>
            <w:pPr>
              <w:spacing w:after="40" w:line="276" w:lineRule="auto"/>
            </w:pPr>
            <w:r>
              <w:rPr>
                <w:rFonts w:ascii="Calibri" w:hAnsi="Calibri"/>
                <w:sz w:val="18"/>
              </w:rPr>
              <w:t>Template changes and automatic playbook application.</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Containment</w:t>
            </w:r>
          </w:p>
        </w:tc>
        <w:tc>
          <w:tcPr>
            <w:tcW w:type="dxa" w:w="6760"/>
            <w:tcMar>
              <w:top w:w="80" w:type="dxa"/>
              <w:start w:w="120" w:type="dxa"/>
              <w:bottom w:w="80" w:type="dxa"/>
              <w:end w:w="120" w:type="dxa"/>
            </w:tcMar>
            <w:vAlign w:val="top"/>
          </w:tcPr>
          <w:p>
            <w:pPr>
              <w:spacing w:after="40" w:line="276" w:lineRule="auto"/>
            </w:pPr>
            <w:r>
              <w:rPr>
                <w:rFonts w:ascii="Calibri" w:hAnsi="Calibri"/>
                <w:sz w:val="18"/>
              </w:rPr>
              <w:t>Request, approval, rejection, execution, failure, cancellation, rollback.</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Settings</w:t>
            </w:r>
          </w:p>
        </w:tc>
        <w:tc>
          <w:tcPr>
            <w:tcW w:type="dxa" w:w="6760"/>
            <w:tcMar>
              <w:top w:w="80" w:type="dxa"/>
              <w:start w:w="120" w:type="dxa"/>
              <w:bottom w:w="80" w:type="dxa"/>
              <w:end w:w="120" w:type="dxa"/>
            </w:tcMar>
            <w:vAlign w:val="top"/>
          </w:tcPr>
          <w:p>
            <w:pPr>
              <w:spacing w:after="40" w:line="276" w:lineRule="auto"/>
            </w:pPr>
            <w:r>
              <w:rPr>
                <w:rFonts w:ascii="Calibri" w:hAnsi="Calibri"/>
                <w:sz w:val="18"/>
              </w:rPr>
              <w:t>Webhook API key rotation, email settings updates, timeout changes.</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Evidence and uploads</w:t>
            </w:r>
          </w:p>
        </w:tc>
        <w:tc>
          <w:tcPr>
            <w:tcW w:type="dxa" w:w="6760"/>
            <w:tcMar>
              <w:top w:w="80" w:type="dxa"/>
              <w:start w:w="120" w:type="dxa"/>
              <w:bottom w:w="80" w:type="dxa"/>
              <w:end w:w="120" w:type="dxa"/>
            </w:tcMar>
            <w:vAlign w:val="top"/>
          </w:tcPr>
          <w:p>
            <w:pPr>
              <w:spacing w:after="40" w:line="276" w:lineRule="auto"/>
            </w:pPr>
            <w:r>
              <w:rPr>
                <w:rFonts w:ascii="Calibri" w:hAnsi="Calibri"/>
                <w:sz w:val="18"/>
              </w:rPr>
              <w:t>Upload, delete, and validation outcomes where implemented.</w:t>
            </w:r>
          </w:p>
        </w:tc>
      </w:tr>
    </w:tbl>
    <w:p>
      <w:pPr>
        <w:pStyle w:val="Heading1"/>
      </w:pPr>
      <w:r>
        <w:t>19. Chat and Collaboration</w:t>
      </w:r>
    </w:p>
    <w:p>
      <w:r>
        <w:t>AstoraSOC includes SOC chat for lightweight collaboration. Chat content is encrypted using the application encryption helper, supports mentions, reactions, attachments, reply context, and configurable custom emojis.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7160"/>
      </w:tblGrid>
      <w:tr>
        <w:tc>
          <w:tcPr>
            <w:tcW w:type="dxa" w:w="2200"/>
            <w:shd w:fill="E8EEF5"/>
            <w:tcMar>
              <w:top w:w="80" w:type="dxa"/>
              <w:start w:w="120" w:type="dxa"/>
              <w:bottom w:w="80" w:type="dxa"/>
              <w:end w:w="120" w:type="dxa"/>
            </w:tcMar>
            <w:vAlign w:val="top"/>
          </w:tcPr>
          <w:p>
            <w:pPr>
              <w:spacing w:after="40" w:line="276" w:lineRule="auto"/>
            </w:pPr>
            <w:r>
              <w:rPr>
                <w:rFonts w:ascii="Calibri" w:hAnsi="Calibri"/>
                <w:b/>
                <w:color w:val="102027"/>
                <w:sz w:val="18"/>
              </w:rPr>
              <w:t>Feature</w:t>
            </w:r>
          </w:p>
        </w:tc>
        <w:tc>
          <w:tcPr>
            <w:tcW w:type="dxa" w:w="7160"/>
            <w:shd w:fill="E8EEF5"/>
            <w:tcMar>
              <w:top w:w="80" w:type="dxa"/>
              <w:start w:w="120" w:type="dxa"/>
              <w:bottom w:w="80" w:type="dxa"/>
              <w:end w:w="120" w:type="dxa"/>
            </w:tcMar>
            <w:vAlign w:val="top"/>
          </w:tcPr>
          <w:p>
            <w:pPr>
              <w:spacing w:after="40" w:line="276" w:lineRule="auto"/>
            </w:pPr>
            <w:r>
              <w:rPr>
                <w:rFonts w:ascii="Calibri" w:hAnsi="Calibri"/>
                <w:b/>
                <w:color w:val="102027"/>
                <w:sz w:val="18"/>
              </w:rPr>
              <w:t>Purpose</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Encrypted message body</w:t>
            </w:r>
          </w:p>
        </w:tc>
        <w:tc>
          <w:tcPr>
            <w:tcW w:type="dxa" w:w="7160"/>
            <w:tcMar>
              <w:top w:w="80" w:type="dxa"/>
              <w:start w:w="120" w:type="dxa"/>
              <w:bottom w:w="80" w:type="dxa"/>
              <w:end w:w="120" w:type="dxa"/>
            </w:tcMar>
            <w:vAlign w:val="top"/>
          </w:tcPr>
          <w:p>
            <w:pPr>
              <w:spacing w:after="40" w:line="276" w:lineRule="auto"/>
            </w:pPr>
            <w:r>
              <w:rPr>
                <w:rFonts w:ascii="Calibri" w:hAnsi="Calibri"/>
                <w:sz w:val="18"/>
              </w:rPr>
              <w:t>Protects stored chat content using Fernet derived from SECRET_KEY.</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Mentions</w:t>
            </w:r>
          </w:p>
        </w:tc>
        <w:tc>
          <w:tcPr>
            <w:tcW w:type="dxa" w:w="7160"/>
            <w:tcMar>
              <w:top w:w="80" w:type="dxa"/>
              <w:start w:w="120" w:type="dxa"/>
              <w:bottom w:w="80" w:type="dxa"/>
              <w:end w:w="120" w:type="dxa"/>
            </w:tcMar>
            <w:vAlign w:val="top"/>
          </w:tcPr>
          <w:p>
            <w:pPr>
              <w:spacing w:after="40" w:line="276" w:lineRule="auto"/>
            </w:pPr>
            <w:r>
              <w:rPr>
                <w:rFonts w:ascii="Calibri" w:hAnsi="Calibri"/>
                <w:sz w:val="18"/>
              </w:rPr>
              <w:t>Allows users or roles to be referenced with profile-card context.</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Reactions</w:t>
            </w:r>
          </w:p>
        </w:tc>
        <w:tc>
          <w:tcPr>
            <w:tcW w:type="dxa" w:w="7160"/>
            <w:tcMar>
              <w:top w:w="80" w:type="dxa"/>
              <w:start w:w="120" w:type="dxa"/>
              <w:bottom w:w="80" w:type="dxa"/>
              <w:end w:w="120" w:type="dxa"/>
            </w:tcMar>
            <w:vAlign w:val="top"/>
          </w:tcPr>
          <w:p>
            <w:pPr>
              <w:spacing w:after="40" w:line="276" w:lineRule="auto"/>
            </w:pPr>
            <w:r>
              <w:rPr>
                <w:rFonts w:ascii="Calibri" w:hAnsi="Calibri"/>
                <w:sz w:val="18"/>
              </w:rPr>
              <w:t>Lightweight acknowledgment and collaboration.</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Attachments</w:t>
            </w:r>
          </w:p>
        </w:tc>
        <w:tc>
          <w:tcPr>
            <w:tcW w:type="dxa" w:w="7160"/>
            <w:tcMar>
              <w:top w:w="80" w:type="dxa"/>
              <w:start w:w="120" w:type="dxa"/>
              <w:bottom w:w="80" w:type="dxa"/>
              <w:end w:w="120" w:type="dxa"/>
            </w:tcMar>
            <w:vAlign w:val="top"/>
          </w:tcPr>
          <w:p>
            <w:pPr>
              <w:spacing w:after="40" w:line="276" w:lineRule="auto"/>
            </w:pPr>
            <w:r>
              <w:rPr>
                <w:rFonts w:ascii="Calibri" w:hAnsi="Calibri"/>
                <w:sz w:val="18"/>
              </w:rPr>
              <w:t>Supports controlled file sharing with upload validation.</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Custom emojis</w:t>
            </w:r>
          </w:p>
        </w:tc>
        <w:tc>
          <w:tcPr>
            <w:tcW w:type="dxa" w:w="7160"/>
            <w:tcMar>
              <w:top w:w="80" w:type="dxa"/>
              <w:start w:w="120" w:type="dxa"/>
              <w:bottom w:w="80" w:type="dxa"/>
              <w:end w:w="120" w:type="dxa"/>
            </w:tcMar>
            <w:vAlign w:val="top"/>
          </w:tcPr>
          <w:p>
            <w:pPr>
              <w:spacing w:after="40" w:line="276" w:lineRule="auto"/>
            </w:pPr>
            <w:r>
              <w:rPr>
                <w:rFonts w:ascii="Calibri" w:hAnsi="Calibri"/>
                <w:sz w:val="18"/>
              </w:rPr>
              <w:t>Admin-configurable visual collaboration assets.</w:t>
            </w:r>
          </w:p>
        </w:tc>
      </w:tr>
    </w:tbl>
    <w:p>
      <w:pPr>
        <w:pStyle w:val="Heading1"/>
      </w:pPr>
      <w:r>
        <w:t>20. API and Webhook Reference</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7160"/>
      </w:tblGrid>
      <w:tr>
        <w:tc>
          <w:tcPr>
            <w:tcW w:type="dxa" w:w="2200"/>
            <w:shd w:fill="E8EEF5"/>
            <w:tcMar>
              <w:top w:w="80" w:type="dxa"/>
              <w:start w:w="120" w:type="dxa"/>
              <w:bottom w:w="80" w:type="dxa"/>
              <w:end w:w="120" w:type="dxa"/>
            </w:tcMar>
            <w:vAlign w:val="top"/>
          </w:tcPr>
          <w:p>
            <w:pPr>
              <w:spacing w:after="40" w:line="276" w:lineRule="auto"/>
            </w:pPr>
            <w:r>
              <w:rPr>
                <w:rFonts w:ascii="Calibri" w:hAnsi="Calibri"/>
                <w:b/>
                <w:color w:val="102027"/>
                <w:sz w:val="18"/>
              </w:rPr>
              <w:t>Property</w:t>
            </w:r>
          </w:p>
        </w:tc>
        <w:tc>
          <w:tcPr>
            <w:tcW w:type="dxa" w:w="7160"/>
            <w:shd w:fill="E8EEF5"/>
            <w:tcMar>
              <w:top w:w="80" w:type="dxa"/>
              <w:start w:w="120" w:type="dxa"/>
              <w:bottom w:w="80" w:type="dxa"/>
              <w:end w:w="120" w:type="dxa"/>
            </w:tcMar>
            <w:vAlign w:val="top"/>
          </w:tcPr>
          <w:p>
            <w:pPr>
              <w:spacing w:after="40" w:line="276" w:lineRule="auto"/>
            </w:pPr>
            <w:r>
              <w:rPr>
                <w:rFonts w:ascii="Calibri" w:hAnsi="Calibri"/>
                <w:b/>
                <w:color w:val="102027"/>
                <w:sz w:val="18"/>
              </w:rPr>
              <w:t>Value</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Method</w:t>
            </w:r>
          </w:p>
        </w:tc>
        <w:tc>
          <w:tcPr>
            <w:tcW w:type="dxa" w:w="7160"/>
            <w:tcMar>
              <w:top w:w="80" w:type="dxa"/>
              <w:start w:w="120" w:type="dxa"/>
              <w:bottom w:w="80" w:type="dxa"/>
              <w:end w:w="120" w:type="dxa"/>
            </w:tcMar>
            <w:vAlign w:val="top"/>
          </w:tcPr>
          <w:p>
            <w:pPr>
              <w:spacing w:after="40" w:line="276" w:lineRule="auto"/>
            </w:pPr>
            <w:r>
              <w:rPr>
                <w:rFonts w:ascii="Calibri" w:hAnsi="Calibri"/>
                <w:sz w:val="18"/>
              </w:rPr>
              <w:t>POST</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Path</w:t>
            </w:r>
          </w:p>
        </w:tc>
        <w:tc>
          <w:tcPr>
            <w:tcW w:type="dxa" w:w="7160"/>
            <w:tcMar>
              <w:top w:w="80" w:type="dxa"/>
              <w:start w:w="120" w:type="dxa"/>
              <w:bottom w:w="80" w:type="dxa"/>
              <w:end w:w="120" w:type="dxa"/>
            </w:tcMar>
            <w:vAlign w:val="top"/>
          </w:tcPr>
          <w:p>
            <w:pPr>
              <w:spacing w:after="40" w:line="276" w:lineRule="auto"/>
            </w:pPr>
            <w:r>
              <w:rPr>
                <w:rFonts w:ascii="Calibri" w:hAnsi="Calibri"/>
                <w:sz w:val="18"/>
              </w:rPr>
              <w:t>/api/webhook/alert</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Authentication</w:t>
            </w:r>
          </w:p>
        </w:tc>
        <w:tc>
          <w:tcPr>
            <w:tcW w:type="dxa" w:w="7160"/>
            <w:tcMar>
              <w:top w:w="80" w:type="dxa"/>
              <w:start w:w="120" w:type="dxa"/>
              <w:bottom w:w="80" w:type="dxa"/>
              <w:end w:w="120" w:type="dxa"/>
            </w:tcMar>
            <w:vAlign w:val="top"/>
          </w:tcPr>
          <w:p>
            <w:pPr>
              <w:spacing w:after="40" w:line="276" w:lineRule="auto"/>
            </w:pPr>
            <w:r>
              <w:rPr>
                <w:rFonts w:ascii="Calibri" w:hAnsi="Calibri"/>
                <w:sz w:val="18"/>
              </w:rPr>
              <w:t>Header X-API-Key: &lt;WEBHOOK_API_KEY&gt;</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Content Type</w:t>
            </w:r>
          </w:p>
        </w:tc>
        <w:tc>
          <w:tcPr>
            <w:tcW w:type="dxa" w:w="7160"/>
            <w:tcMar>
              <w:top w:w="80" w:type="dxa"/>
              <w:start w:w="120" w:type="dxa"/>
              <w:bottom w:w="80" w:type="dxa"/>
              <w:end w:w="120" w:type="dxa"/>
            </w:tcMar>
            <w:vAlign w:val="top"/>
          </w:tcPr>
          <w:p>
            <w:pPr>
              <w:spacing w:after="40" w:line="276" w:lineRule="auto"/>
            </w:pPr>
            <w:r>
              <w:rPr>
                <w:rFonts w:ascii="Calibri" w:hAnsi="Calibri"/>
                <w:sz w:val="18"/>
              </w:rPr>
              <w:t>application/json</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Primary Source</w:t>
            </w:r>
          </w:p>
        </w:tc>
        <w:tc>
          <w:tcPr>
            <w:tcW w:type="dxa" w:w="7160"/>
            <w:tcMar>
              <w:top w:w="80" w:type="dxa"/>
              <w:start w:w="120" w:type="dxa"/>
              <w:bottom w:w="80" w:type="dxa"/>
              <w:end w:w="120" w:type="dxa"/>
            </w:tcMar>
            <w:vAlign w:val="top"/>
          </w:tcPr>
          <w:p>
            <w:pPr>
              <w:spacing w:after="40" w:line="276" w:lineRule="auto"/>
            </w:pPr>
            <w:r>
              <w:rPr>
                <w:rFonts w:ascii="Calibri" w:hAnsi="Calibri"/>
                <w:sz w:val="18"/>
              </w:rPr>
              <w:t>Any SIEM/SOAR webhook, bridge script, Wazuh custom integration, EDR/security tool, or API client.</w:t>
            </w:r>
          </w:p>
        </w:tc>
      </w:tr>
    </w:tbl>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1400"/>
        <w:gridCol w:w="5860"/>
      </w:tblGrid>
      <w:tr>
        <w:tc>
          <w:tcPr>
            <w:tcW w:type="dxa" w:w="2100"/>
            <w:shd w:fill="E8EEF5"/>
            <w:tcMar>
              <w:top w:w="80" w:type="dxa"/>
              <w:start w:w="120" w:type="dxa"/>
              <w:bottom w:w="80" w:type="dxa"/>
              <w:end w:w="120" w:type="dxa"/>
            </w:tcMar>
            <w:vAlign w:val="top"/>
          </w:tcPr>
          <w:p>
            <w:pPr>
              <w:spacing w:after="40" w:line="276" w:lineRule="auto"/>
            </w:pPr>
            <w:r>
              <w:rPr>
                <w:rFonts w:ascii="Calibri" w:hAnsi="Calibri"/>
                <w:b/>
                <w:color w:val="102027"/>
                <w:sz w:val="18"/>
              </w:rPr>
              <w:t>Field</w:t>
            </w:r>
          </w:p>
        </w:tc>
        <w:tc>
          <w:tcPr>
            <w:tcW w:type="dxa" w:w="1400"/>
            <w:shd w:fill="E8EEF5"/>
            <w:tcMar>
              <w:top w:w="80" w:type="dxa"/>
              <w:start w:w="120" w:type="dxa"/>
              <w:bottom w:w="80" w:type="dxa"/>
              <w:end w:w="120" w:type="dxa"/>
            </w:tcMar>
            <w:vAlign w:val="top"/>
          </w:tcPr>
          <w:p>
            <w:pPr>
              <w:spacing w:after="40" w:line="276" w:lineRule="auto"/>
            </w:pPr>
            <w:r>
              <w:rPr>
                <w:rFonts w:ascii="Calibri" w:hAnsi="Calibri"/>
                <w:b/>
                <w:color w:val="102027"/>
                <w:sz w:val="18"/>
              </w:rPr>
              <w:t>Type</w:t>
            </w:r>
          </w:p>
        </w:tc>
        <w:tc>
          <w:tcPr>
            <w:tcW w:type="dxa" w:w="5860"/>
            <w:shd w:fill="E8EEF5"/>
            <w:tcMar>
              <w:top w:w="80" w:type="dxa"/>
              <w:start w:w="120" w:type="dxa"/>
              <w:bottom w:w="80" w:type="dxa"/>
              <w:end w:w="120" w:type="dxa"/>
            </w:tcMar>
            <w:vAlign w:val="top"/>
          </w:tcPr>
          <w:p>
            <w:pPr>
              <w:spacing w:after="40" w:line="276" w:lineRule="auto"/>
            </w:pPr>
            <w:r>
              <w:rPr>
                <w:rFonts w:ascii="Calibri" w:hAnsi="Calibri"/>
                <w:b/>
                <w:color w:val="102027"/>
                <w:sz w:val="18"/>
              </w:rPr>
              <w:t>Description</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event_id</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Unique source event ID for duplicate tracking.</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title</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Readable alert title.</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description</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Detailed event text.</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severity</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Critical, High, Medium, Low, or source value mapped by AstoraSOC.</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source</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Source platform such as SIEM Webhook, Wazuh, Splunk, Sentinel, Elastic, QRadar, Security Onion, Shuffle, or API.</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rule_id</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Detection rule identifier.</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affected_host</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Host or agent name.</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affected_user</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User account involved.</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source_ip</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Source IP address.</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destination_ip</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Destination IP address.</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mitre_tactic</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MITRE ATT&amp;CK tactic when available.</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mitre_technique</w:t>
            </w:r>
          </w:p>
        </w:tc>
        <w:tc>
          <w:tcPr>
            <w:tcW w:type="dxa" w:w="1400"/>
            <w:tcMar>
              <w:top w:w="80" w:type="dxa"/>
              <w:start w:w="120" w:type="dxa"/>
              <w:bottom w:w="80" w:type="dxa"/>
              <w:end w:w="120" w:type="dxa"/>
            </w:tcMar>
            <w:vAlign w:val="top"/>
          </w:tcPr>
          <w:p>
            <w:pPr>
              <w:spacing w:after="40" w:line="276" w:lineRule="auto"/>
            </w:pPr>
            <w:r>
              <w:rPr>
                <w:rFonts w:ascii="Calibri" w:hAnsi="Calibri"/>
                <w:sz w:val="18"/>
              </w:rPr>
              <w:t>string</w:t>
            </w:r>
          </w:p>
        </w:tc>
        <w:tc>
          <w:tcPr>
            <w:tcW w:type="dxa" w:w="5860"/>
            <w:tcMar>
              <w:top w:w="80" w:type="dxa"/>
              <w:start w:w="120" w:type="dxa"/>
              <w:bottom w:w="80" w:type="dxa"/>
              <w:end w:w="120" w:type="dxa"/>
            </w:tcMar>
            <w:vAlign w:val="top"/>
          </w:tcPr>
          <w:p>
            <w:pPr>
              <w:spacing w:after="40" w:line="276" w:lineRule="auto"/>
            </w:pPr>
            <w:r>
              <w:rPr>
                <w:rFonts w:ascii="Calibri" w:hAnsi="Calibri"/>
                <w:sz w:val="18"/>
              </w:rPr>
              <w:t>MITRE ATT&amp;CK technique when available.</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raw_alert</w:t>
            </w:r>
          </w:p>
        </w:tc>
        <w:tc>
          <w:tcPr>
            <w:tcW w:type="dxa" w:w="1400"/>
            <w:tcMar>
              <w:top w:w="80" w:type="dxa"/>
              <w:start w:w="120" w:type="dxa"/>
              <w:bottom w:w="80" w:type="dxa"/>
              <w:end w:w="120" w:type="dxa"/>
            </w:tcMar>
            <w:vAlign w:val="top"/>
          </w:tcPr>
          <w:p>
            <w:pPr>
              <w:spacing w:after="40" w:line="276" w:lineRule="auto"/>
            </w:pPr>
            <w:r>
              <w:rPr>
                <w:rFonts w:ascii="Calibri" w:hAnsi="Calibri"/>
                <w:sz w:val="18"/>
              </w:rPr>
              <w:t>object</w:t>
            </w:r>
          </w:p>
        </w:tc>
        <w:tc>
          <w:tcPr>
            <w:tcW w:type="dxa" w:w="5860"/>
            <w:tcMar>
              <w:top w:w="80" w:type="dxa"/>
              <w:start w:w="120" w:type="dxa"/>
              <w:bottom w:w="80" w:type="dxa"/>
              <w:end w:w="120" w:type="dxa"/>
            </w:tcMar>
            <w:vAlign w:val="top"/>
          </w:tcPr>
          <w:p>
            <w:pPr>
              <w:spacing w:after="40" w:line="276" w:lineRule="auto"/>
            </w:pPr>
            <w:r>
              <w:rPr>
                <w:rFonts w:ascii="Calibri" w:hAnsi="Calibri"/>
                <w:sz w:val="18"/>
              </w:rPr>
              <w:t>Original source payload for analyst review.</w:t>
            </w:r>
          </w:p>
        </w:tc>
      </w:tr>
    </w:tbl>
    <w:p>
      <w:pPr>
        <w:pStyle w:val="Heading2"/>
      </w:pPr>
      <w:r>
        <w:t>Example Payload</w:t>
      </w:r>
    </w:p>
    <w:p>
      <w:r>
        <w:rPr>
          <w:rFonts w:ascii="Consolas" w:hAnsi="Consolas"/>
          <w:sz w:val="16"/>
        </w:rPr>
        <w:t>{</w:t>
        <w:br/>
        <w:t xml:space="preserve">  "event_id": "siem-1700000000.123",</w:t>
        <w:br/>
        <w:t xml:space="preserve">  "title": "Suspicious authentication activity",</w:t>
        <w:br/>
        <w:t xml:space="preserve">  "description": "Multiple failed logins followed by a successful login.",</w:t>
        <w:br/>
        <w:t xml:space="preserve">  "severity": "High",</w:t>
        <w:br/>
        <w:t xml:space="preserve">  "source": "SIEM Webhook",</w:t>
        <w:br/>
        <w:t xml:space="preserve">  "rule_id": "AUTH-001",</w:t>
        <w:br/>
        <w:t xml:space="preserve">  "affected_host": "workstation-01",</w:t>
        <w:br/>
        <w:t xml:space="preserve">  "affected_user": "jdoe",</w:t>
        <w:br/>
        <w:t xml:space="preserve">  "source_ip": "192.168.1.50",</w:t>
        <w:br/>
        <w:t xml:space="preserve">  "destination_ip": "10.0.0.20",</w:t>
        <w:br/>
        <w:t xml:space="preserve">  "mitre_tactic": "Credential Access",</w:t>
        <w:br/>
        <w:t xml:space="preserve">  "mitre_technique": "T1110",</w:t>
        <w:br/>
        <w:t xml:space="preserve">  "raw_alert": {"provider": "example-siem", "rule": {"id": "AUTH-001", "groups": ["authentication"]}}</w:t>
        <w:br/>
        <w:t>}</w:t>
      </w:r>
    </w:p>
    <w:p>
      <w:pPr>
        <w:pStyle w:val="Heading1"/>
      </w:pPr>
      <w:r>
        <w:t>21. SIEM and SOAR Integration Guide</w:t>
      </w:r>
    </w:p>
    <w:p>
      <w:r>
        <w:t>AstoraSOC is designed as a SIEM/SOAR-agnostic incident response intake layer. Any security platform that can send JSON over HTTP, run a bridge script, or relay through a SOAR workflow can send alerts to AstoraSOC using the same webhook architecture. Wazuh is included as one ready-to-use integration example, not the only supported source.</w:t>
      </w:r>
    </w:p>
    <w:p>
      <w:pPr>
        <w:pStyle w:val="ListBullet"/>
      </w:pPr>
      <w:r>
        <w:t>Use /api/webhook/alert as the common intake endpoint for all SIEM/SOAR sources.</w:t>
      </w:r>
    </w:p>
    <w:p>
      <w:pPr>
        <w:pStyle w:val="ListBullet"/>
      </w:pPr>
      <w:r>
        <w:t>Send X-API-Key with an AstoraSOC webhook key and JSON payload fields such as event_id, title, severity, source, rule_id, host, user, IPs, MITRE, and raw_alert.</w:t>
      </w:r>
    </w:p>
    <w:p>
      <w:pPr>
        <w:pStyle w:val="ListBullet"/>
      </w:pPr>
      <w:r>
        <w:t>Use direct webhooks when the source supports custom headers and JSON bodies.</w:t>
      </w:r>
    </w:p>
    <w:p>
      <w:pPr>
        <w:pStyle w:val="ListBullet"/>
      </w:pPr>
      <w:r>
        <w:t>Use bridge scripts when a source cannot directly format AstoraSOC payloads.</w:t>
      </w:r>
    </w:p>
    <w:p>
      <w:pPr>
        <w:pStyle w:val="ListBullet"/>
      </w:pPr>
      <w:r>
        <w:t>AstoraSOC includes SIEM Integrations/Wazuh/custom-astorasoc.py as a dependency-free Wazuh example for minimal Wazuh Docker environments.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000"/>
        <w:gridCol w:w="6360"/>
      </w:tblGrid>
      <w:tr>
        <w:tc>
          <w:tcPr>
            <w:tcW w:type="dxa" w:w="3000"/>
            <w:shd w:fill="E8EEF5"/>
            <w:tcMar>
              <w:top w:w="80" w:type="dxa"/>
              <w:start w:w="120" w:type="dxa"/>
              <w:bottom w:w="80" w:type="dxa"/>
              <w:end w:w="120" w:type="dxa"/>
            </w:tcMar>
            <w:vAlign w:val="top"/>
          </w:tcPr>
          <w:p>
            <w:pPr>
              <w:spacing w:after="40" w:line="276" w:lineRule="auto"/>
            </w:pPr>
            <w:r>
              <w:rPr>
                <w:rFonts w:ascii="Calibri" w:hAnsi="Calibri"/>
                <w:b/>
                <w:color w:val="102027"/>
                <w:sz w:val="18"/>
              </w:rPr>
              <w:t>Platform</w:t>
            </w:r>
          </w:p>
        </w:tc>
        <w:tc>
          <w:tcPr>
            <w:tcW w:type="dxa" w:w="6360"/>
            <w:shd w:fill="E8EEF5"/>
            <w:tcMar>
              <w:top w:w="80" w:type="dxa"/>
              <w:start w:w="120" w:type="dxa"/>
              <w:bottom w:w="80" w:type="dxa"/>
              <w:end w:w="120" w:type="dxa"/>
            </w:tcMar>
            <w:vAlign w:val="top"/>
          </w:tcPr>
          <w:p>
            <w:pPr>
              <w:spacing w:after="40" w:line="276" w:lineRule="auto"/>
            </w:pPr>
            <w:r>
              <w:rPr>
                <w:rFonts w:ascii="Calibri" w:hAnsi="Calibri"/>
                <w:b/>
                <w:color w:val="102027"/>
                <w:sz w:val="18"/>
              </w:rPr>
              <w:t>Recommended Pattern</w:t>
            </w:r>
          </w:p>
        </w:tc>
      </w:tr>
      <w:tr>
        <w:tc>
          <w:tcPr>
            <w:tcW w:type="dxa" w:w="3000"/>
            <w:tcMar>
              <w:top w:w="80" w:type="dxa"/>
              <w:start w:w="120" w:type="dxa"/>
              <w:bottom w:w="80" w:type="dxa"/>
              <w:end w:w="120" w:type="dxa"/>
            </w:tcMar>
            <w:vAlign w:val="top"/>
          </w:tcPr>
          <w:p>
            <w:pPr>
              <w:spacing w:after="40" w:line="276" w:lineRule="auto"/>
            </w:pPr>
            <w:r>
              <w:rPr>
                <w:rFonts w:ascii="Calibri" w:hAnsi="Calibri"/>
                <w:sz w:val="18"/>
              </w:rPr>
              <w:t>Splunk Enterprise / Splunk ES</w:t>
            </w:r>
          </w:p>
        </w:tc>
        <w:tc>
          <w:tcPr>
            <w:tcW w:type="dxa" w:w="6360"/>
            <w:tcMar>
              <w:top w:w="80" w:type="dxa"/>
              <w:start w:w="120" w:type="dxa"/>
              <w:bottom w:w="80" w:type="dxa"/>
              <w:end w:w="120" w:type="dxa"/>
            </w:tcMar>
            <w:vAlign w:val="top"/>
          </w:tcPr>
          <w:p>
            <w:pPr>
              <w:spacing w:after="40" w:line="276" w:lineRule="auto"/>
            </w:pPr>
            <w:r>
              <w:rPr>
                <w:rFonts w:ascii="Calibri" w:hAnsi="Calibri"/>
                <w:sz w:val="18"/>
              </w:rPr>
              <w:t>Use alert actions or webhook integrations to POST normalized JSON to AstoraSOC.</w:t>
            </w:r>
          </w:p>
        </w:tc>
      </w:tr>
      <w:tr>
        <w:tc>
          <w:tcPr>
            <w:tcW w:type="dxa" w:w="3000"/>
            <w:tcMar>
              <w:top w:w="80" w:type="dxa"/>
              <w:start w:w="120" w:type="dxa"/>
              <w:bottom w:w="80" w:type="dxa"/>
              <w:end w:w="120" w:type="dxa"/>
            </w:tcMar>
            <w:vAlign w:val="top"/>
          </w:tcPr>
          <w:p>
            <w:pPr>
              <w:spacing w:after="40" w:line="276" w:lineRule="auto"/>
            </w:pPr>
            <w:r>
              <w:rPr>
                <w:rFonts w:ascii="Calibri" w:hAnsi="Calibri"/>
                <w:sz w:val="18"/>
              </w:rPr>
              <w:t>Microsoft Sentinel</w:t>
            </w:r>
          </w:p>
        </w:tc>
        <w:tc>
          <w:tcPr>
            <w:tcW w:type="dxa" w:w="6360"/>
            <w:tcMar>
              <w:top w:w="80" w:type="dxa"/>
              <w:start w:w="120" w:type="dxa"/>
              <w:bottom w:w="80" w:type="dxa"/>
              <w:end w:w="120" w:type="dxa"/>
            </w:tcMar>
            <w:vAlign w:val="top"/>
          </w:tcPr>
          <w:p>
            <w:pPr>
              <w:spacing w:after="40" w:line="276" w:lineRule="auto"/>
            </w:pPr>
            <w:r>
              <w:rPr>
                <w:rFonts w:ascii="Calibri" w:hAnsi="Calibri"/>
                <w:sz w:val="18"/>
              </w:rPr>
              <w:t>Use Logic Apps or automation rules to call AstoraSOC webhook.</w:t>
            </w:r>
          </w:p>
        </w:tc>
      </w:tr>
      <w:tr>
        <w:tc>
          <w:tcPr>
            <w:tcW w:type="dxa" w:w="3000"/>
            <w:tcMar>
              <w:top w:w="80" w:type="dxa"/>
              <w:start w:w="120" w:type="dxa"/>
              <w:bottom w:w="80" w:type="dxa"/>
              <w:end w:w="120" w:type="dxa"/>
            </w:tcMar>
            <w:vAlign w:val="top"/>
          </w:tcPr>
          <w:p>
            <w:pPr>
              <w:spacing w:after="40" w:line="276" w:lineRule="auto"/>
            </w:pPr>
            <w:r>
              <w:rPr>
                <w:rFonts w:ascii="Calibri" w:hAnsi="Calibri"/>
                <w:sz w:val="18"/>
              </w:rPr>
              <w:t>Elastic Security</w:t>
            </w:r>
          </w:p>
        </w:tc>
        <w:tc>
          <w:tcPr>
            <w:tcW w:type="dxa" w:w="6360"/>
            <w:tcMar>
              <w:top w:w="80" w:type="dxa"/>
              <w:start w:w="120" w:type="dxa"/>
              <w:bottom w:w="80" w:type="dxa"/>
              <w:end w:w="120" w:type="dxa"/>
            </w:tcMar>
            <w:vAlign w:val="top"/>
          </w:tcPr>
          <w:p>
            <w:pPr>
              <w:spacing w:after="40" w:line="276" w:lineRule="auto"/>
            </w:pPr>
            <w:r>
              <w:rPr>
                <w:rFonts w:ascii="Calibri" w:hAnsi="Calibri"/>
                <w:sz w:val="18"/>
              </w:rPr>
              <w:t>Use connectors, webhooks, or rule actions to send alerts.</w:t>
            </w:r>
          </w:p>
        </w:tc>
      </w:tr>
      <w:tr>
        <w:tc>
          <w:tcPr>
            <w:tcW w:type="dxa" w:w="3000"/>
            <w:tcMar>
              <w:top w:w="80" w:type="dxa"/>
              <w:start w:w="120" w:type="dxa"/>
              <w:bottom w:w="80" w:type="dxa"/>
              <w:end w:w="120" w:type="dxa"/>
            </w:tcMar>
            <w:vAlign w:val="top"/>
          </w:tcPr>
          <w:p>
            <w:pPr>
              <w:spacing w:after="40" w:line="276" w:lineRule="auto"/>
            </w:pPr>
            <w:r>
              <w:rPr>
                <w:rFonts w:ascii="Calibri" w:hAnsi="Calibri"/>
                <w:sz w:val="18"/>
              </w:rPr>
              <w:t>IBM QRadar</w:t>
            </w:r>
          </w:p>
        </w:tc>
        <w:tc>
          <w:tcPr>
            <w:tcW w:type="dxa" w:w="6360"/>
            <w:tcMar>
              <w:top w:w="80" w:type="dxa"/>
              <w:start w:w="120" w:type="dxa"/>
              <w:bottom w:w="80" w:type="dxa"/>
              <w:end w:w="120" w:type="dxa"/>
            </w:tcMar>
            <w:vAlign w:val="top"/>
          </w:tcPr>
          <w:p>
            <w:pPr>
              <w:spacing w:after="40" w:line="276" w:lineRule="auto"/>
            </w:pPr>
            <w:r>
              <w:rPr>
                <w:rFonts w:ascii="Calibri" w:hAnsi="Calibri"/>
                <w:sz w:val="18"/>
              </w:rPr>
              <w:t>Use custom action scripts or SOAR bridge to call AstoraSOC.</w:t>
            </w:r>
          </w:p>
        </w:tc>
      </w:tr>
      <w:tr>
        <w:tc>
          <w:tcPr>
            <w:tcW w:type="dxa" w:w="3000"/>
            <w:tcMar>
              <w:top w:w="80" w:type="dxa"/>
              <w:start w:w="120" w:type="dxa"/>
              <w:bottom w:w="80" w:type="dxa"/>
              <w:end w:w="120" w:type="dxa"/>
            </w:tcMar>
            <w:vAlign w:val="top"/>
          </w:tcPr>
          <w:p>
            <w:pPr>
              <w:spacing w:after="40" w:line="276" w:lineRule="auto"/>
            </w:pPr>
            <w:r>
              <w:rPr>
                <w:rFonts w:ascii="Calibri" w:hAnsi="Calibri"/>
                <w:sz w:val="18"/>
              </w:rPr>
              <w:t>Google Chronicle / SecOps</w:t>
            </w:r>
          </w:p>
        </w:tc>
        <w:tc>
          <w:tcPr>
            <w:tcW w:type="dxa" w:w="6360"/>
            <w:tcMar>
              <w:top w:w="80" w:type="dxa"/>
              <w:start w:w="120" w:type="dxa"/>
              <w:bottom w:w="80" w:type="dxa"/>
              <w:end w:w="120" w:type="dxa"/>
            </w:tcMar>
            <w:vAlign w:val="top"/>
          </w:tcPr>
          <w:p>
            <w:pPr>
              <w:spacing w:after="40" w:line="276" w:lineRule="auto"/>
            </w:pPr>
            <w:r>
              <w:rPr>
                <w:rFonts w:ascii="Calibri" w:hAnsi="Calibri"/>
                <w:sz w:val="18"/>
              </w:rPr>
              <w:t>Use integration webhook or cloud function bridge.</w:t>
            </w:r>
          </w:p>
        </w:tc>
      </w:tr>
      <w:tr>
        <w:tc>
          <w:tcPr>
            <w:tcW w:type="dxa" w:w="3000"/>
            <w:tcMar>
              <w:top w:w="80" w:type="dxa"/>
              <w:start w:w="120" w:type="dxa"/>
              <w:bottom w:w="80" w:type="dxa"/>
              <w:end w:w="120" w:type="dxa"/>
            </w:tcMar>
            <w:vAlign w:val="top"/>
          </w:tcPr>
          <w:p>
            <w:pPr>
              <w:spacing w:after="40" w:line="276" w:lineRule="auto"/>
            </w:pPr>
            <w:r>
              <w:rPr>
                <w:rFonts w:ascii="Calibri" w:hAnsi="Calibri"/>
                <w:sz w:val="18"/>
              </w:rPr>
              <w:t>Graylog</w:t>
            </w:r>
          </w:p>
        </w:tc>
        <w:tc>
          <w:tcPr>
            <w:tcW w:type="dxa" w:w="6360"/>
            <w:tcMar>
              <w:top w:w="80" w:type="dxa"/>
              <w:start w:w="120" w:type="dxa"/>
              <w:bottom w:w="80" w:type="dxa"/>
              <w:end w:w="120" w:type="dxa"/>
            </w:tcMar>
            <w:vAlign w:val="top"/>
          </w:tcPr>
          <w:p>
            <w:pPr>
              <w:spacing w:after="40" w:line="276" w:lineRule="auto"/>
            </w:pPr>
            <w:r>
              <w:rPr>
                <w:rFonts w:ascii="Calibri" w:hAnsi="Calibri"/>
                <w:sz w:val="18"/>
              </w:rPr>
              <w:t>Use event notification HTTP callbacks.</w:t>
            </w:r>
          </w:p>
        </w:tc>
      </w:tr>
      <w:tr>
        <w:tc>
          <w:tcPr>
            <w:tcW w:type="dxa" w:w="3000"/>
            <w:tcMar>
              <w:top w:w="80" w:type="dxa"/>
              <w:start w:w="120" w:type="dxa"/>
              <w:bottom w:w="80" w:type="dxa"/>
              <w:end w:w="120" w:type="dxa"/>
            </w:tcMar>
            <w:vAlign w:val="top"/>
          </w:tcPr>
          <w:p>
            <w:pPr>
              <w:spacing w:after="40" w:line="276" w:lineRule="auto"/>
            </w:pPr>
            <w:r>
              <w:rPr>
                <w:rFonts w:ascii="Calibri" w:hAnsi="Calibri"/>
                <w:sz w:val="18"/>
              </w:rPr>
              <w:t>LogRhythm</w:t>
            </w:r>
          </w:p>
        </w:tc>
        <w:tc>
          <w:tcPr>
            <w:tcW w:type="dxa" w:w="6360"/>
            <w:tcMar>
              <w:top w:w="80" w:type="dxa"/>
              <w:start w:w="120" w:type="dxa"/>
              <w:bottom w:w="80" w:type="dxa"/>
              <w:end w:w="120" w:type="dxa"/>
            </w:tcMar>
            <w:vAlign w:val="top"/>
          </w:tcPr>
          <w:p>
            <w:pPr>
              <w:spacing w:after="40" w:line="276" w:lineRule="auto"/>
            </w:pPr>
            <w:r>
              <w:rPr>
                <w:rFonts w:ascii="Calibri" w:hAnsi="Calibri"/>
                <w:sz w:val="18"/>
              </w:rPr>
              <w:t>Use SmartResponse or webhook bridge.</w:t>
            </w:r>
          </w:p>
        </w:tc>
      </w:tr>
      <w:tr>
        <w:tc>
          <w:tcPr>
            <w:tcW w:type="dxa" w:w="3000"/>
            <w:tcMar>
              <w:top w:w="80" w:type="dxa"/>
              <w:start w:w="120" w:type="dxa"/>
              <w:bottom w:w="80" w:type="dxa"/>
              <w:end w:w="120" w:type="dxa"/>
            </w:tcMar>
            <w:vAlign w:val="top"/>
          </w:tcPr>
          <w:p>
            <w:pPr>
              <w:spacing w:after="40" w:line="276" w:lineRule="auto"/>
            </w:pPr>
            <w:r>
              <w:rPr>
                <w:rFonts w:ascii="Calibri" w:hAnsi="Calibri"/>
                <w:sz w:val="18"/>
              </w:rPr>
              <w:t>ArcSight</w:t>
            </w:r>
          </w:p>
        </w:tc>
        <w:tc>
          <w:tcPr>
            <w:tcW w:type="dxa" w:w="6360"/>
            <w:tcMar>
              <w:top w:w="80" w:type="dxa"/>
              <w:start w:w="120" w:type="dxa"/>
              <w:bottom w:w="80" w:type="dxa"/>
              <w:end w:w="120" w:type="dxa"/>
            </w:tcMar>
            <w:vAlign w:val="top"/>
          </w:tcPr>
          <w:p>
            <w:pPr>
              <w:spacing w:after="40" w:line="276" w:lineRule="auto"/>
            </w:pPr>
            <w:r>
              <w:rPr>
                <w:rFonts w:ascii="Calibri" w:hAnsi="Calibri"/>
                <w:sz w:val="18"/>
              </w:rPr>
              <w:t>Use connector/action bridge to normalize events.</w:t>
            </w:r>
          </w:p>
        </w:tc>
      </w:tr>
      <w:tr>
        <w:tc>
          <w:tcPr>
            <w:tcW w:type="dxa" w:w="3000"/>
            <w:tcMar>
              <w:top w:w="80" w:type="dxa"/>
              <w:start w:w="120" w:type="dxa"/>
              <w:bottom w:w="80" w:type="dxa"/>
              <w:end w:w="120" w:type="dxa"/>
            </w:tcMar>
            <w:vAlign w:val="top"/>
          </w:tcPr>
          <w:p>
            <w:pPr>
              <w:spacing w:after="40" w:line="276" w:lineRule="auto"/>
            </w:pPr>
            <w:r>
              <w:rPr>
                <w:rFonts w:ascii="Calibri" w:hAnsi="Calibri"/>
                <w:sz w:val="18"/>
              </w:rPr>
              <w:t>Security Onion</w:t>
            </w:r>
          </w:p>
        </w:tc>
        <w:tc>
          <w:tcPr>
            <w:tcW w:type="dxa" w:w="6360"/>
            <w:tcMar>
              <w:top w:w="80" w:type="dxa"/>
              <w:start w:w="120" w:type="dxa"/>
              <w:bottom w:w="80" w:type="dxa"/>
              <w:end w:w="120" w:type="dxa"/>
            </w:tcMar>
            <w:vAlign w:val="top"/>
          </w:tcPr>
          <w:p>
            <w:pPr>
              <w:spacing w:after="40" w:line="276" w:lineRule="auto"/>
            </w:pPr>
            <w:r>
              <w:rPr>
                <w:rFonts w:ascii="Calibri" w:hAnsi="Calibri"/>
                <w:sz w:val="18"/>
              </w:rPr>
              <w:t>Forward detections through webhook/script bridge.</w:t>
            </w:r>
          </w:p>
        </w:tc>
      </w:tr>
      <w:tr>
        <w:tc>
          <w:tcPr>
            <w:tcW w:type="dxa" w:w="3000"/>
            <w:tcMar>
              <w:top w:w="80" w:type="dxa"/>
              <w:start w:w="120" w:type="dxa"/>
              <w:bottom w:w="80" w:type="dxa"/>
              <w:end w:w="120" w:type="dxa"/>
            </w:tcMar>
            <w:vAlign w:val="top"/>
          </w:tcPr>
          <w:p>
            <w:pPr>
              <w:spacing w:after="40" w:line="276" w:lineRule="auto"/>
            </w:pPr>
            <w:r>
              <w:rPr>
                <w:rFonts w:ascii="Calibri" w:hAnsi="Calibri"/>
                <w:sz w:val="18"/>
              </w:rPr>
              <w:t>AlienVault / USM</w:t>
            </w:r>
          </w:p>
        </w:tc>
        <w:tc>
          <w:tcPr>
            <w:tcW w:type="dxa" w:w="6360"/>
            <w:tcMar>
              <w:top w:w="80" w:type="dxa"/>
              <w:start w:w="120" w:type="dxa"/>
              <w:bottom w:w="80" w:type="dxa"/>
              <w:end w:w="120" w:type="dxa"/>
            </w:tcMar>
            <w:vAlign w:val="top"/>
          </w:tcPr>
          <w:p>
            <w:pPr>
              <w:spacing w:after="40" w:line="276" w:lineRule="auto"/>
            </w:pPr>
            <w:r>
              <w:rPr>
                <w:rFonts w:ascii="Calibri" w:hAnsi="Calibri"/>
                <w:sz w:val="18"/>
              </w:rPr>
              <w:t>Use alarm webhook or API polling bridge.</w:t>
            </w:r>
          </w:p>
        </w:tc>
      </w:tr>
    </w:tbl>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3500"/>
        <w:gridCol w:w="3760"/>
      </w:tblGrid>
      <w:tr>
        <w:tc>
          <w:tcPr>
            <w:tcW w:type="dxa" w:w="2100"/>
            <w:shd w:fill="E8EEF5"/>
            <w:tcMar>
              <w:top w:w="80" w:type="dxa"/>
              <w:start w:w="120" w:type="dxa"/>
              <w:bottom w:w="80" w:type="dxa"/>
              <w:end w:w="120" w:type="dxa"/>
            </w:tcMar>
            <w:vAlign w:val="top"/>
          </w:tcPr>
          <w:p>
            <w:pPr>
              <w:spacing w:after="40" w:line="276" w:lineRule="auto"/>
            </w:pPr>
            <w:r>
              <w:rPr>
                <w:rFonts w:ascii="Calibri" w:hAnsi="Calibri"/>
                <w:b/>
                <w:color w:val="102027"/>
                <w:sz w:val="18"/>
              </w:rPr>
              <w:t>Pattern</w:t>
            </w:r>
          </w:p>
        </w:tc>
        <w:tc>
          <w:tcPr>
            <w:tcW w:type="dxa" w:w="3500"/>
            <w:shd w:fill="E8EEF5"/>
            <w:tcMar>
              <w:top w:w="80" w:type="dxa"/>
              <w:start w:w="120" w:type="dxa"/>
              <w:bottom w:w="80" w:type="dxa"/>
              <w:end w:w="120" w:type="dxa"/>
            </w:tcMar>
            <w:vAlign w:val="top"/>
          </w:tcPr>
          <w:p>
            <w:pPr>
              <w:spacing w:after="40" w:line="276" w:lineRule="auto"/>
            </w:pPr>
            <w:r>
              <w:rPr>
                <w:rFonts w:ascii="Calibri" w:hAnsi="Calibri"/>
                <w:b/>
                <w:color w:val="102027"/>
                <w:sz w:val="18"/>
              </w:rPr>
              <w:t>When to Use</w:t>
            </w:r>
          </w:p>
        </w:tc>
        <w:tc>
          <w:tcPr>
            <w:tcW w:type="dxa" w:w="3760"/>
            <w:shd w:fill="E8EEF5"/>
            <w:tcMar>
              <w:top w:w="80" w:type="dxa"/>
              <w:start w:w="120" w:type="dxa"/>
              <w:bottom w:w="80" w:type="dxa"/>
              <w:end w:w="120" w:type="dxa"/>
            </w:tcMar>
            <w:vAlign w:val="top"/>
          </w:tcPr>
          <w:p>
            <w:pPr>
              <w:spacing w:after="40" w:line="276" w:lineRule="auto"/>
            </w:pPr>
            <w:r>
              <w:rPr>
                <w:rFonts w:ascii="Calibri" w:hAnsi="Calibri"/>
                <w:b/>
                <w:color w:val="102027"/>
                <w:sz w:val="18"/>
              </w:rPr>
              <w:t>Notes</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Direct webhook</w:t>
            </w:r>
          </w:p>
        </w:tc>
        <w:tc>
          <w:tcPr>
            <w:tcW w:type="dxa" w:w="3500"/>
            <w:tcMar>
              <w:top w:w="80" w:type="dxa"/>
              <w:start w:w="120" w:type="dxa"/>
              <w:bottom w:w="80" w:type="dxa"/>
              <w:end w:w="120" w:type="dxa"/>
            </w:tcMar>
            <w:vAlign w:val="top"/>
          </w:tcPr>
          <w:p>
            <w:pPr>
              <w:spacing w:after="40" w:line="276" w:lineRule="auto"/>
            </w:pPr>
            <w:r>
              <w:rPr>
                <w:rFonts w:ascii="Calibri" w:hAnsi="Calibri"/>
                <w:sz w:val="18"/>
              </w:rPr>
              <w:t>SIEM supports outbound HTTP POST with custom header.</w:t>
            </w:r>
          </w:p>
        </w:tc>
        <w:tc>
          <w:tcPr>
            <w:tcW w:type="dxa" w:w="3760"/>
            <w:tcMar>
              <w:top w:w="80" w:type="dxa"/>
              <w:start w:w="120" w:type="dxa"/>
              <w:bottom w:w="80" w:type="dxa"/>
              <w:end w:w="120" w:type="dxa"/>
            </w:tcMar>
            <w:vAlign w:val="top"/>
          </w:tcPr>
          <w:p>
            <w:pPr>
              <w:spacing w:after="40" w:line="276" w:lineRule="auto"/>
            </w:pPr>
            <w:r>
              <w:rPr>
                <w:rFonts w:ascii="Calibri" w:hAnsi="Calibri"/>
                <w:sz w:val="18"/>
              </w:rPr>
              <w:t>Simplest and preferred pattern.</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Bridge script</w:t>
            </w:r>
          </w:p>
        </w:tc>
        <w:tc>
          <w:tcPr>
            <w:tcW w:type="dxa" w:w="3500"/>
            <w:tcMar>
              <w:top w:w="80" w:type="dxa"/>
              <w:start w:w="120" w:type="dxa"/>
              <w:bottom w:w="80" w:type="dxa"/>
              <w:end w:w="120" w:type="dxa"/>
            </w:tcMar>
            <w:vAlign w:val="top"/>
          </w:tcPr>
          <w:p>
            <w:pPr>
              <w:spacing w:after="40" w:line="276" w:lineRule="auto"/>
            </w:pPr>
            <w:r>
              <w:rPr>
                <w:rFonts w:ascii="Calibri" w:hAnsi="Calibri"/>
                <w:sz w:val="18"/>
              </w:rPr>
              <w:t>SIEM can run a script but cannot format AstoraSOC payload directly.</w:t>
            </w:r>
          </w:p>
        </w:tc>
        <w:tc>
          <w:tcPr>
            <w:tcW w:type="dxa" w:w="3760"/>
            <w:tcMar>
              <w:top w:w="80" w:type="dxa"/>
              <w:start w:w="120" w:type="dxa"/>
              <w:bottom w:w="80" w:type="dxa"/>
              <w:end w:w="120" w:type="dxa"/>
            </w:tcMar>
            <w:vAlign w:val="top"/>
          </w:tcPr>
          <w:p>
            <w:pPr>
              <w:spacing w:after="40" w:line="276" w:lineRule="auto"/>
            </w:pPr>
            <w:r>
              <w:rPr>
                <w:rFonts w:ascii="Calibri" w:hAnsi="Calibri"/>
                <w:sz w:val="18"/>
              </w:rPr>
              <w:t>Normalize fields and send X-API-Key.</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SOAR relay</w:t>
            </w:r>
          </w:p>
        </w:tc>
        <w:tc>
          <w:tcPr>
            <w:tcW w:type="dxa" w:w="3500"/>
            <w:tcMar>
              <w:top w:w="80" w:type="dxa"/>
              <w:start w:w="120" w:type="dxa"/>
              <w:bottom w:w="80" w:type="dxa"/>
              <w:end w:w="120" w:type="dxa"/>
            </w:tcMar>
            <w:vAlign w:val="top"/>
          </w:tcPr>
          <w:p>
            <w:pPr>
              <w:spacing w:after="40" w:line="276" w:lineRule="auto"/>
            </w:pPr>
            <w:r>
              <w:rPr>
                <w:rFonts w:ascii="Calibri" w:hAnsi="Calibri"/>
                <w:sz w:val="18"/>
              </w:rPr>
              <w:t>Existing SOAR orchestrates detection workflow.</w:t>
            </w:r>
          </w:p>
        </w:tc>
        <w:tc>
          <w:tcPr>
            <w:tcW w:type="dxa" w:w="3760"/>
            <w:tcMar>
              <w:top w:w="80" w:type="dxa"/>
              <w:start w:w="120" w:type="dxa"/>
              <w:bottom w:w="80" w:type="dxa"/>
              <w:end w:w="120" w:type="dxa"/>
            </w:tcMar>
            <w:vAlign w:val="top"/>
          </w:tcPr>
          <w:p>
            <w:pPr>
              <w:spacing w:after="40" w:line="276" w:lineRule="auto"/>
            </w:pPr>
            <w:r>
              <w:rPr>
                <w:rFonts w:ascii="Calibri" w:hAnsi="Calibri"/>
                <w:sz w:val="18"/>
              </w:rPr>
              <w:t>SOAR can enrich alert before AstoraSOC case creation.</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Scheduled API polling</w:t>
            </w:r>
          </w:p>
        </w:tc>
        <w:tc>
          <w:tcPr>
            <w:tcW w:type="dxa" w:w="3500"/>
            <w:tcMar>
              <w:top w:w="80" w:type="dxa"/>
              <w:start w:w="120" w:type="dxa"/>
              <w:bottom w:w="80" w:type="dxa"/>
              <w:end w:w="120" w:type="dxa"/>
            </w:tcMar>
            <w:vAlign w:val="top"/>
          </w:tcPr>
          <w:p>
            <w:pPr>
              <w:spacing w:after="40" w:line="276" w:lineRule="auto"/>
            </w:pPr>
            <w:r>
              <w:rPr>
                <w:rFonts w:ascii="Calibri" w:hAnsi="Calibri"/>
                <w:sz w:val="18"/>
              </w:rPr>
              <w:t>SIEM lacks alert webhooks but has query API.</w:t>
            </w:r>
          </w:p>
        </w:tc>
        <w:tc>
          <w:tcPr>
            <w:tcW w:type="dxa" w:w="3760"/>
            <w:tcMar>
              <w:top w:w="80" w:type="dxa"/>
              <w:start w:w="120" w:type="dxa"/>
              <w:bottom w:w="80" w:type="dxa"/>
              <w:end w:w="120" w:type="dxa"/>
            </w:tcMar>
            <w:vAlign w:val="top"/>
          </w:tcPr>
          <w:p>
            <w:pPr>
              <w:spacing w:after="40" w:line="276" w:lineRule="auto"/>
            </w:pPr>
            <w:r>
              <w:rPr>
                <w:rFonts w:ascii="Calibri" w:hAnsi="Calibri"/>
                <w:sz w:val="18"/>
              </w:rPr>
              <w:t>Use a small service to poll, de-duplicate, and post to AstoraSOC.</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Email parser</w:t>
            </w:r>
          </w:p>
        </w:tc>
        <w:tc>
          <w:tcPr>
            <w:tcW w:type="dxa" w:w="3500"/>
            <w:tcMar>
              <w:top w:w="80" w:type="dxa"/>
              <w:start w:w="120" w:type="dxa"/>
              <w:bottom w:w="80" w:type="dxa"/>
              <w:end w:w="120" w:type="dxa"/>
            </w:tcMar>
            <w:vAlign w:val="top"/>
          </w:tcPr>
          <w:p>
            <w:pPr>
              <w:spacing w:after="40" w:line="276" w:lineRule="auto"/>
            </w:pPr>
            <w:r>
              <w:rPr>
                <w:rFonts w:ascii="Calibri" w:hAnsi="Calibri"/>
                <w:sz w:val="18"/>
              </w:rPr>
              <w:t>Legacy systems only send email.</w:t>
            </w:r>
          </w:p>
        </w:tc>
        <w:tc>
          <w:tcPr>
            <w:tcW w:type="dxa" w:w="3760"/>
            <w:tcMar>
              <w:top w:w="80" w:type="dxa"/>
              <w:start w:w="120" w:type="dxa"/>
              <w:bottom w:w="80" w:type="dxa"/>
              <w:end w:w="120" w:type="dxa"/>
            </w:tcMar>
            <w:vAlign w:val="top"/>
          </w:tcPr>
          <w:p>
            <w:pPr>
              <w:spacing w:after="40" w:line="276" w:lineRule="auto"/>
            </w:pPr>
            <w:r>
              <w:rPr>
                <w:rFonts w:ascii="Calibri" w:hAnsi="Calibri"/>
                <w:sz w:val="18"/>
              </w:rPr>
              <w:t>Use only as fallback; less structured and harder to secure.</w:t>
            </w:r>
          </w:p>
        </w:tc>
      </w:tr>
      <w:tr>
        <w:tc>
          <w:tcPr>
            <w:tcW w:type="dxa" w:w="2100"/>
            <w:tcMar>
              <w:top w:w="80" w:type="dxa"/>
              <w:start w:w="120" w:type="dxa"/>
              <w:bottom w:w="80" w:type="dxa"/>
              <w:end w:w="120" w:type="dxa"/>
            </w:tcMar>
            <w:vAlign w:val="top"/>
          </w:tcPr>
          <w:p>
            <w:pPr>
              <w:spacing w:after="40" w:line="276" w:lineRule="auto"/>
            </w:pPr>
            <w:r>
              <w:rPr>
                <w:rFonts w:ascii="Calibri" w:hAnsi="Calibri"/>
                <w:sz w:val="18"/>
              </w:rPr>
              <w:t>CSV/manual import</w:t>
            </w:r>
          </w:p>
        </w:tc>
        <w:tc>
          <w:tcPr>
            <w:tcW w:type="dxa" w:w="3500"/>
            <w:tcMar>
              <w:top w:w="80" w:type="dxa"/>
              <w:start w:w="120" w:type="dxa"/>
              <w:bottom w:w="80" w:type="dxa"/>
              <w:end w:w="120" w:type="dxa"/>
            </w:tcMar>
            <w:vAlign w:val="top"/>
          </w:tcPr>
          <w:p>
            <w:pPr>
              <w:spacing w:after="40" w:line="276" w:lineRule="auto"/>
            </w:pPr>
            <w:r>
              <w:rPr>
                <w:rFonts w:ascii="Calibri" w:hAnsi="Calibri"/>
                <w:sz w:val="18"/>
              </w:rPr>
              <w:t>Backfill or testing.</w:t>
            </w:r>
          </w:p>
        </w:tc>
        <w:tc>
          <w:tcPr>
            <w:tcW w:type="dxa" w:w="3760"/>
            <w:tcMar>
              <w:top w:w="80" w:type="dxa"/>
              <w:start w:w="120" w:type="dxa"/>
              <w:bottom w:w="80" w:type="dxa"/>
              <w:end w:w="120" w:type="dxa"/>
            </w:tcMar>
            <w:vAlign w:val="top"/>
          </w:tcPr>
          <w:p>
            <w:pPr>
              <w:spacing w:after="40" w:line="276" w:lineRule="auto"/>
            </w:pPr>
            <w:r>
              <w:rPr>
                <w:rFonts w:ascii="Calibri" w:hAnsi="Calibri"/>
                <w:sz w:val="18"/>
              </w:rPr>
              <w:t>Useful for migration, not real-time SOC workflow.</w:t>
            </w:r>
          </w:p>
        </w:tc>
      </w:tr>
    </w:tbl>
    <w:p>
      <w:pPr>
        <w:pStyle w:val="Heading1"/>
      </w:pPr>
      <w:r>
        <w:t>22. Operational Runbooks</w:t>
      </w:r>
    </w:p>
    <w:p>
      <w:pPr>
        <w:pStyle w:val="ListNumber"/>
      </w:pPr>
      <w:r>
        <w:t>Open Dashboard and review open cases, pending review, investigating cases, MTTD, MTTR, top rules, affected assets, IOC overview, and containment metrics.</w:t>
      </w:r>
    </w:p>
    <w:p>
      <w:pPr>
        <w:pStyle w:val="ListNumber"/>
      </w:pPr>
      <w:r>
        <w:t>Leads clear pending review queue first, especially high severity or critical asset cases.</w:t>
      </w:r>
    </w:p>
    <w:p>
      <w:pPr>
        <w:pStyle w:val="ListNumber"/>
      </w:pPr>
      <w:r>
        <w:t>Junior Analysts triage new alerts and submit valid alerts for Lead review.</w:t>
      </w:r>
    </w:p>
    <w:p>
      <w:pPr>
        <w:pStyle w:val="ListNumber"/>
      </w:pPr>
      <w:r>
        <w:t>Leads assign promoted cases to Analysts based on workload and skill.</w:t>
      </w:r>
    </w:p>
    <w:p>
      <w:pPr>
        <w:pStyle w:val="ListNumber"/>
      </w:pPr>
      <w:r>
        <w:t>Analysts work assigned cases, complete playbook tasks, add IOCs, upload evidence, and maintain notes.</w:t>
      </w:r>
    </w:p>
    <w:p>
      <w:pPr>
        <w:pStyle w:val="ListNumber"/>
      </w:pPr>
      <w:r>
        <w:t>Containment requests are submitted only from case investigations with clear reason and risk level.</w:t>
      </w:r>
    </w:p>
    <w:p>
      <w:pPr>
        <w:pStyle w:val="ListNumber"/>
      </w:pPr>
      <w:r>
        <w:t>Leads approve/reject containment and closure requests with documented rationale.</w:t>
      </w:r>
    </w:p>
    <w:p>
      <w:pPr>
        <w:pStyle w:val="ListNumber"/>
      </w:pPr>
      <w:r>
        <w:t>Admins review audit logs, email delivery logs, platform health, API key status, and user activity.</w:t>
      </w:r>
    </w:p>
    <w:p>
      <w:pPr>
        <w:pStyle w:val="Heading2"/>
      </w:pPr>
      <w:r>
        <w:t>New Alert Handling Runbook</w:t>
      </w:r>
    </w:p>
    <w:p>
      <w:pPr>
        <w:pStyle w:val="ListNumber"/>
      </w:pPr>
      <w:r>
        <w:t>Validate source, rule ID, event timestamp, affected host/user, and severity.</w:t>
      </w:r>
    </w:p>
    <w:p>
      <w:pPr>
        <w:pStyle w:val="ListNumber"/>
      </w:pPr>
      <w:r>
        <w:t>Check linked asset and criticality.</w:t>
      </w:r>
    </w:p>
    <w:p>
      <w:pPr>
        <w:pStyle w:val="ListNumber"/>
      </w:pPr>
      <w:r>
        <w:t>Review raw JSON and extracted IOCs.</w:t>
      </w:r>
    </w:p>
    <w:p>
      <w:pPr>
        <w:pStyle w:val="ListNumber"/>
      </w:pPr>
      <w:r>
        <w:t>Mark false positive if confirmed benign; otherwise send to review.</w:t>
      </w:r>
    </w:p>
    <w:p>
      <w:pPr>
        <w:pStyle w:val="ListNumber"/>
      </w:pPr>
      <w:r>
        <w:t>Lead promotes alert to case if investigation is required.</w:t>
      </w:r>
    </w:p>
    <w:p>
      <w:pPr>
        <w:pStyle w:val="Heading2"/>
      </w:pPr>
      <w:r>
        <w:t>Case Investigation Runbook</w:t>
      </w:r>
    </w:p>
    <w:p>
      <w:pPr>
        <w:pStyle w:val="ListNumber"/>
      </w:pPr>
      <w:r>
        <w:t>Review case summary, linked alert, asset criticality, MITRE mapping, and playbook tasks.</w:t>
      </w:r>
    </w:p>
    <w:p>
      <w:pPr>
        <w:pStyle w:val="ListNumber"/>
      </w:pPr>
      <w:r>
        <w:t>Confirm scope: affected host, user, IPs, and related IOCs.</w:t>
      </w:r>
    </w:p>
    <w:p>
      <w:pPr>
        <w:pStyle w:val="ListNumber"/>
      </w:pPr>
      <w:r>
        <w:t>Collect and upload evidence with meaningful filenames.</w:t>
      </w:r>
    </w:p>
    <w:p>
      <w:pPr>
        <w:pStyle w:val="ListNumber"/>
      </w:pPr>
      <w:r>
        <w:t>Document findings in the Investigation Journal.</w:t>
      </w:r>
    </w:p>
    <w:p>
      <w:pPr>
        <w:pStyle w:val="ListNumber"/>
      </w:pPr>
      <w:r>
        <w:t>Request containment if risk and evidence justify it.</w:t>
      </w:r>
    </w:p>
    <w:p>
      <w:pPr>
        <w:pStyle w:val="ListNumber"/>
      </w:pPr>
      <w:r>
        <w:t>Complete tasks or explain why a task is not applicable.</w:t>
      </w:r>
    </w:p>
    <w:p>
      <w:pPr>
        <w:pStyle w:val="ListNumber"/>
      </w:pPr>
      <w:r>
        <w:t>Submit closure review with final finding, evidence summary, response actions, and recommended closure reason.</w:t>
      </w:r>
    </w:p>
    <w:p>
      <w:pPr>
        <w:pStyle w:val="Heading2"/>
      </w:pPr>
      <w:r>
        <w:t>Containment Approval Runbook</w:t>
      </w:r>
    </w:p>
    <w:p>
      <w:pPr>
        <w:pStyle w:val="ListNumber"/>
      </w:pPr>
      <w:r>
        <w:t>Confirm action originated from a case and has a documented reason.</w:t>
      </w:r>
    </w:p>
    <w:p>
      <w:pPr>
        <w:pStyle w:val="ListNumber"/>
      </w:pPr>
      <w:r>
        <w:t>Validate target, asset, IOC, affected host/user/process/file, and risk level.</w:t>
      </w:r>
    </w:p>
    <w:p>
      <w:pPr>
        <w:pStyle w:val="ListNumber"/>
      </w:pPr>
      <w:r>
        <w:t>Confirm business impact, especially for Critical or High asset criticality.</w:t>
      </w:r>
    </w:p>
    <w:p>
      <w:pPr>
        <w:pStyle w:val="ListNumber"/>
      </w:pPr>
      <w:r>
        <w:t>Approve only when expected security benefit outweighs operational risk.</w:t>
      </w:r>
    </w:p>
    <w:p>
      <w:pPr>
        <w:pStyle w:val="ListNumber"/>
      </w:pPr>
      <w:r>
        <w:t>Reject or request more context when evidence is weak or target is ambiguous.</w:t>
      </w:r>
    </w:p>
    <w:p>
      <w:pPr>
        <w:pStyle w:val="ListNumber"/>
      </w:pPr>
      <w:r>
        <w:t>Record manual execution result and rollback plan/result if applicable.</w:t>
      </w:r>
    </w:p>
    <w:p>
      <w:pPr>
        <w:pStyle w:val="Heading2"/>
      </w:pPr>
      <w:r>
        <w:t>Backup and Restore Runbook</w:t>
      </w:r>
    </w:p>
    <w:p>
      <w:pPr>
        <w:pStyle w:val="ListBullet"/>
      </w:pPr>
      <w:r>
        <w:t>Back up the database on a schedule aligned with incident record retention requirements.</w:t>
      </w:r>
    </w:p>
    <w:p>
      <w:pPr>
        <w:pStyle w:val="ListBullet"/>
      </w:pPr>
      <w:r>
        <w:t>Back up UPLOAD_FOLDER, including evidence, profile images, report templates, chat attachments, and custom assets.</w:t>
      </w:r>
    </w:p>
    <w:p>
      <w:pPr>
        <w:pStyle w:val="ListBullet"/>
      </w:pPr>
      <w:r>
        <w:t>Document SECRET_KEY handling because encrypted values depend on it.</w:t>
      </w:r>
    </w:p>
    <w:p>
      <w:pPr>
        <w:pStyle w:val="ListBullet"/>
      </w:pPr>
      <w:r>
        <w:t>Test restore in a non-production environment before relying on backups.</w:t>
      </w:r>
    </w:p>
    <w:p>
      <w:pPr>
        <w:pStyle w:val="Heading1"/>
      </w:pPr>
      <w:r>
        <w:t>23. Troubleshooting</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600"/>
        <w:gridCol w:w="3200"/>
        <w:gridCol w:w="3560"/>
      </w:tblGrid>
      <w:tr>
        <w:tc>
          <w:tcPr>
            <w:tcW w:type="dxa" w:w="2600"/>
            <w:shd w:fill="E8EEF5"/>
            <w:tcMar>
              <w:top w:w="80" w:type="dxa"/>
              <w:start w:w="120" w:type="dxa"/>
              <w:bottom w:w="80" w:type="dxa"/>
              <w:end w:w="120" w:type="dxa"/>
            </w:tcMar>
            <w:vAlign w:val="top"/>
          </w:tcPr>
          <w:p>
            <w:pPr>
              <w:spacing w:after="40" w:line="276" w:lineRule="auto"/>
            </w:pPr>
            <w:r>
              <w:rPr>
                <w:rFonts w:ascii="Calibri" w:hAnsi="Calibri"/>
                <w:b/>
                <w:color w:val="102027"/>
                <w:sz w:val="18"/>
              </w:rPr>
              <w:t>Symptom</w:t>
            </w:r>
          </w:p>
        </w:tc>
        <w:tc>
          <w:tcPr>
            <w:tcW w:type="dxa" w:w="3200"/>
            <w:shd w:fill="E8EEF5"/>
            <w:tcMar>
              <w:top w:w="80" w:type="dxa"/>
              <w:start w:w="120" w:type="dxa"/>
              <w:bottom w:w="80" w:type="dxa"/>
              <w:end w:w="120" w:type="dxa"/>
            </w:tcMar>
            <w:vAlign w:val="top"/>
          </w:tcPr>
          <w:p>
            <w:pPr>
              <w:spacing w:after="40" w:line="276" w:lineRule="auto"/>
            </w:pPr>
            <w:r>
              <w:rPr>
                <w:rFonts w:ascii="Calibri" w:hAnsi="Calibri"/>
                <w:b/>
                <w:color w:val="102027"/>
                <w:sz w:val="18"/>
              </w:rPr>
              <w:t>Likely Cause</w:t>
            </w:r>
          </w:p>
        </w:tc>
        <w:tc>
          <w:tcPr>
            <w:tcW w:type="dxa" w:w="3560"/>
            <w:shd w:fill="E8EEF5"/>
            <w:tcMar>
              <w:top w:w="80" w:type="dxa"/>
              <w:start w:w="120" w:type="dxa"/>
              <w:bottom w:w="80" w:type="dxa"/>
              <w:end w:w="120" w:type="dxa"/>
            </w:tcMar>
            <w:vAlign w:val="top"/>
          </w:tcPr>
          <w:p>
            <w:pPr>
              <w:spacing w:after="40" w:line="276" w:lineRule="auto"/>
            </w:pPr>
            <w:r>
              <w:rPr>
                <w:rFonts w:ascii="Calibri" w:hAnsi="Calibri"/>
                <w:b/>
                <w:color w:val="102027"/>
                <w:sz w:val="18"/>
              </w:rPr>
              <w:t>Resolution</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No alerts arriving</w:t>
            </w:r>
          </w:p>
        </w:tc>
        <w:tc>
          <w:tcPr>
            <w:tcW w:type="dxa" w:w="3200"/>
            <w:tcMar>
              <w:top w:w="80" w:type="dxa"/>
              <w:start w:w="120" w:type="dxa"/>
              <w:bottom w:w="80" w:type="dxa"/>
              <w:end w:w="120" w:type="dxa"/>
            </w:tcMar>
            <w:vAlign w:val="top"/>
          </w:tcPr>
          <w:p>
            <w:pPr>
              <w:spacing w:after="40" w:line="276" w:lineRule="auto"/>
            </w:pPr>
            <w:r>
              <w:rPr>
                <w:rFonts w:ascii="Calibri" w:hAnsi="Calibri"/>
                <w:sz w:val="18"/>
              </w:rPr>
              <w:t>Wrong webhook URL, invalid X-API-Key, network block, SIEM script error.</w:t>
            </w:r>
          </w:p>
        </w:tc>
        <w:tc>
          <w:tcPr>
            <w:tcW w:type="dxa" w:w="3560"/>
            <w:tcMar>
              <w:top w:w="80" w:type="dxa"/>
              <w:start w:w="120" w:type="dxa"/>
              <w:bottom w:w="80" w:type="dxa"/>
              <w:end w:w="120" w:type="dxa"/>
            </w:tcMar>
            <w:vAlign w:val="top"/>
          </w:tcPr>
          <w:p>
            <w:pPr>
              <w:spacing w:after="40" w:line="276" w:lineRule="auto"/>
            </w:pPr>
            <w:r>
              <w:rPr>
                <w:rFonts w:ascii="Calibri" w:hAnsi="Calibri"/>
                <w:sz w:val="18"/>
              </w:rPr>
              <w:t>Test POST manually, verify API key in Admin Settings, inspect SIEM logs, confirm AstoraSOC container reachable.</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Webhook unauthorized</w:t>
            </w:r>
          </w:p>
        </w:tc>
        <w:tc>
          <w:tcPr>
            <w:tcW w:type="dxa" w:w="3200"/>
            <w:tcMar>
              <w:top w:w="80" w:type="dxa"/>
              <w:start w:w="120" w:type="dxa"/>
              <w:bottom w:w="80" w:type="dxa"/>
              <w:end w:w="120" w:type="dxa"/>
            </w:tcMar>
            <w:vAlign w:val="top"/>
          </w:tcPr>
          <w:p>
            <w:pPr>
              <w:spacing w:after="40" w:line="276" w:lineRule="auto"/>
            </w:pPr>
            <w:r>
              <w:rPr>
                <w:rFonts w:ascii="Calibri" w:hAnsi="Calibri"/>
                <w:sz w:val="18"/>
              </w:rPr>
              <w:t>Key mismatch or insecure default key rejected.</w:t>
            </w:r>
          </w:p>
        </w:tc>
        <w:tc>
          <w:tcPr>
            <w:tcW w:type="dxa" w:w="3560"/>
            <w:tcMar>
              <w:top w:w="80" w:type="dxa"/>
              <w:start w:w="120" w:type="dxa"/>
              <w:bottom w:w="80" w:type="dxa"/>
              <w:end w:w="120" w:type="dxa"/>
            </w:tcMar>
            <w:vAlign w:val="top"/>
          </w:tcPr>
          <w:p>
            <w:pPr>
              <w:spacing w:after="40" w:line="276" w:lineRule="auto"/>
            </w:pPr>
            <w:r>
              <w:rPr>
                <w:rFonts w:ascii="Calibri" w:hAnsi="Calibri"/>
                <w:sz w:val="18"/>
              </w:rPr>
              <w:t>Regenerate/copy AstoraSOC webhook key and update SIEM configuration.</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Emails not delivered</w:t>
            </w:r>
          </w:p>
        </w:tc>
        <w:tc>
          <w:tcPr>
            <w:tcW w:type="dxa" w:w="3200"/>
            <w:tcMar>
              <w:top w:w="80" w:type="dxa"/>
              <w:start w:w="120" w:type="dxa"/>
              <w:bottom w:w="80" w:type="dxa"/>
              <w:end w:w="120" w:type="dxa"/>
            </w:tcMar>
            <w:vAlign w:val="top"/>
          </w:tcPr>
          <w:p>
            <w:pPr>
              <w:spacing w:after="40" w:line="276" w:lineRule="auto"/>
            </w:pPr>
            <w:r>
              <w:rPr>
                <w:rFonts w:ascii="Calibri" w:hAnsi="Calibri"/>
                <w:sz w:val="18"/>
              </w:rPr>
              <w:t>SMTP incomplete, TLS/SSL mismatch, auth failure, blocked relay.</w:t>
            </w:r>
          </w:p>
        </w:tc>
        <w:tc>
          <w:tcPr>
            <w:tcW w:type="dxa" w:w="3560"/>
            <w:tcMar>
              <w:top w:w="80" w:type="dxa"/>
              <w:start w:w="120" w:type="dxa"/>
              <w:bottom w:w="80" w:type="dxa"/>
              <w:end w:w="120" w:type="dxa"/>
            </w:tcMar>
            <w:vAlign w:val="top"/>
          </w:tcPr>
          <w:p>
            <w:pPr>
              <w:spacing w:after="40" w:line="276" w:lineRule="auto"/>
            </w:pPr>
            <w:r>
              <w:rPr>
                <w:rFonts w:ascii="Calibri" w:hAnsi="Calibri"/>
                <w:sz w:val="18"/>
              </w:rPr>
              <w:t>Use Send Test Email, review Email Delivery Logs, confirm host/port/from email and credentials.</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Dashboard date filter returns no data</w:t>
            </w:r>
          </w:p>
        </w:tc>
        <w:tc>
          <w:tcPr>
            <w:tcW w:type="dxa" w:w="3200"/>
            <w:tcMar>
              <w:top w:w="80" w:type="dxa"/>
              <w:start w:w="120" w:type="dxa"/>
              <w:bottom w:w="80" w:type="dxa"/>
              <w:end w:w="120" w:type="dxa"/>
            </w:tcMar>
            <w:vAlign w:val="top"/>
          </w:tcPr>
          <w:p>
            <w:pPr>
              <w:spacing w:after="40" w:line="276" w:lineRule="auto"/>
            </w:pPr>
            <w:r>
              <w:rPr>
                <w:rFonts w:ascii="Calibri" w:hAnsi="Calibri"/>
                <w:sz w:val="18"/>
              </w:rPr>
              <w:t>Selected date period has no matching cases or filter not applied.</w:t>
            </w:r>
          </w:p>
        </w:tc>
        <w:tc>
          <w:tcPr>
            <w:tcW w:type="dxa" w:w="3560"/>
            <w:tcMar>
              <w:top w:w="80" w:type="dxa"/>
              <w:start w:w="120" w:type="dxa"/>
              <w:bottom w:w="80" w:type="dxa"/>
              <w:end w:w="120" w:type="dxa"/>
            </w:tcMar>
            <w:vAlign w:val="top"/>
          </w:tcPr>
          <w:p>
            <w:pPr>
              <w:spacing w:after="40" w:line="276" w:lineRule="auto"/>
            </w:pPr>
            <w:r>
              <w:rPr>
                <w:rFonts w:ascii="Calibri" w:hAnsi="Calibri"/>
                <w:sz w:val="18"/>
              </w:rPr>
              <w:t>Choose period above calendar, click Apply, clear filter to validate baseline.</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User remains online too long</w:t>
            </w:r>
          </w:p>
        </w:tc>
        <w:tc>
          <w:tcPr>
            <w:tcW w:type="dxa" w:w="3200"/>
            <w:tcMar>
              <w:top w:w="80" w:type="dxa"/>
              <w:start w:w="120" w:type="dxa"/>
              <w:bottom w:w="80" w:type="dxa"/>
              <w:end w:w="120" w:type="dxa"/>
            </w:tcMar>
            <w:vAlign w:val="top"/>
          </w:tcPr>
          <w:p>
            <w:pPr>
              <w:spacing w:after="40" w:line="276" w:lineRule="auto"/>
            </w:pPr>
            <w:r>
              <w:rPr>
                <w:rFonts w:ascii="Calibri" w:hAnsi="Calibri"/>
                <w:sz w:val="18"/>
              </w:rPr>
              <w:t>Browser active heartbeat still updating session or timeout setting high.</w:t>
            </w:r>
          </w:p>
        </w:tc>
        <w:tc>
          <w:tcPr>
            <w:tcW w:type="dxa" w:w="3560"/>
            <w:tcMar>
              <w:top w:w="80" w:type="dxa"/>
              <w:start w:w="120" w:type="dxa"/>
              <w:bottom w:w="80" w:type="dxa"/>
              <w:end w:w="120" w:type="dxa"/>
            </w:tcMar>
            <w:vAlign w:val="top"/>
          </w:tcPr>
          <w:p>
            <w:pPr>
              <w:spacing w:after="40" w:line="276" w:lineRule="auto"/>
            </w:pPr>
            <w:r>
              <w:rPr>
                <w:rFonts w:ascii="Calibri" w:hAnsi="Calibri"/>
                <w:sz w:val="18"/>
              </w:rPr>
              <w:t>Verify session timeout value and that passive polling does not update activity in hidden tabs.</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Admin/Lead can edit case content</w:t>
            </w:r>
          </w:p>
        </w:tc>
        <w:tc>
          <w:tcPr>
            <w:tcW w:type="dxa" w:w="3200"/>
            <w:tcMar>
              <w:top w:w="80" w:type="dxa"/>
              <w:start w:w="120" w:type="dxa"/>
              <w:bottom w:w="80" w:type="dxa"/>
              <w:end w:w="120" w:type="dxa"/>
            </w:tcMar>
            <w:vAlign w:val="top"/>
          </w:tcPr>
          <w:p>
            <w:pPr>
              <w:spacing w:after="40" w:line="276" w:lineRule="auto"/>
            </w:pPr>
            <w:r>
              <w:rPr>
                <w:rFonts w:ascii="Calibri" w:hAnsi="Calibri"/>
                <w:sz w:val="18"/>
              </w:rPr>
              <w:t>Route or template control still exposing investigation actions.</w:t>
            </w:r>
          </w:p>
        </w:tc>
        <w:tc>
          <w:tcPr>
            <w:tcW w:type="dxa" w:w="3560"/>
            <w:tcMar>
              <w:top w:w="80" w:type="dxa"/>
              <w:start w:w="120" w:type="dxa"/>
              <w:bottom w:w="80" w:type="dxa"/>
              <w:end w:w="120" w:type="dxa"/>
            </w:tcMar>
            <w:vAlign w:val="top"/>
          </w:tcPr>
          <w:p>
            <w:pPr>
              <w:spacing w:after="40" w:line="276" w:lineRule="auto"/>
            </w:pPr>
            <w:r>
              <w:rPr>
                <w:rFonts w:ascii="Calibri" w:hAnsi="Calibri"/>
                <w:sz w:val="18"/>
              </w:rPr>
              <w:t>Ensure case_investigation_required protects notes, evidence, IOCs, tasks, containment requests, and closure submission.</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Evidence upload rejected</w:t>
            </w:r>
          </w:p>
        </w:tc>
        <w:tc>
          <w:tcPr>
            <w:tcW w:type="dxa" w:w="3200"/>
            <w:tcMar>
              <w:top w:w="80" w:type="dxa"/>
              <w:start w:w="120" w:type="dxa"/>
              <w:bottom w:w="80" w:type="dxa"/>
              <w:end w:w="120" w:type="dxa"/>
            </w:tcMar>
            <w:vAlign w:val="top"/>
          </w:tcPr>
          <w:p>
            <w:pPr>
              <w:spacing w:after="40" w:line="276" w:lineRule="auto"/>
            </w:pPr>
            <w:r>
              <w:rPr>
                <w:rFonts w:ascii="Calibri" w:hAnsi="Calibri"/>
                <w:sz w:val="18"/>
              </w:rPr>
              <w:t>Unsupported extension or size over limit.</w:t>
            </w:r>
          </w:p>
        </w:tc>
        <w:tc>
          <w:tcPr>
            <w:tcW w:type="dxa" w:w="3560"/>
            <w:tcMar>
              <w:top w:w="80" w:type="dxa"/>
              <w:start w:w="120" w:type="dxa"/>
              <w:bottom w:w="80" w:type="dxa"/>
              <w:end w:w="120" w:type="dxa"/>
            </w:tcMar>
            <w:vAlign w:val="top"/>
          </w:tcPr>
          <w:p>
            <w:pPr>
              <w:spacing w:after="40" w:line="276" w:lineRule="auto"/>
            </w:pPr>
            <w:r>
              <w:rPr>
                <w:rFonts w:ascii="Calibri" w:hAnsi="Calibri"/>
                <w:sz w:val="18"/>
              </w:rPr>
              <w:t>Use allowed evidence types and stay under configured max bytes.</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Report formatting issue</w:t>
            </w:r>
          </w:p>
        </w:tc>
        <w:tc>
          <w:tcPr>
            <w:tcW w:type="dxa" w:w="3200"/>
            <w:tcMar>
              <w:top w:w="80" w:type="dxa"/>
              <w:start w:w="120" w:type="dxa"/>
              <w:bottom w:w="80" w:type="dxa"/>
              <w:end w:w="120" w:type="dxa"/>
            </w:tcMar>
            <w:vAlign w:val="top"/>
          </w:tcPr>
          <w:p>
            <w:pPr>
              <w:spacing w:after="40" w:line="276" w:lineRule="auto"/>
            </w:pPr>
            <w:r>
              <w:rPr>
                <w:rFonts w:ascii="Calibri" w:hAnsi="Calibri"/>
                <w:sz w:val="18"/>
              </w:rPr>
              <w:t>Long IOC/hash/string or unsupported content layout.</w:t>
            </w:r>
          </w:p>
        </w:tc>
        <w:tc>
          <w:tcPr>
            <w:tcW w:type="dxa" w:w="3560"/>
            <w:tcMar>
              <w:top w:w="80" w:type="dxa"/>
              <w:start w:w="120" w:type="dxa"/>
              <w:bottom w:w="80" w:type="dxa"/>
              <w:end w:w="120" w:type="dxa"/>
            </w:tcMar>
            <w:vAlign w:val="top"/>
          </w:tcPr>
          <w:p>
            <w:pPr>
              <w:spacing w:after="40" w:line="276" w:lineRule="auto"/>
            </w:pPr>
            <w:r>
              <w:rPr>
                <w:rFonts w:ascii="Calibri" w:hAnsi="Calibri"/>
                <w:sz w:val="18"/>
              </w:rPr>
              <w:t>Use report wrapping and inspect generated DOCX/PDF output.</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Assets not linking</w:t>
            </w:r>
          </w:p>
        </w:tc>
        <w:tc>
          <w:tcPr>
            <w:tcW w:type="dxa" w:w="3200"/>
            <w:tcMar>
              <w:top w:w="80" w:type="dxa"/>
              <w:start w:w="120" w:type="dxa"/>
              <w:bottom w:w="80" w:type="dxa"/>
              <w:end w:w="120" w:type="dxa"/>
            </w:tcMar>
            <w:vAlign w:val="top"/>
          </w:tcPr>
          <w:p>
            <w:pPr>
              <w:spacing w:after="40" w:line="276" w:lineRule="auto"/>
            </w:pPr>
            <w:r>
              <w:rPr>
                <w:rFonts w:ascii="Calibri" w:hAnsi="Calibri"/>
                <w:sz w:val="18"/>
              </w:rPr>
              <w:t>Hostname/IP mismatch or asset not created.</w:t>
            </w:r>
          </w:p>
        </w:tc>
        <w:tc>
          <w:tcPr>
            <w:tcW w:type="dxa" w:w="3560"/>
            <w:tcMar>
              <w:top w:w="80" w:type="dxa"/>
              <w:start w:w="120" w:type="dxa"/>
              <w:bottom w:w="80" w:type="dxa"/>
              <w:end w:w="120" w:type="dxa"/>
            </w:tcMar>
            <w:vAlign w:val="top"/>
          </w:tcPr>
          <w:p>
            <w:pPr>
              <w:spacing w:after="40" w:line="276" w:lineRule="auto"/>
            </w:pPr>
            <w:r>
              <w:rPr>
                <w:rFonts w:ascii="Calibri" w:hAnsi="Calibri"/>
                <w:sz w:val="18"/>
              </w:rPr>
              <w:t>Normalize hostname/IP values and create/update asset record.</w:t>
            </w:r>
          </w:p>
        </w:tc>
      </w:tr>
      <w:tr>
        <w:tc>
          <w:tcPr>
            <w:tcW w:type="dxa" w:w="2600"/>
            <w:tcMar>
              <w:top w:w="80" w:type="dxa"/>
              <w:start w:w="120" w:type="dxa"/>
              <w:bottom w:w="80" w:type="dxa"/>
              <w:end w:w="120" w:type="dxa"/>
            </w:tcMar>
            <w:vAlign w:val="top"/>
          </w:tcPr>
          <w:p>
            <w:pPr>
              <w:spacing w:after="40" w:line="276" w:lineRule="auto"/>
            </w:pPr>
            <w:r>
              <w:rPr>
                <w:rFonts w:ascii="Calibri" w:hAnsi="Calibri"/>
                <w:sz w:val="18"/>
              </w:rPr>
              <w:t>Playbook tasks missing</w:t>
            </w:r>
          </w:p>
        </w:tc>
        <w:tc>
          <w:tcPr>
            <w:tcW w:type="dxa" w:w="3200"/>
            <w:tcMar>
              <w:top w:w="80" w:type="dxa"/>
              <w:start w:w="120" w:type="dxa"/>
              <w:bottom w:w="80" w:type="dxa"/>
              <w:end w:w="120" w:type="dxa"/>
            </w:tcMar>
            <w:vAlign w:val="top"/>
          </w:tcPr>
          <w:p>
            <w:pPr>
              <w:spacing w:after="40" w:line="276" w:lineRule="auto"/>
            </w:pPr>
            <w:r>
              <w:rPr>
                <w:rFonts w:ascii="Calibri" w:hAnsi="Calibri"/>
                <w:sz w:val="18"/>
              </w:rPr>
              <w:t>No active template or match context insufficient.</w:t>
            </w:r>
          </w:p>
        </w:tc>
        <w:tc>
          <w:tcPr>
            <w:tcW w:type="dxa" w:w="3560"/>
            <w:tcMar>
              <w:top w:w="80" w:type="dxa"/>
              <w:start w:w="120" w:type="dxa"/>
              <w:bottom w:w="80" w:type="dxa"/>
              <w:end w:w="120" w:type="dxa"/>
            </w:tcMar>
            <w:vAlign w:val="top"/>
          </w:tcPr>
          <w:p>
            <w:pPr>
              <w:spacing w:after="40" w:line="276" w:lineRule="auto"/>
            </w:pPr>
            <w:r>
              <w:rPr>
                <w:rFonts w:ascii="Calibri" w:hAnsi="Calibri"/>
                <w:sz w:val="18"/>
              </w:rPr>
              <w:t>Verify active generic fallback and match values in Admin Playbooks.</w:t>
            </w:r>
          </w:p>
        </w:tc>
      </w:tr>
    </w:tbl>
    <w:p>
      <w:pPr>
        <w:pStyle w:val="Heading1"/>
      </w:pPr>
      <w:r>
        <w:t>24. Maintenance and Roadmap</w:t>
      </w:r>
    </w:p>
    <w:p>
      <w:pPr>
        <w:pStyle w:val="ListBullet"/>
      </w:pPr>
      <w:r>
        <w:t>Review user roles and remove inactive users.</w:t>
      </w:r>
    </w:p>
    <w:p>
      <w:pPr>
        <w:pStyle w:val="ListBullet"/>
      </w:pPr>
      <w:r>
        <w:t>Rotate webhook API key on exposure, staff change, or periodic security schedule.</w:t>
      </w:r>
    </w:p>
    <w:p>
      <w:pPr>
        <w:pStyle w:val="ListBullet"/>
      </w:pPr>
      <w:r>
        <w:t>Review audit logs and email delivery failures.</w:t>
      </w:r>
    </w:p>
    <w:p>
      <w:pPr>
        <w:pStyle w:val="ListBullet"/>
      </w:pPr>
      <w:r>
        <w:t>Update playbook templates when rule IDs, detection logic, or SOC procedures change.</w:t>
      </w:r>
    </w:p>
    <w:p>
      <w:pPr>
        <w:pStyle w:val="ListBullet"/>
      </w:pPr>
      <w:r>
        <w:t>Update asset criticality as business impact changes.</w:t>
      </w:r>
    </w:p>
    <w:p>
      <w:pPr>
        <w:pStyle w:val="ListBullet"/>
      </w:pPr>
      <w:r>
        <w:t>Archive old evidence and reports according to retention policy.</w:t>
      </w:r>
    </w:p>
    <w:p>
      <w:pPr>
        <w:pStyle w:val="ListBullet"/>
      </w:pPr>
      <w:r>
        <w:t>Rebuild/redeploy containers after dependency or security updates.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00"/>
        <w:gridCol w:w="6860"/>
      </w:tblGrid>
      <w:tr>
        <w:tc>
          <w:tcPr>
            <w:tcW w:type="dxa" w:w="2500"/>
            <w:shd w:fill="E8EEF5"/>
            <w:tcMar>
              <w:top w:w="80" w:type="dxa"/>
              <w:start w:w="120" w:type="dxa"/>
              <w:bottom w:w="80" w:type="dxa"/>
              <w:end w:w="120" w:type="dxa"/>
            </w:tcMar>
            <w:vAlign w:val="top"/>
          </w:tcPr>
          <w:p>
            <w:pPr>
              <w:spacing w:after="40" w:line="276" w:lineRule="auto"/>
            </w:pPr>
            <w:r>
              <w:rPr>
                <w:rFonts w:ascii="Calibri" w:hAnsi="Calibri"/>
                <w:b/>
                <w:color w:val="102027"/>
                <w:sz w:val="18"/>
              </w:rPr>
              <w:t>Area</w:t>
            </w:r>
          </w:p>
        </w:tc>
        <w:tc>
          <w:tcPr>
            <w:tcW w:type="dxa" w:w="6860"/>
            <w:shd w:fill="E8EEF5"/>
            <w:tcMar>
              <w:top w:w="80" w:type="dxa"/>
              <w:start w:w="120" w:type="dxa"/>
              <w:bottom w:w="80" w:type="dxa"/>
              <w:end w:w="120" w:type="dxa"/>
            </w:tcMar>
            <w:vAlign w:val="top"/>
          </w:tcPr>
          <w:p>
            <w:pPr>
              <w:spacing w:after="40" w:line="276" w:lineRule="auto"/>
            </w:pPr>
            <w:r>
              <w:rPr>
                <w:rFonts w:ascii="Calibri" w:hAnsi="Calibri"/>
                <w:b/>
                <w:color w:val="102027"/>
                <w:sz w:val="18"/>
              </w:rPr>
              <w:t>Recommended Enhancement</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Containment providers</w:t>
            </w:r>
          </w:p>
        </w:tc>
        <w:tc>
          <w:tcPr>
            <w:tcW w:type="dxa" w:w="6860"/>
            <w:tcMar>
              <w:top w:w="80" w:type="dxa"/>
              <w:start w:w="120" w:type="dxa"/>
              <w:bottom w:w="80" w:type="dxa"/>
              <w:end w:w="120" w:type="dxa"/>
            </w:tcMar>
            <w:vAlign w:val="top"/>
          </w:tcPr>
          <w:p>
            <w:pPr>
              <w:spacing w:after="40" w:line="276" w:lineRule="auto"/>
            </w:pPr>
            <w:r>
              <w:rPr>
                <w:rFonts w:ascii="Calibri" w:hAnsi="Calibri"/>
                <w:sz w:val="18"/>
              </w:rPr>
              <w:t>Implement provider adapters for SIEM/SOAR relay, EDR, firewall, PowerShell, SSH, Shuffle, Wazuh Active Response, and other response tools behind the existing lifecycle.</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SIEM connectors</w:t>
            </w:r>
          </w:p>
        </w:tc>
        <w:tc>
          <w:tcPr>
            <w:tcW w:type="dxa" w:w="6860"/>
            <w:tcMar>
              <w:top w:w="80" w:type="dxa"/>
              <w:start w:w="120" w:type="dxa"/>
              <w:bottom w:w="80" w:type="dxa"/>
              <w:end w:w="120" w:type="dxa"/>
            </w:tcMar>
            <w:vAlign w:val="top"/>
          </w:tcPr>
          <w:p>
            <w:pPr>
              <w:spacing w:after="40" w:line="276" w:lineRule="auto"/>
            </w:pPr>
            <w:r>
              <w:rPr>
                <w:rFonts w:ascii="Calibri" w:hAnsi="Calibri"/>
                <w:sz w:val="18"/>
              </w:rPr>
              <w:t>Add native payload mappers for Splunk, Sentinel, Elastic, QRadar, Chronicle, and Graylog.</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Asset sync</w:t>
            </w:r>
          </w:p>
        </w:tc>
        <w:tc>
          <w:tcPr>
            <w:tcW w:type="dxa" w:w="6860"/>
            <w:tcMar>
              <w:top w:w="80" w:type="dxa"/>
              <w:start w:w="120" w:type="dxa"/>
              <w:bottom w:w="80" w:type="dxa"/>
              <w:end w:w="120" w:type="dxa"/>
            </w:tcMar>
            <w:vAlign w:val="top"/>
          </w:tcPr>
          <w:p>
            <w:pPr>
              <w:spacing w:after="40" w:line="276" w:lineRule="auto"/>
            </w:pPr>
            <w:r>
              <w:rPr>
                <w:rFonts w:ascii="Calibri" w:hAnsi="Calibri"/>
                <w:sz w:val="18"/>
              </w:rPr>
              <w:t>Optional import from CSV, AD, cloud inventory, or EDR without becoming a full CMDB.</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Metrics</w:t>
            </w:r>
          </w:p>
        </w:tc>
        <w:tc>
          <w:tcPr>
            <w:tcW w:type="dxa" w:w="6860"/>
            <w:tcMar>
              <w:top w:w="80" w:type="dxa"/>
              <w:start w:w="120" w:type="dxa"/>
              <w:bottom w:w="80" w:type="dxa"/>
              <w:end w:w="120" w:type="dxa"/>
            </w:tcMar>
            <w:vAlign w:val="top"/>
          </w:tcPr>
          <w:p>
            <w:pPr>
              <w:spacing w:after="40" w:line="276" w:lineRule="auto"/>
            </w:pPr>
            <w:r>
              <w:rPr>
                <w:rFonts w:ascii="Calibri" w:hAnsi="Calibri"/>
                <w:sz w:val="18"/>
              </w:rPr>
              <w:t>Trend baselines, SLA aging, workload forecasting, and detection quality scorecards.</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Reports</w:t>
            </w:r>
          </w:p>
        </w:tc>
        <w:tc>
          <w:tcPr>
            <w:tcW w:type="dxa" w:w="6860"/>
            <w:tcMar>
              <w:top w:w="80" w:type="dxa"/>
              <w:start w:w="120" w:type="dxa"/>
              <w:bottom w:w="80" w:type="dxa"/>
              <w:end w:w="120" w:type="dxa"/>
            </w:tcMar>
            <w:vAlign w:val="top"/>
          </w:tcPr>
          <w:p>
            <w:pPr>
              <w:spacing w:after="40" w:line="276" w:lineRule="auto"/>
            </w:pPr>
            <w:r>
              <w:rPr>
                <w:rFonts w:ascii="Calibri" w:hAnsi="Calibri"/>
                <w:sz w:val="18"/>
              </w:rPr>
              <w:t>Custom report template builder and scheduled report packs.</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Security</w:t>
            </w:r>
          </w:p>
        </w:tc>
        <w:tc>
          <w:tcPr>
            <w:tcW w:type="dxa" w:w="6860"/>
            <w:tcMar>
              <w:top w:w="80" w:type="dxa"/>
              <w:start w:w="120" w:type="dxa"/>
              <w:bottom w:w="80" w:type="dxa"/>
              <w:end w:w="120" w:type="dxa"/>
            </w:tcMar>
            <w:vAlign w:val="top"/>
          </w:tcPr>
          <w:p>
            <w:pPr>
              <w:spacing w:after="40" w:line="276" w:lineRule="auto"/>
            </w:pPr>
            <w:r>
              <w:rPr>
                <w:rFonts w:ascii="Calibri" w:hAnsi="Calibri"/>
                <w:sz w:val="18"/>
              </w:rPr>
              <w:t>MFA, SSO/SAML/OIDC, per-route permission policy, and secrets manager integration.</w:t>
            </w:r>
          </w:p>
        </w:tc>
      </w:tr>
    </w:tbl>
    <w:p>
      <w:pPr>
        <w:pStyle w:val="Heading1"/>
      </w:pPr>
      <w:r>
        <w:t>25. Appendices</w:t>
      </w:r>
    </w:p>
    <w:p>
      <w:pPr>
        <w:pStyle w:val="Heading2"/>
      </w:pPr>
      <w:r>
        <w:t>Appendix A - Status Definitions</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7160"/>
      </w:tblGrid>
      <w:tr>
        <w:tc>
          <w:tcPr>
            <w:tcW w:type="dxa" w:w="2200"/>
            <w:shd w:fill="E8EEF5"/>
            <w:tcMar>
              <w:top w:w="80" w:type="dxa"/>
              <w:start w:w="120" w:type="dxa"/>
              <w:bottom w:w="80" w:type="dxa"/>
              <w:end w:w="120" w:type="dxa"/>
            </w:tcMar>
            <w:vAlign w:val="top"/>
          </w:tcPr>
          <w:p>
            <w:pPr>
              <w:spacing w:after="40" w:line="276" w:lineRule="auto"/>
            </w:pPr>
            <w:r>
              <w:rPr>
                <w:rFonts w:ascii="Calibri" w:hAnsi="Calibri"/>
                <w:b/>
                <w:color w:val="102027"/>
                <w:sz w:val="18"/>
              </w:rPr>
              <w:t>Object</w:t>
            </w:r>
          </w:p>
        </w:tc>
        <w:tc>
          <w:tcPr>
            <w:tcW w:type="dxa" w:w="7160"/>
            <w:shd w:fill="E8EEF5"/>
            <w:tcMar>
              <w:top w:w="80" w:type="dxa"/>
              <w:start w:w="120" w:type="dxa"/>
              <w:bottom w:w="80" w:type="dxa"/>
              <w:end w:w="120" w:type="dxa"/>
            </w:tcMar>
            <w:vAlign w:val="top"/>
          </w:tcPr>
          <w:p>
            <w:pPr>
              <w:spacing w:after="40" w:line="276" w:lineRule="auto"/>
            </w:pPr>
            <w:r>
              <w:rPr>
                <w:rFonts w:ascii="Calibri" w:hAnsi="Calibri"/>
                <w:b/>
                <w:color w:val="102027"/>
                <w:sz w:val="18"/>
              </w:rPr>
              <w:t>Statuses / Values</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Case</w:t>
            </w:r>
          </w:p>
        </w:tc>
        <w:tc>
          <w:tcPr>
            <w:tcW w:type="dxa" w:w="7160"/>
            <w:tcMar>
              <w:top w:w="80" w:type="dxa"/>
              <w:start w:w="120" w:type="dxa"/>
              <w:bottom w:w="80" w:type="dxa"/>
              <w:end w:w="120" w:type="dxa"/>
            </w:tcMar>
            <w:vAlign w:val="top"/>
          </w:tcPr>
          <w:p>
            <w:pPr>
              <w:spacing w:after="40" w:line="276" w:lineRule="auto"/>
            </w:pPr>
            <w:r>
              <w:rPr>
                <w:rFonts w:ascii="Calibri" w:hAnsi="Calibri"/>
                <w:sz w:val="18"/>
              </w:rPr>
              <w:t>New, Assigned, Investigating, Pending Review, Closed, False Positive, and workflow-specific submitted/review states.</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Alert</w:t>
            </w:r>
          </w:p>
        </w:tc>
        <w:tc>
          <w:tcPr>
            <w:tcW w:type="dxa" w:w="7160"/>
            <w:tcMar>
              <w:top w:w="80" w:type="dxa"/>
              <w:start w:w="120" w:type="dxa"/>
              <w:bottom w:w="80" w:type="dxa"/>
              <w:end w:w="120" w:type="dxa"/>
            </w:tcMar>
            <w:vAlign w:val="top"/>
          </w:tcPr>
          <w:p>
            <w:pPr>
              <w:spacing w:after="40" w:line="276" w:lineRule="auto"/>
            </w:pPr>
            <w:r>
              <w:rPr>
                <w:rFonts w:ascii="Calibri" w:hAnsi="Calibri"/>
                <w:sz w:val="18"/>
              </w:rPr>
              <w:t>New, Pending Review, Promoted, False Positive, and source/triage states.</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Containment</w:t>
            </w:r>
          </w:p>
        </w:tc>
        <w:tc>
          <w:tcPr>
            <w:tcW w:type="dxa" w:w="7160"/>
            <w:tcMar>
              <w:top w:w="80" w:type="dxa"/>
              <w:start w:w="120" w:type="dxa"/>
              <w:bottom w:w="80" w:type="dxa"/>
              <w:end w:w="120" w:type="dxa"/>
            </w:tcMar>
            <w:vAlign w:val="top"/>
          </w:tcPr>
          <w:p>
            <w:pPr>
              <w:spacing w:after="40" w:line="276" w:lineRule="auto"/>
            </w:pPr>
            <w:r>
              <w:rPr>
                <w:rFonts w:ascii="Calibri" w:hAnsi="Calibri"/>
                <w:sz w:val="18"/>
              </w:rPr>
              <w:t>Draft, Pending Approval, Approved, Rejected, Queued, Executing, Executed, Failed, Cancelled, Rolled Back.</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Task</w:t>
            </w:r>
          </w:p>
        </w:tc>
        <w:tc>
          <w:tcPr>
            <w:tcW w:type="dxa" w:w="7160"/>
            <w:tcMar>
              <w:top w:w="80" w:type="dxa"/>
              <w:start w:w="120" w:type="dxa"/>
              <w:bottom w:w="80" w:type="dxa"/>
              <w:end w:w="120" w:type="dxa"/>
            </w:tcMar>
            <w:vAlign w:val="top"/>
          </w:tcPr>
          <w:p>
            <w:pPr>
              <w:spacing w:after="40" w:line="276" w:lineRule="auto"/>
            </w:pPr>
            <w:r>
              <w:rPr>
                <w:rFonts w:ascii="Calibri" w:hAnsi="Calibri"/>
                <w:sz w:val="18"/>
              </w:rPr>
              <w:t>Active or completed; source Auto or Analyst.</w:t>
            </w:r>
          </w:p>
        </w:tc>
      </w:tr>
      <w:tr>
        <w:tc>
          <w:tcPr>
            <w:tcW w:type="dxa" w:w="2200"/>
            <w:tcMar>
              <w:top w:w="80" w:type="dxa"/>
              <w:start w:w="120" w:type="dxa"/>
              <w:bottom w:w="80" w:type="dxa"/>
              <w:end w:w="120" w:type="dxa"/>
            </w:tcMar>
            <w:vAlign w:val="top"/>
          </w:tcPr>
          <w:p>
            <w:pPr>
              <w:spacing w:after="40" w:line="276" w:lineRule="auto"/>
            </w:pPr>
            <w:r>
              <w:rPr>
                <w:rFonts w:ascii="Calibri" w:hAnsi="Calibri"/>
                <w:sz w:val="18"/>
              </w:rPr>
              <w:t>Email Delivery</w:t>
            </w:r>
          </w:p>
        </w:tc>
        <w:tc>
          <w:tcPr>
            <w:tcW w:type="dxa" w:w="7160"/>
            <w:tcMar>
              <w:top w:w="80" w:type="dxa"/>
              <w:start w:w="120" w:type="dxa"/>
              <w:bottom w:w="80" w:type="dxa"/>
              <w:end w:w="120" w:type="dxa"/>
            </w:tcMar>
            <w:vAlign w:val="top"/>
          </w:tcPr>
          <w:p>
            <w:pPr>
              <w:spacing w:after="40" w:line="276" w:lineRule="auto"/>
            </w:pPr>
            <w:r>
              <w:rPr>
                <w:rFonts w:ascii="Calibri" w:hAnsi="Calibri"/>
                <w:sz w:val="18"/>
              </w:rPr>
              <w:t>Queued, Delivered, Failed, or SMTP-specific failure state.</w:t>
            </w:r>
          </w:p>
        </w:tc>
      </w:tr>
    </w:tbl>
    <w:p>
      <w:pPr>
        <w:pStyle w:val="Heading2"/>
      </w:pPr>
      <w:r>
        <w:t>Appendix B - Severity and Criticality</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00"/>
        <w:gridCol w:w="3900"/>
        <w:gridCol w:w="3860"/>
      </w:tblGrid>
      <w:tr>
        <w:tc>
          <w:tcPr>
            <w:tcW w:type="dxa" w:w="1600"/>
            <w:shd w:fill="E8EEF5"/>
            <w:tcMar>
              <w:top w:w="80" w:type="dxa"/>
              <w:start w:w="120" w:type="dxa"/>
              <w:bottom w:w="80" w:type="dxa"/>
              <w:end w:w="120" w:type="dxa"/>
            </w:tcMar>
            <w:vAlign w:val="top"/>
          </w:tcPr>
          <w:p>
            <w:pPr>
              <w:spacing w:after="40" w:line="276" w:lineRule="auto"/>
            </w:pPr>
            <w:r>
              <w:rPr>
                <w:rFonts w:ascii="Calibri" w:hAnsi="Calibri"/>
                <w:b/>
                <w:color w:val="102027"/>
                <w:sz w:val="18"/>
              </w:rPr>
              <w:t>Level</w:t>
            </w:r>
          </w:p>
        </w:tc>
        <w:tc>
          <w:tcPr>
            <w:tcW w:type="dxa" w:w="3900"/>
            <w:shd w:fill="E8EEF5"/>
            <w:tcMar>
              <w:top w:w="80" w:type="dxa"/>
              <w:start w:w="120" w:type="dxa"/>
              <w:bottom w:w="80" w:type="dxa"/>
              <w:end w:w="120" w:type="dxa"/>
            </w:tcMar>
            <w:vAlign w:val="top"/>
          </w:tcPr>
          <w:p>
            <w:pPr>
              <w:spacing w:after="40" w:line="276" w:lineRule="auto"/>
            </w:pPr>
            <w:r>
              <w:rPr>
                <w:rFonts w:ascii="Calibri" w:hAnsi="Calibri"/>
                <w:b/>
                <w:color w:val="102027"/>
                <w:sz w:val="18"/>
              </w:rPr>
              <w:t>Severity Meaning</w:t>
            </w:r>
          </w:p>
        </w:tc>
        <w:tc>
          <w:tcPr>
            <w:tcW w:type="dxa" w:w="3860"/>
            <w:shd w:fill="E8EEF5"/>
            <w:tcMar>
              <w:top w:w="80" w:type="dxa"/>
              <w:start w:w="120" w:type="dxa"/>
              <w:bottom w:w="80" w:type="dxa"/>
              <w:end w:w="120" w:type="dxa"/>
            </w:tcMar>
            <w:vAlign w:val="top"/>
          </w:tcPr>
          <w:p>
            <w:pPr>
              <w:spacing w:after="40" w:line="276" w:lineRule="auto"/>
            </w:pPr>
            <w:r>
              <w:rPr>
                <w:rFonts w:ascii="Calibri" w:hAnsi="Calibri"/>
                <w:b/>
                <w:color w:val="102027"/>
                <w:sz w:val="18"/>
              </w:rPr>
              <w:t>Criticality Meaning</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Critical</w:t>
            </w:r>
          </w:p>
        </w:tc>
        <w:tc>
          <w:tcPr>
            <w:tcW w:type="dxa" w:w="3900"/>
            <w:tcMar>
              <w:top w:w="80" w:type="dxa"/>
              <w:start w:w="120" w:type="dxa"/>
              <w:bottom w:w="80" w:type="dxa"/>
              <w:end w:w="120" w:type="dxa"/>
            </w:tcMar>
            <w:vAlign w:val="top"/>
          </w:tcPr>
          <w:p>
            <w:pPr>
              <w:spacing w:after="40" w:line="276" w:lineRule="auto"/>
            </w:pPr>
            <w:r>
              <w:rPr>
                <w:rFonts w:ascii="Calibri" w:hAnsi="Calibri"/>
                <w:sz w:val="18"/>
              </w:rPr>
              <w:t>Immediate or confirmed severe security incident.</w:t>
            </w:r>
          </w:p>
        </w:tc>
        <w:tc>
          <w:tcPr>
            <w:tcW w:type="dxa" w:w="3860"/>
            <w:tcMar>
              <w:top w:w="80" w:type="dxa"/>
              <w:start w:w="120" w:type="dxa"/>
              <w:bottom w:w="80" w:type="dxa"/>
              <w:end w:w="120" w:type="dxa"/>
            </w:tcMar>
            <w:vAlign w:val="top"/>
          </w:tcPr>
          <w:p>
            <w:pPr>
              <w:spacing w:after="40" w:line="276" w:lineRule="auto"/>
            </w:pPr>
            <w:r>
              <w:rPr>
                <w:rFonts w:ascii="Calibri" w:hAnsi="Calibri"/>
                <w:sz w:val="18"/>
              </w:rPr>
              <w:t>Mission-critical asset or business process.</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High</w:t>
            </w:r>
          </w:p>
        </w:tc>
        <w:tc>
          <w:tcPr>
            <w:tcW w:type="dxa" w:w="3900"/>
            <w:tcMar>
              <w:top w:w="80" w:type="dxa"/>
              <w:start w:w="120" w:type="dxa"/>
              <w:bottom w:w="80" w:type="dxa"/>
              <w:end w:w="120" w:type="dxa"/>
            </w:tcMar>
            <w:vAlign w:val="top"/>
          </w:tcPr>
          <w:p>
            <w:pPr>
              <w:spacing w:after="40" w:line="276" w:lineRule="auto"/>
            </w:pPr>
            <w:r>
              <w:rPr>
                <w:rFonts w:ascii="Calibri" w:hAnsi="Calibri"/>
                <w:sz w:val="18"/>
              </w:rPr>
              <w:t>Likely incident or high-risk activity.</w:t>
            </w:r>
          </w:p>
        </w:tc>
        <w:tc>
          <w:tcPr>
            <w:tcW w:type="dxa" w:w="3860"/>
            <w:tcMar>
              <w:top w:w="80" w:type="dxa"/>
              <w:start w:w="120" w:type="dxa"/>
              <w:bottom w:w="80" w:type="dxa"/>
              <w:end w:w="120" w:type="dxa"/>
            </w:tcMar>
            <w:vAlign w:val="top"/>
          </w:tcPr>
          <w:p>
            <w:pPr>
              <w:spacing w:after="40" w:line="276" w:lineRule="auto"/>
            </w:pPr>
            <w:r>
              <w:rPr>
                <w:rFonts w:ascii="Calibri" w:hAnsi="Calibri"/>
                <w:sz w:val="18"/>
              </w:rPr>
              <w:t>Important system or sensitive business area.</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Medium</w:t>
            </w:r>
          </w:p>
        </w:tc>
        <w:tc>
          <w:tcPr>
            <w:tcW w:type="dxa" w:w="3900"/>
            <w:tcMar>
              <w:top w:w="80" w:type="dxa"/>
              <w:start w:w="120" w:type="dxa"/>
              <w:bottom w:w="80" w:type="dxa"/>
              <w:end w:w="120" w:type="dxa"/>
            </w:tcMar>
            <w:vAlign w:val="top"/>
          </w:tcPr>
          <w:p>
            <w:pPr>
              <w:spacing w:after="40" w:line="276" w:lineRule="auto"/>
            </w:pPr>
            <w:r>
              <w:rPr>
                <w:rFonts w:ascii="Calibri" w:hAnsi="Calibri"/>
                <w:sz w:val="18"/>
              </w:rPr>
              <w:t>Needs investigation but not immediately severe.</w:t>
            </w:r>
          </w:p>
        </w:tc>
        <w:tc>
          <w:tcPr>
            <w:tcW w:type="dxa" w:w="3860"/>
            <w:tcMar>
              <w:top w:w="80" w:type="dxa"/>
              <w:start w:w="120" w:type="dxa"/>
              <w:bottom w:w="80" w:type="dxa"/>
              <w:end w:w="120" w:type="dxa"/>
            </w:tcMar>
            <w:vAlign w:val="top"/>
          </w:tcPr>
          <w:p>
            <w:pPr>
              <w:spacing w:after="40" w:line="276" w:lineRule="auto"/>
            </w:pPr>
            <w:r>
              <w:rPr>
                <w:rFonts w:ascii="Calibri" w:hAnsi="Calibri"/>
                <w:sz w:val="18"/>
              </w:rPr>
              <w:t>Normal business asset.</w:t>
            </w:r>
          </w:p>
        </w:tc>
      </w:tr>
      <w:tr>
        <w:tc>
          <w:tcPr>
            <w:tcW w:type="dxa" w:w="1600"/>
            <w:tcMar>
              <w:top w:w="80" w:type="dxa"/>
              <w:start w:w="120" w:type="dxa"/>
              <w:bottom w:w="80" w:type="dxa"/>
              <w:end w:w="120" w:type="dxa"/>
            </w:tcMar>
            <w:vAlign w:val="top"/>
          </w:tcPr>
          <w:p>
            <w:pPr>
              <w:spacing w:after="40" w:line="276" w:lineRule="auto"/>
            </w:pPr>
            <w:r>
              <w:rPr>
                <w:rFonts w:ascii="Calibri" w:hAnsi="Calibri"/>
                <w:sz w:val="18"/>
              </w:rPr>
              <w:t>Low</w:t>
            </w:r>
          </w:p>
        </w:tc>
        <w:tc>
          <w:tcPr>
            <w:tcW w:type="dxa" w:w="3900"/>
            <w:tcMar>
              <w:top w:w="80" w:type="dxa"/>
              <w:start w:w="120" w:type="dxa"/>
              <w:bottom w:w="80" w:type="dxa"/>
              <w:end w:w="120" w:type="dxa"/>
            </w:tcMar>
            <w:vAlign w:val="top"/>
          </w:tcPr>
          <w:p>
            <w:pPr>
              <w:spacing w:after="40" w:line="276" w:lineRule="auto"/>
            </w:pPr>
            <w:r>
              <w:rPr>
                <w:rFonts w:ascii="Calibri" w:hAnsi="Calibri"/>
                <w:sz w:val="18"/>
              </w:rPr>
              <w:t>Informational or low-risk signal.</w:t>
            </w:r>
          </w:p>
        </w:tc>
        <w:tc>
          <w:tcPr>
            <w:tcW w:type="dxa" w:w="3860"/>
            <w:tcMar>
              <w:top w:w="80" w:type="dxa"/>
              <w:start w:w="120" w:type="dxa"/>
              <w:bottom w:w="80" w:type="dxa"/>
              <w:end w:w="120" w:type="dxa"/>
            </w:tcMar>
            <w:vAlign w:val="top"/>
          </w:tcPr>
          <w:p>
            <w:pPr>
              <w:spacing w:after="40" w:line="276" w:lineRule="auto"/>
            </w:pPr>
            <w:r>
              <w:rPr>
                <w:rFonts w:ascii="Calibri" w:hAnsi="Calibri"/>
                <w:sz w:val="18"/>
              </w:rPr>
              <w:t>Low-impact asset or lab/noncritical scope.</w:t>
            </w:r>
          </w:p>
        </w:tc>
      </w:tr>
    </w:tbl>
    <w:p>
      <w:pPr>
        <w:pStyle w:val="Heading2"/>
      </w:pPr>
      <w:r>
        <w:t>Appendix C - Administrator Checklist</w:t>
      </w:r>
    </w:p>
    <w:p>
      <w:pPr>
        <w:pStyle w:val="ListBullet"/>
      </w:pPr>
      <w:r>
        <w:t>Change default admin password.</w:t>
      </w:r>
    </w:p>
    <w:p>
      <w:pPr>
        <w:pStyle w:val="ListBullet"/>
      </w:pPr>
      <w:r>
        <w:t>Configure session timeout and cookie security for environment.</w:t>
      </w:r>
    </w:p>
    <w:p>
      <w:pPr>
        <w:pStyle w:val="ListBullet"/>
      </w:pPr>
      <w:r>
        <w:t>Generate and secure webhook API key.</w:t>
      </w:r>
    </w:p>
    <w:p>
      <w:pPr>
        <w:pStyle w:val="ListBullet"/>
      </w:pPr>
      <w:r>
        <w:t>Configure SMTP and send a test email.</w:t>
      </w:r>
    </w:p>
    <w:p>
      <w:pPr>
        <w:pStyle w:val="ListBullet"/>
      </w:pPr>
      <w:r>
        <w:t>Create users and validate role assignments.</w:t>
      </w:r>
    </w:p>
    <w:p>
      <w:pPr>
        <w:pStyle w:val="ListBullet"/>
      </w:pPr>
      <w:r>
        <w:t>Create critical assets and verify automatic linking with sample alerts.</w:t>
      </w:r>
    </w:p>
    <w:p>
      <w:pPr>
        <w:pStyle w:val="ListBullet"/>
      </w:pPr>
      <w:r>
        <w:t>Review and customize default playbook templates.</w:t>
      </w:r>
    </w:p>
    <w:p>
      <w:pPr>
        <w:pStyle w:val="ListBullet"/>
      </w:pPr>
      <w:r>
        <w:t>Verify audit logs and report generation.</w:t>
      </w:r>
    </w:p>
    <w:p>
      <w:pPr>
        <w:pStyle w:val="ListBullet"/>
      </w:pPr>
      <w:r>
        <w:t>Back up database and upload folder.</w:t>
      </w:r>
    </w:p>
    <w:p>
      <w:pPr>
        <w:pStyle w:val="Heading2"/>
      </w:pPr>
      <w:r>
        <w:t>Appendix D - Analyst Case Closure Checklist</w:t>
      </w:r>
    </w:p>
    <w:p>
      <w:pPr>
        <w:pStyle w:val="ListBullet"/>
      </w:pPr>
      <w:r>
        <w:t>Affected host/user/IPs confirmed.</w:t>
      </w:r>
    </w:p>
    <w:p>
      <w:pPr>
        <w:pStyle w:val="ListBullet"/>
      </w:pPr>
      <w:r>
        <w:t>Asset criticality reviewed.</w:t>
      </w:r>
    </w:p>
    <w:p>
      <w:pPr>
        <w:pStyle w:val="ListBullet"/>
      </w:pPr>
      <w:r>
        <w:t>All relevant IOCs recorded and labeled correctly.</w:t>
      </w:r>
    </w:p>
    <w:p>
      <w:pPr>
        <w:pStyle w:val="ListBullet"/>
      </w:pPr>
      <w:r>
        <w:t>Evidence uploaded and referenced in notes.</w:t>
      </w:r>
    </w:p>
    <w:p>
      <w:pPr>
        <w:pStyle w:val="ListBullet"/>
      </w:pPr>
      <w:r>
        <w:t>Playbook tasks completed or documented as not applicable.</w:t>
      </w:r>
    </w:p>
    <w:p>
      <w:pPr>
        <w:pStyle w:val="ListBullet"/>
      </w:pPr>
      <w:r>
        <w:t>Containment actions requested/executed/rolled back where needed.</w:t>
      </w:r>
    </w:p>
    <w:p>
      <w:pPr>
        <w:pStyle w:val="ListBullet"/>
      </w:pPr>
      <w:r>
        <w:t>Final summary explains finding, impact, response, and closure reason.</w:t>
      </w:r>
    </w:p>
    <w:p>
      <w:pPr>
        <w:pStyle w:val="ListBullet"/>
      </w:pPr>
      <w:r>
        <w:t>Closure review submitted to Lead.</w:t>
      </w:r>
    </w:p>
    <w:p>
      <w:pPr>
        <w:pStyle w:val="Heading2"/>
      </w:pPr>
      <w:r>
        <w:t>Appendix E - Design Preset Audit</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00"/>
        <w:gridCol w:w="6860"/>
      </w:tblGrid>
      <w:tr>
        <w:tc>
          <w:tcPr>
            <w:tcW w:type="dxa" w:w="2500"/>
            <w:shd w:fill="E8EEF5"/>
            <w:tcMar>
              <w:top w:w="80" w:type="dxa"/>
              <w:start w:w="120" w:type="dxa"/>
              <w:bottom w:w="80" w:type="dxa"/>
              <w:end w:w="120" w:type="dxa"/>
            </w:tcMar>
            <w:vAlign w:val="top"/>
          </w:tcPr>
          <w:p>
            <w:pPr>
              <w:spacing w:after="40" w:line="276" w:lineRule="auto"/>
            </w:pPr>
            <w:r>
              <w:rPr>
                <w:rFonts w:ascii="Calibri" w:hAnsi="Calibri"/>
                <w:b/>
                <w:color w:val="102027"/>
                <w:sz w:val="18"/>
              </w:rPr>
              <w:t>Preset Token</w:t>
            </w:r>
          </w:p>
        </w:tc>
        <w:tc>
          <w:tcPr>
            <w:tcW w:type="dxa" w:w="6860"/>
            <w:shd w:fill="E8EEF5"/>
            <w:tcMar>
              <w:top w:w="80" w:type="dxa"/>
              <w:start w:w="120" w:type="dxa"/>
              <w:bottom w:w="80" w:type="dxa"/>
              <w:end w:w="120" w:type="dxa"/>
            </w:tcMar>
            <w:vAlign w:val="top"/>
          </w:tcPr>
          <w:p>
            <w:pPr>
              <w:spacing w:after="40" w:line="276" w:lineRule="auto"/>
            </w:pPr>
            <w:r>
              <w:rPr>
                <w:rFonts w:ascii="Calibri" w:hAnsi="Calibri"/>
                <w:b/>
                <w:color w:val="102027"/>
                <w:sz w:val="18"/>
              </w:rPr>
              <w:t>Applied Value</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Preset</w:t>
            </w:r>
          </w:p>
        </w:tc>
        <w:tc>
          <w:tcPr>
            <w:tcW w:type="dxa" w:w="6860"/>
            <w:tcMar>
              <w:top w:w="80" w:type="dxa"/>
              <w:start w:w="120" w:type="dxa"/>
              <w:bottom w:w="80" w:type="dxa"/>
              <w:end w:w="120" w:type="dxa"/>
            </w:tcMar>
            <w:vAlign w:val="top"/>
          </w:tcPr>
          <w:p>
            <w:pPr>
              <w:spacing w:after="40" w:line="276" w:lineRule="auto"/>
            </w:pPr>
            <w:r>
              <w:rPr>
                <w:rFonts w:ascii="Calibri" w:hAnsi="Calibri"/>
                <w:sz w:val="18"/>
              </w:rPr>
              <w:t>compact_reference_guide</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Page</w:t>
            </w:r>
          </w:p>
        </w:tc>
        <w:tc>
          <w:tcPr>
            <w:tcW w:type="dxa" w:w="6860"/>
            <w:tcMar>
              <w:top w:w="80" w:type="dxa"/>
              <w:start w:w="120" w:type="dxa"/>
              <w:bottom w:w="80" w:type="dxa"/>
              <w:end w:w="120" w:type="dxa"/>
            </w:tcMar>
            <w:vAlign w:val="top"/>
          </w:tcPr>
          <w:p>
            <w:pPr>
              <w:spacing w:after="40" w:line="276" w:lineRule="auto"/>
            </w:pPr>
            <w:r>
              <w:rPr>
                <w:rFonts w:ascii="Calibri" w:hAnsi="Calibri"/>
                <w:sz w:val="18"/>
              </w:rPr>
              <w:t>US Letter portrait, 1.0 in margins, 0.492 in header/footer, 6.5 in content width</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Base font</w:t>
            </w:r>
          </w:p>
        </w:tc>
        <w:tc>
          <w:tcPr>
            <w:tcW w:type="dxa" w:w="6860"/>
            <w:tcMar>
              <w:top w:w="80" w:type="dxa"/>
              <w:start w:w="120" w:type="dxa"/>
              <w:bottom w:w="80" w:type="dxa"/>
              <w:end w:w="120" w:type="dxa"/>
            </w:tcMar>
            <w:vAlign w:val="top"/>
          </w:tcPr>
          <w:p>
            <w:pPr>
              <w:spacing w:after="40" w:line="276" w:lineRule="auto"/>
            </w:pPr>
            <w:r>
              <w:rPr>
                <w:rFonts w:ascii="Calibri" w:hAnsi="Calibri"/>
                <w:sz w:val="18"/>
              </w:rPr>
              <w:t>Calibri 11 pt</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Body spacing</w:t>
            </w:r>
          </w:p>
        </w:tc>
        <w:tc>
          <w:tcPr>
            <w:tcW w:type="dxa" w:w="6860"/>
            <w:tcMar>
              <w:top w:w="80" w:type="dxa"/>
              <w:start w:w="120" w:type="dxa"/>
              <w:bottom w:w="80" w:type="dxa"/>
              <w:end w:w="120" w:type="dxa"/>
            </w:tcMar>
            <w:vAlign w:val="top"/>
          </w:tcPr>
          <w:p>
            <w:pPr>
              <w:spacing w:after="40" w:line="276" w:lineRule="auto"/>
            </w:pPr>
            <w:r>
              <w:rPr>
                <w:rFonts w:ascii="Calibri" w:hAnsi="Calibri"/>
                <w:sz w:val="18"/>
              </w:rPr>
              <w:t>0 pt before, 6 pt after, 1.25 line spacing</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Heading 1</w:t>
            </w:r>
          </w:p>
        </w:tc>
        <w:tc>
          <w:tcPr>
            <w:tcW w:type="dxa" w:w="6860"/>
            <w:tcMar>
              <w:top w:w="80" w:type="dxa"/>
              <w:start w:w="120" w:type="dxa"/>
              <w:bottom w:w="80" w:type="dxa"/>
              <w:end w:w="120" w:type="dxa"/>
            </w:tcMar>
            <w:vAlign w:val="top"/>
          </w:tcPr>
          <w:p>
            <w:pPr>
              <w:spacing w:after="40" w:line="276" w:lineRule="auto"/>
            </w:pPr>
            <w:r>
              <w:rPr>
                <w:rFonts w:ascii="Calibri" w:hAnsi="Calibri"/>
                <w:sz w:val="18"/>
              </w:rPr>
              <w:t>16 pt #2E74B5, 18 pt before, 10 pt after</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Heading 2</w:t>
            </w:r>
          </w:p>
        </w:tc>
        <w:tc>
          <w:tcPr>
            <w:tcW w:type="dxa" w:w="6860"/>
            <w:tcMar>
              <w:top w:w="80" w:type="dxa"/>
              <w:start w:w="120" w:type="dxa"/>
              <w:bottom w:w="80" w:type="dxa"/>
              <w:end w:w="120" w:type="dxa"/>
            </w:tcMar>
            <w:vAlign w:val="top"/>
          </w:tcPr>
          <w:p>
            <w:pPr>
              <w:spacing w:after="40" w:line="276" w:lineRule="auto"/>
            </w:pPr>
            <w:r>
              <w:rPr>
                <w:rFonts w:ascii="Calibri" w:hAnsi="Calibri"/>
                <w:sz w:val="18"/>
              </w:rPr>
              <w:t>13 pt #2E74B5, 14 pt before, 7 pt after</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Heading 3</w:t>
            </w:r>
          </w:p>
        </w:tc>
        <w:tc>
          <w:tcPr>
            <w:tcW w:type="dxa" w:w="6860"/>
            <w:tcMar>
              <w:top w:w="80" w:type="dxa"/>
              <w:start w:w="120" w:type="dxa"/>
              <w:bottom w:w="80" w:type="dxa"/>
              <w:end w:w="120" w:type="dxa"/>
            </w:tcMar>
            <w:vAlign w:val="top"/>
          </w:tcPr>
          <w:p>
            <w:pPr>
              <w:spacing w:after="40" w:line="276" w:lineRule="auto"/>
            </w:pPr>
            <w:r>
              <w:rPr>
                <w:rFonts w:ascii="Calibri" w:hAnsi="Calibri"/>
                <w:sz w:val="18"/>
              </w:rPr>
              <w:t>12 pt #1F4D78, 10 pt before, 5 pt after</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Tables</w:t>
            </w:r>
          </w:p>
        </w:tc>
        <w:tc>
          <w:tcPr>
            <w:tcW w:type="dxa" w:w="6860"/>
            <w:tcMar>
              <w:top w:w="80" w:type="dxa"/>
              <w:start w:w="120" w:type="dxa"/>
              <w:bottom w:w="80" w:type="dxa"/>
              <w:end w:w="120" w:type="dxa"/>
            </w:tcMar>
            <w:vAlign w:val="top"/>
          </w:tcPr>
          <w:p>
            <w:pPr>
              <w:spacing w:after="40" w:line="276" w:lineRule="auto"/>
            </w:pPr>
            <w:r>
              <w:rPr>
                <w:rFonts w:ascii="Calibri" w:hAnsi="Calibri"/>
                <w:sz w:val="18"/>
              </w:rPr>
              <w:t>9360 DXA width, 120 DXA indent, fixed grid, 80/120/80/120 cell margins</w:t>
            </w:r>
          </w:p>
        </w:tc>
      </w:tr>
      <w:tr>
        <w:tc>
          <w:tcPr>
            <w:tcW w:type="dxa" w:w="2500"/>
            <w:tcMar>
              <w:top w:w="80" w:type="dxa"/>
              <w:start w:w="120" w:type="dxa"/>
              <w:bottom w:w="80" w:type="dxa"/>
              <w:end w:w="120" w:type="dxa"/>
            </w:tcMar>
            <w:vAlign w:val="top"/>
          </w:tcPr>
          <w:p>
            <w:pPr>
              <w:spacing w:after="40" w:line="276" w:lineRule="auto"/>
            </w:pPr>
            <w:r>
              <w:rPr>
                <w:rFonts w:ascii="Calibri" w:hAnsi="Calibri"/>
                <w:sz w:val="18"/>
              </w:rPr>
              <w:t>Header fill</w:t>
            </w:r>
          </w:p>
        </w:tc>
        <w:tc>
          <w:tcPr>
            <w:tcW w:type="dxa" w:w="6860"/>
            <w:tcMar>
              <w:top w:w="80" w:type="dxa"/>
              <w:start w:w="120" w:type="dxa"/>
              <w:bottom w:w="80" w:type="dxa"/>
              <w:end w:w="120" w:type="dxa"/>
            </w:tcMar>
            <w:vAlign w:val="top"/>
          </w:tcPr>
          <w:p>
            <w:pPr>
              <w:spacing w:after="40" w:line="276" w:lineRule="auto"/>
            </w:pPr>
            <w:r>
              <w:rPr>
                <w:rFonts w:ascii="Calibri" w:hAnsi="Calibri"/>
                <w:sz w:val="18"/>
              </w:rPr>
              <w:t>#E8EEF5</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AstoraSOC v1.0 Operations Manual | Astora Lab | www.astoralab.com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737D"/>
        <w:sz w:val="16"/>
      </w:rPr>
      <w:t>AstoraSOC v1.0 SOC &amp; Incident Response Platform -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020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