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EB" w:rsidRPr="00806FBA" w:rsidRDefault="0047372D" w:rsidP="00A3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Punition 22</w:t>
      </w:r>
      <w:r w:rsidR="00A33EEB" w:rsidRPr="00806FBA">
        <w:rPr>
          <w:b/>
          <w:sz w:val="28"/>
          <w:szCs w:val="28"/>
        </w:rPr>
        <w:t xml:space="preserve"> : </w:t>
      </w:r>
      <w:r w:rsidR="00A33EEB">
        <w:rPr>
          <w:b/>
          <w:sz w:val="28"/>
          <w:szCs w:val="28"/>
        </w:rPr>
        <w:t>Comportements agressifs et violents</w:t>
      </w:r>
    </w:p>
    <w:p w:rsidR="00A33EEB" w:rsidRPr="00586967" w:rsidRDefault="00A33EEB" w:rsidP="00A33EE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A33EEB" w:rsidRPr="00586967" w:rsidRDefault="00A33EEB" w:rsidP="00A33EEB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586967">
        <w:rPr>
          <w:rFonts w:cs="Arial"/>
          <w:b/>
          <w:bCs/>
          <w:sz w:val="28"/>
          <w:szCs w:val="28"/>
        </w:rPr>
        <w:t>Si le travail n’est pas fait sérieusement ou est bâclé, une autre heure de retenue sera donnée pour le recommencer dans sa totalité.</w:t>
      </w:r>
    </w:p>
    <w:p w:rsidR="00A33EEB" w:rsidRDefault="00A33EEB" w:rsidP="00A33EEB">
      <w:pPr>
        <w:spacing w:after="0" w:line="240" w:lineRule="auto"/>
      </w:pPr>
    </w:p>
    <w:p w:rsidR="0047372D" w:rsidRPr="0047372D" w:rsidRDefault="0047372D" w:rsidP="0047372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i/>
          <w:u w:val="single"/>
        </w:rPr>
      </w:pPr>
      <w:r w:rsidRPr="0047372D">
        <w:rPr>
          <w:rFonts w:cs="Arial"/>
          <w:bCs/>
          <w:i/>
          <w:u w:val="single"/>
        </w:rPr>
        <w:t>Matériel : Dictionnaire</w:t>
      </w:r>
    </w:p>
    <w:p w:rsidR="0047372D" w:rsidRDefault="0047372D" w:rsidP="00A33EEB">
      <w:pPr>
        <w:spacing w:after="0" w:line="240" w:lineRule="auto"/>
      </w:pP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Décris avec précision les propos et/ou les gestes que tu as eu et qui ont conduit à ta punition.</w:t>
      </w: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Explique comment TU aurais réagi si c’est toi qui avais été la victime. </w:t>
      </w: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Avec le dictionnaire, recopie la définition des mots suivants : agression – intimidation – violence – menace – outrage – respect.</w:t>
      </w: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Dans la liste des infractions donnée par l’article 131-13 du Code Pénal, recopie le type d’infraction à laquelle ton comportement correspond.</w:t>
      </w: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D’après la loi, que risques-tu si l’élève victime de tes propos ou de tes gestes porte plainte ?</w:t>
      </w:r>
    </w:p>
    <w:p w:rsidR="0047372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D’après la loi, que risques-tu si le professeur victime de tes propos ou de tes gestes porte plainte ?</w:t>
      </w:r>
    </w:p>
    <w:p w:rsidR="0047372D" w:rsidRPr="003C7C6D" w:rsidRDefault="0047372D" w:rsidP="0047372D">
      <w:pPr>
        <w:pStyle w:val="Paragraphedeliste"/>
        <w:numPr>
          <w:ilvl w:val="0"/>
          <w:numId w:val="1"/>
        </w:numPr>
        <w:spacing w:after="0" w:line="24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Rédige une lettre d’excuse de 10 lignes minimum.</w:t>
      </w:r>
    </w:p>
    <w:p w:rsidR="0047372D" w:rsidRDefault="0047372D" w:rsidP="00A33EEB">
      <w:pPr>
        <w:spacing w:after="0" w:line="240" w:lineRule="auto"/>
      </w:pPr>
    </w:p>
    <w:p w:rsidR="0047372D" w:rsidRPr="00586967" w:rsidRDefault="0047372D" w:rsidP="00A33EEB">
      <w:pPr>
        <w:spacing w:after="0" w:line="240" w:lineRule="auto"/>
      </w:pPr>
      <w:bookmarkStart w:id="0" w:name="_GoBack"/>
      <w:bookmarkEnd w:id="0"/>
    </w:p>
    <w:p w:rsidR="00A33EEB" w:rsidRPr="00586967" w:rsidRDefault="00A33EEB" w:rsidP="00A33EEB">
      <w:pPr>
        <w:spacing w:after="0" w:line="240" w:lineRule="auto"/>
        <w:jc w:val="center"/>
      </w:pPr>
      <w:r>
        <w:rPr>
          <w:b/>
          <w:u w:val="single"/>
        </w:rPr>
        <w:t>Article 131-13 du Code Pénal</w:t>
      </w:r>
    </w:p>
    <w:p w:rsidR="00A33EEB" w:rsidRPr="00A33EEB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« </w:t>
      </w:r>
      <w:r w:rsidR="00A33EEB" w:rsidRPr="00A33EEB">
        <w:rPr>
          <w:rFonts w:eastAsia="Times New Roman" w:cs="Times New Roman"/>
          <w:lang w:eastAsia="fr-FR"/>
        </w:rPr>
        <w:t>Constituent des contraventions les infractions que la loi punit d'une amende n'excédant pas 3 000 euros.</w:t>
      </w:r>
    </w:p>
    <w:p w:rsidR="00A33EEB" w:rsidRPr="00A33EEB" w:rsidRDefault="00A33EEB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A33EEB">
        <w:rPr>
          <w:rFonts w:eastAsia="Times New Roman" w:cs="Times New Roman"/>
          <w:lang w:eastAsia="fr-FR"/>
        </w:rPr>
        <w:t>Le montant de l'amende est le suivant :</w:t>
      </w:r>
    </w:p>
    <w:p w:rsidR="00A33EEB" w:rsidRPr="00A33EEB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1)</w:t>
      </w:r>
      <w:r w:rsidR="00A33EEB" w:rsidRPr="00A33EEB">
        <w:rPr>
          <w:rFonts w:eastAsia="Times New Roman" w:cs="Times New Roman"/>
          <w:lang w:eastAsia="fr-FR"/>
        </w:rPr>
        <w:t xml:space="preserve"> 38 euros au plus pour les contraventions de la 1re classe ;</w:t>
      </w:r>
    </w:p>
    <w:p w:rsidR="00A33EEB" w:rsidRPr="00A33EEB" w:rsidRDefault="00A33EEB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A33EEB">
        <w:rPr>
          <w:rFonts w:eastAsia="Times New Roman" w:cs="Times New Roman"/>
          <w:lang w:eastAsia="fr-FR"/>
        </w:rPr>
        <w:t>2</w:t>
      </w:r>
      <w:r w:rsidR="00D7625B">
        <w:rPr>
          <w:rFonts w:eastAsia="Times New Roman" w:cs="Times New Roman"/>
          <w:lang w:eastAsia="fr-FR"/>
        </w:rPr>
        <w:t xml:space="preserve">) </w:t>
      </w:r>
      <w:r w:rsidRPr="00A33EEB">
        <w:rPr>
          <w:rFonts w:eastAsia="Times New Roman" w:cs="Times New Roman"/>
          <w:lang w:eastAsia="fr-FR"/>
        </w:rPr>
        <w:t>150 euros au plus pour les contraventions de la 2e classe ;</w:t>
      </w:r>
    </w:p>
    <w:p w:rsidR="00A33EEB" w:rsidRPr="00A33EEB" w:rsidRDefault="00A33EEB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A33EEB">
        <w:rPr>
          <w:rFonts w:eastAsia="Times New Roman" w:cs="Times New Roman"/>
          <w:lang w:eastAsia="fr-FR"/>
        </w:rPr>
        <w:t>3</w:t>
      </w:r>
      <w:r w:rsidR="00D7625B">
        <w:rPr>
          <w:rFonts w:eastAsia="Times New Roman" w:cs="Times New Roman"/>
          <w:lang w:eastAsia="fr-FR"/>
        </w:rPr>
        <w:t>)</w:t>
      </w:r>
      <w:r w:rsidRPr="00A33EEB">
        <w:rPr>
          <w:rFonts w:eastAsia="Times New Roman" w:cs="Times New Roman"/>
          <w:lang w:eastAsia="fr-FR"/>
        </w:rPr>
        <w:t xml:space="preserve"> 450 euros au plus pour les contraventions de la 3e classe ;</w:t>
      </w:r>
    </w:p>
    <w:p w:rsidR="00A33EEB" w:rsidRPr="00A33EEB" w:rsidRDefault="00A33EEB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A33EEB">
        <w:rPr>
          <w:rFonts w:eastAsia="Times New Roman" w:cs="Times New Roman"/>
          <w:lang w:eastAsia="fr-FR"/>
        </w:rPr>
        <w:t>4</w:t>
      </w:r>
      <w:r w:rsidR="00D7625B">
        <w:rPr>
          <w:rFonts w:eastAsia="Times New Roman" w:cs="Times New Roman"/>
          <w:lang w:eastAsia="fr-FR"/>
        </w:rPr>
        <w:t>)</w:t>
      </w:r>
      <w:r w:rsidRPr="00A33EEB">
        <w:rPr>
          <w:rFonts w:eastAsia="Times New Roman" w:cs="Times New Roman"/>
          <w:lang w:eastAsia="fr-FR"/>
        </w:rPr>
        <w:t xml:space="preserve"> 750 euros au plus pour les contraventions de la 4e classe ;</w:t>
      </w:r>
    </w:p>
    <w:p w:rsidR="00D7625B" w:rsidRPr="00A33EEB" w:rsidRDefault="00A33EEB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A33EEB">
        <w:rPr>
          <w:rFonts w:eastAsia="Times New Roman" w:cs="Times New Roman"/>
          <w:lang w:eastAsia="fr-FR"/>
        </w:rPr>
        <w:t>5</w:t>
      </w:r>
      <w:r w:rsidR="00D7625B">
        <w:rPr>
          <w:rFonts w:eastAsia="Times New Roman" w:cs="Times New Roman"/>
          <w:lang w:eastAsia="fr-FR"/>
        </w:rPr>
        <w:t>)</w:t>
      </w:r>
      <w:r w:rsidRPr="00A33EEB">
        <w:rPr>
          <w:rFonts w:eastAsia="Times New Roman" w:cs="Times New Roman"/>
          <w:lang w:eastAsia="fr-FR"/>
        </w:rPr>
        <w:t xml:space="preserve"> 1 500 euros au plus pour les contraventions de la 5e classe, montant qui peut être porté à 3 000 euros en cas de récidive lorsque le règlement le prévoit, hors les cas où la loi prévoit que la récidive de la contravention constitue un délit.</w:t>
      </w:r>
      <w:r w:rsidR="00D7625B">
        <w:rPr>
          <w:rFonts w:eastAsia="Times New Roman" w:cs="Times New Roman"/>
          <w:lang w:eastAsia="fr-FR"/>
        </w:rPr>
        <w:t> »</w:t>
      </w:r>
    </w:p>
    <w:p w:rsidR="00A33EEB" w:rsidRPr="00D7625B" w:rsidRDefault="000B1AD5" w:rsidP="00D7625B">
      <w:pPr>
        <w:spacing w:after="0" w:line="240" w:lineRule="auto"/>
        <w:jc w:val="center"/>
        <w:rPr>
          <w:b/>
          <w:u w:val="single"/>
        </w:rPr>
      </w:pPr>
      <w:r w:rsidRPr="00D7625B">
        <w:rPr>
          <w:b/>
          <w:u w:val="single"/>
        </w:rPr>
        <w:t>Classification des infractions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9811"/>
      </w:tblGrid>
      <w:tr w:rsidR="00D7625B" w:rsidRPr="00D7625B" w:rsidTr="00D7625B">
        <w:tc>
          <w:tcPr>
            <w:tcW w:w="110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1</w:t>
            </w:r>
            <w:r w:rsidRPr="000B1AD5">
              <w:rPr>
                <w:rFonts w:eastAsia="Times New Roman" w:cs="Times New Roman"/>
                <w:vertAlign w:val="superscript"/>
                <w:lang w:eastAsia="fr-FR"/>
              </w:rPr>
              <w:t>re</w:t>
            </w:r>
            <w:r w:rsidRPr="000B1AD5">
              <w:rPr>
                <w:rFonts w:eastAsia="Times New Roman" w:cs="Times New Roman"/>
                <w:lang w:eastAsia="fr-FR"/>
              </w:rPr>
              <w:t xml:space="preserve"> classe</w:t>
            </w:r>
          </w:p>
        </w:tc>
        <w:tc>
          <w:tcPr>
            <w:tcW w:w="9811" w:type="dxa"/>
            <w:vAlign w:val="center"/>
          </w:tcPr>
          <w:p w:rsidR="00D7625B" w:rsidRPr="000B1AD5" w:rsidRDefault="0047372D" w:rsidP="00D7625B">
            <w:pPr>
              <w:rPr>
                <w:rFonts w:eastAsia="Times New Roman" w:cs="Times New Roman"/>
                <w:lang w:eastAsia="fr-FR"/>
              </w:rPr>
            </w:pPr>
            <w:hyperlink r:id="rId6" w:tooltip="Diffamation" w:history="1">
              <w:r w:rsidR="00D7625B" w:rsidRPr="00D7625B">
                <w:rPr>
                  <w:rFonts w:eastAsia="Times New Roman" w:cs="Times New Roman"/>
                  <w:lang w:eastAsia="fr-FR"/>
                </w:rPr>
                <w:t>Diffamation</w:t>
              </w:r>
            </w:hyperlink>
            <w:r w:rsidR="00D7625B" w:rsidRPr="000B1AD5">
              <w:rPr>
                <w:rFonts w:eastAsia="Times New Roman" w:cs="Times New Roman"/>
                <w:lang w:eastAsia="fr-FR"/>
              </w:rPr>
              <w:t xml:space="preserve"> et </w:t>
            </w:r>
            <w:hyperlink r:id="rId7" w:tooltip="Injure" w:history="1">
              <w:r w:rsidR="00D7625B" w:rsidRPr="00D7625B">
                <w:rPr>
                  <w:rFonts w:eastAsia="Times New Roman" w:cs="Times New Roman"/>
                  <w:lang w:eastAsia="fr-FR"/>
                </w:rPr>
                <w:t>injure</w:t>
              </w:r>
            </w:hyperlink>
            <w:r w:rsidR="00D7625B" w:rsidRPr="000B1AD5">
              <w:rPr>
                <w:rFonts w:eastAsia="Times New Roman" w:cs="Times New Roman"/>
                <w:lang w:eastAsia="fr-FR"/>
              </w:rPr>
              <w:t xml:space="preserve"> non publiques</w:t>
            </w:r>
          </w:p>
        </w:tc>
      </w:tr>
      <w:tr w:rsidR="00D7625B" w:rsidRPr="00D7625B" w:rsidTr="00D7625B">
        <w:tc>
          <w:tcPr>
            <w:tcW w:w="110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2</w:t>
            </w:r>
            <w:r w:rsidRPr="000B1AD5">
              <w:rPr>
                <w:rFonts w:eastAsia="Times New Roman" w:cs="Times New Roman"/>
                <w:vertAlign w:val="superscript"/>
                <w:lang w:eastAsia="fr-FR"/>
              </w:rPr>
              <w:t>e</w:t>
            </w:r>
            <w:r w:rsidRPr="000B1AD5">
              <w:rPr>
                <w:rFonts w:eastAsia="Times New Roman" w:cs="Times New Roman"/>
                <w:lang w:eastAsia="fr-FR"/>
              </w:rPr>
              <w:t xml:space="preserve"> classe</w:t>
            </w:r>
          </w:p>
        </w:tc>
        <w:tc>
          <w:tcPr>
            <w:tcW w:w="981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 xml:space="preserve">Atteinte involontaire à l'intégrité physique n'ayant entraîné aucune </w:t>
            </w:r>
            <w:hyperlink r:id="rId8" w:tooltip="Incapacité totale de travail" w:history="1">
              <w:r w:rsidRPr="00D7625B">
                <w:rPr>
                  <w:rFonts w:eastAsia="Times New Roman" w:cs="Times New Roman"/>
                  <w:lang w:eastAsia="fr-FR"/>
                </w:rPr>
                <w:t>ITT</w:t>
              </w:r>
            </w:hyperlink>
          </w:p>
        </w:tc>
      </w:tr>
      <w:tr w:rsidR="00D7625B" w:rsidRPr="00D7625B" w:rsidTr="00D7625B">
        <w:tc>
          <w:tcPr>
            <w:tcW w:w="110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3</w:t>
            </w:r>
            <w:r w:rsidRPr="000B1AD5">
              <w:rPr>
                <w:rFonts w:eastAsia="Times New Roman" w:cs="Times New Roman"/>
                <w:vertAlign w:val="superscript"/>
                <w:lang w:eastAsia="fr-FR"/>
              </w:rPr>
              <w:t>e</w:t>
            </w:r>
            <w:r w:rsidRPr="000B1AD5">
              <w:rPr>
                <w:rFonts w:eastAsia="Times New Roman" w:cs="Times New Roman"/>
                <w:lang w:eastAsia="fr-FR"/>
              </w:rPr>
              <w:t xml:space="preserve"> classe</w:t>
            </w:r>
          </w:p>
        </w:tc>
        <w:tc>
          <w:tcPr>
            <w:tcW w:w="981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Menaces de violences</w:t>
            </w:r>
          </w:p>
        </w:tc>
      </w:tr>
      <w:tr w:rsidR="00D7625B" w:rsidRPr="00D7625B" w:rsidTr="00D7625B">
        <w:tc>
          <w:tcPr>
            <w:tcW w:w="110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4</w:t>
            </w:r>
            <w:r w:rsidRPr="000B1AD5">
              <w:rPr>
                <w:rFonts w:eastAsia="Times New Roman" w:cs="Times New Roman"/>
                <w:vertAlign w:val="superscript"/>
                <w:lang w:eastAsia="fr-FR"/>
              </w:rPr>
              <w:t>e</w:t>
            </w:r>
            <w:r w:rsidRPr="000B1AD5">
              <w:rPr>
                <w:rFonts w:eastAsia="Times New Roman" w:cs="Times New Roman"/>
                <w:lang w:eastAsia="fr-FR"/>
              </w:rPr>
              <w:t xml:space="preserve"> classe</w:t>
            </w:r>
          </w:p>
        </w:tc>
        <w:tc>
          <w:tcPr>
            <w:tcW w:w="981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Violences légères ou lourdes sur l'animal ou l'homme</w:t>
            </w:r>
          </w:p>
        </w:tc>
      </w:tr>
      <w:tr w:rsidR="00D7625B" w:rsidRPr="00D7625B" w:rsidTr="00D7625B">
        <w:tc>
          <w:tcPr>
            <w:tcW w:w="110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>5</w:t>
            </w:r>
            <w:r w:rsidRPr="000B1AD5">
              <w:rPr>
                <w:rFonts w:eastAsia="Times New Roman" w:cs="Times New Roman"/>
                <w:vertAlign w:val="superscript"/>
                <w:lang w:eastAsia="fr-FR"/>
              </w:rPr>
              <w:t>e</w:t>
            </w:r>
            <w:r w:rsidRPr="000B1AD5">
              <w:rPr>
                <w:rFonts w:eastAsia="Times New Roman" w:cs="Times New Roman"/>
                <w:lang w:eastAsia="fr-FR"/>
              </w:rPr>
              <w:t xml:space="preserve"> classe</w:t>
            </w:r>
          </w:p>
        </w:tc>
        <w:tc>
          <w:tcPr>
            <w:tcW w:w="9811" w:type="dxa"/>
            <w:vAlign w:val="center"/>
          </w:tcPr>
          <w:p w:rsidR="00D7625B" w:rsidRPr="000B1AD5" w:rsidRDefault="00D7625B" w:rsidP="00D7625B">
            <w:pPr>
              <w:rPr>
                <w:rFonts w:eastAsia="Times New Roman" w:cs="Times New Roman"/>
                <w:lang w:eastAsia="fr-FR"/>
              </w:rPr>
            </w:pPr>
            <w:r w:rsidRPr="000B1AD5">
              <w:rPr>
                <w:rFonts w:eastAsia="Times New Roman" w:cs="Times New Roman"/>
                <w:lang w:eastAsia="fr-FR"/>
              </w:rPr>
              <w:t xml:space="preserve">Violences volontaires ayant entraîné une </w:t>
            </w:r>
            <w:hyperlink r:id="rId9" w:tooltip="Incapacité totale de travail" w:history="1">
              <w:r w:rsidRPr="00D7625B">
                <w:rPr>
                  <w:rFonts w:eastAsia="Times New Roman" w:cs="Times New Roman"/>
                  <w:lang w:eastAsia="fr-FR"/>
                </w:rPr>
                <w:t>ITT</w:t>
              </w:r>
            </w:hyperlink>
            <w:r w:rsidRPr="000B1AD5">
              <w:rPr>
                <w:rFonts w:eastAsia="Times New Roman" w:cs="Times New Roman"/>
                <w:lang w:eastAsia="fr-FR"/>
              </w:rPr>
              <w:t xml:space="preserve"> inférieure ou égale à 8 jours ou mise à mort volontaire et cruelle d'un animal domestique.</w:t>
            </w:r>
          </w:p>
        </w:tc>
      </w:tr>
    </w:tbl>
    <w:p w:rsidR="000B1AD5" w:rsidRPr="00D7625B" w:rsidRDefault="000B1AD5" w:rsidP="00D7625B">
      <w:pPr>
        <w:spacing w:after="0" w:line="240" w:lineRule="auto"/>
      </w:pPr>
    </w:p>
    <w:p w:rsidR="000B1AD5" w:rsidRPr="000B1AD5" w:rsidRDefault="000B1AD5" w:rsidP="00D7625B">
      <w:pPr>
        <w:spacing w:after="0" w:line="240" w:lineRule="auto"/>
        <w:jc w:val="center"/>
        <w:rPr>
          <w:rFonts w:eastAsia="Times New Roman" w:cs="Times New Roman"/>
          <w:b/>
          <w:u w:val="single"/>
          <w:lang w:eastAsia="fr-FR"/>
        </w:rPr>
      </w:pPr>
      <w:r w:rsidRPr="000B1AD5">
        <w:rPr>
          <w:rFonts w:eastAsia="Times New Roman" w:cs="Times New Roman"/>
          <w:b/>
          <w:u w:val="single"/>
          <w:lang w:eastAsia="fr-FR"/>
        </w:rPr>
        <w:t>Article R621-2</w:t>
      </w:r>
      <w:r w:rsidR="00D7625B" w:rsidRPr="00D7625B">
        <w:rPr>
          <w:rFonts w:eastAsia="Times New Roman" w:cs="Times New Roman"/>
          <w:b/>
          <w:u w:val="single"/>
          <w:lang w:eastAsia="fr-FR"/>
        </w:rPr>
        <w:t xml:space="preserve"> du Code pénal</w:t>
      </w:r>
    </w:p>
    <w:p w:rsidR="000B1AD5" w:rsidRPr="00D7625B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« </w:t>
      </w:r>
      <w:r w:rsidR="000B1AD5" w:rsidRPr="000B1AD5">
        <w:rPr>
          <w:rFonts w:eastAsia="Times New Roman" w:cs="Times New Roman"/>
          <w:lang w:eastAsia="fr-FR"/>
        </w:rPr>
        <w:t>L'injure non publique envers une personne, lorsqu'elle n'a pas été précédée de provocation, est punie de l'amende prévue pour les contraventions de la 1</w:t>
      </w:r>
      <w:r w:rsidRPr="00D7625B">
        <w:rPr>
          <w:rFonts w:eastAsia="Times New Roman" w:cs="Times New Roman"/>
          <w:vertAlign w:val="superscript"/>
          <w:lang w:eastAsia="fr-FR"/>
        </w:rPr>
        <w:t>è</w:t>
      </w:r>
      <w:r w:rsidR="000B1AD5" w:rsidRPr="000B1AD5">
        <w:rPr>
          <w:rFonts w:eastAsia="Times New Roman" w:cs="Times New Roman"/>
          <w:vertAlign w:val="superscript"/>
          <w:lang w:eastAsia="fr-FR"/>
        </w:rPr>
        <w:t>re</w:t>
      </w:r>
      <w:r>
        <w:rPr>
          <w:rFonts w:eastAsia="Times New Roman" w:cs="Times New Roman"/>
          <w:lang w:eastAsia="fr-FR"/>
        </w:rPr>
        <w:t xml:space="preserve"> </w:t>
      </w:r>
      <w:r w:rsidR="000B1AD5" w:rsidRPr="000B1AD5">
        <w:rPr>
          <w:rFonts w:eastAsia="Times New Roman" w:cs="Times New Roman"/>
          <w:lang w:eastAsia="fr-FR"/>
        </w:rPr>
        <w:t xml:space="preserve"> classe.</w:t>
      </w:r>
      <w:r>
        <w:rPr>
          <w:rFonts w:eastAsia="Times New Roman" w:cs="Times New Roman"/>
          <w:lang w:eastAsia="fr-FR"/>
        </w:rPr>
        <w:t> »</w:t>
      </w:r>
    </w:p>
    <w:p w:rsidR="00D7625B" w:rsidRPr="000B1AD5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</w:p>
    <w:p w:rsidR="000B1AD5" w:rsidRPr="000B1AD5" w:rsidRDefault="000B1AD5" w:rsidP="00D7625B">
      <w:pPr>
        <w:spacing w:after="0" w:line="240" w:lineRule="auto"/>
        <w:jc w:val="center"/>
        <w:rPr>
          <w:rFonts w:eastAsia="Times New Roman" w:cs="Times New Roman"/>
          <w:b/>
          <w:u w:val="single"/>
          <w:lang w:eastAsia="fr-FR"/>
        </w:rPr>
      </w:pPr>
      <w:r w:rsidRPr="000B1AD5">
        <w:rPr>
          <w:rFonts w:eastAsia="Times New Roman" w:cs="Times New Roman"/>
          <w:b/>
          <w:u w:val="single"/>
          <w:lang w:eastAsia="fr-FR"/>
        </w:rPr>
        <w:t>Article R623-1</w:t>
      </w:r>
      <w:r w:rsidR="00D7625B" w:rsidRPr="00D7625B">
        <w:rPr>
          <w:rFonts w:eastAsia="Times New Roman" w:cs="Times New Roman"/>
          <w:b/>
          <w:u w:val="single"/>
          <w:lang w:eastAsia="fr-FR"/>
        </w:rPr>
        <w:t xml:space="preserve"> du Code Pénal</w:t>
      </w:r>
    </w:p>
    <w:p w:rsidR="000B1AD5" w:rsidRPr="00D7625B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« […] La</w:t>
      </w:r>
      <w:r w:rsidR="000B1AD5" w:rsidRPr="000B1AD5">
        <w:rPr>
          <w:rFonts w:eastAsia="Times New Roman" w:cs="Times New Roman"/>
          <w:lang w:eastAsia="fr-FR"/>
        </w:rPr>
        <w:t xml:space="preserve"> menace de commettre des violences contre une personne, lorsque cette menace est soit réitérée, soit matérialisée par un écrit, une image ou tout autre objet, est punie de l'amende prévue </w:t>
      </w:r>
      <w:r>
        <w:rPr>
          <w:rFonts w:eastAsia="Times New Roman" w:cs="Times New Roman"/>
          <w:lang w:eastAsia="fr-FR"/>
        </w:rPr>
        <w:t>pour les contraventions de la 3</w:t>
      </w:r>
      <w:r w:rsidRPr="00D7625B">
        <w:rPr>
          <w:rFonts w:eastAsia="Times New Roman" w:cs="Times New Roman"/>
          <w:vertAlign w:val="superscript"/>
          <w:lang w:eastAsia="fr-FR"/>
        </w:rPr>
        <w:t>ème</w:t>
      </w:r>
      <w:r>
        <w:rPr>
          <w:rFonts w:eastAsia="Times New Roman" w:cs="Times New Roman"/>
          <w:lang w:eastAsia="fr-FR"/>
        </w:rPr>
        <w:t xml:space="preserve"> </w:t>
      </w:r>
      <w:r w:rsidR="000B1AD5" w:rsidRPr="000B1AD5">
        <w:rPr>
          <w:rFonts w:eastAsia="Times New Roman" w:cs="Times New Roman"/>
          <w:lang w:eastAsia="fr-FR"/>
        </w:rPr>
        <w:t xml:space="preserve"> classe.</w:t>
      </w:r>
      <w:r>
        <w:rPr>
          <w:rFonts w:eastAsia="Times New Roman" w:cs="Times New Roman"/>
          <w:lang w:eastAsia="fr-FR"/>
        </w:rPr>
        <w:t> »</w:t>
      </w:r>
    </w:p>
    <w:p w:rsidR="00D7625B" w:rsidRPr="000B1AD5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</w:p>
    <w:p w:rsidR="000B1AD5" w:rsidRPr="000B1AD5" w:rsidRDefault="000B1AD5" w:rsidP="00D7625B">
      <w:pPr>
        <w:spacing w:after="0" w:line="240" w:lineRule="auto"/>
        <w:jc w:val="center"/>
        <w:rPr>
          <w:rFonts w:eastAsia="Times New Roman" w:cs="Times New Roman"/>
          <w:b/>
          <w:u w:val="single"/>
          <w:lang w:eastAsia="fr-FR"/>
        </w:rPr>
      </w:pPr>
      <w:r w:rsidRPr="000B1AD5">
        <w:rPr>
          <w:rFonts w:eastAsia="Times New Roman" w:cs="Times New Roman"/>
          <w:b/>
          <w:u w:val="single"/>
          <w:lang w:eastAsia="fr-FR"/>
        </w:rPr>
        <w:t>Article 434-5</w:t>
      </w:r>
      <w:r w:rsidR="00D7625B" w:rsidRPr="00D7625B">
        <w:rPr>
          <w:rFonts w:eastAsia="Times New Roman" w:cs="Times New Roman"/>
          <w:b/>
          <w:u w:val="single"/>
          <w:lang w:eastAsia="fr-FR"/>
        </w:rPr>
        <w:t xml:space="preserve"> du Code Pénal</w:t>
      </w:r>
    </w:p>
    <w:p w:rsidR="000B1AD5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« </w:t>
      </w:r>
      <w:r w:rsidR="000B1AD5" w:rsidRPr="000B1AD5">
        <w:rPr>
          <w:rFonts w:eastAsia="Times New Roman" w:cs="Times New Roman"/>
          <w:lang w:eastAsia="fr-FR"/>
        </w:rPr>
        <w:t>Toute menace ou tout autre acte d'intimidation à l'égard de quiconque</w:t>
      </w:r>
      <w:r w:rsidR="000B1AD5" w:rsidRPr="00D7625B">
        <w:rPr>
          <w:rFonts w:eastAsia="Times New Roman" w:cs="Times New Roman"/>
          <w:lang w:eastAsia="fr-FR"/>
        </w:rPr>
        <w:t xml:space="preserve"> […] </w:t>
      </w:r>
      <w:r w:rsidR="000B1AD5" w:rsidRPr="000B1AD5">
        <w:rPr>
          <w:rFonts w:eastAsia="Times New Roman" w:cs="Times New Roman"/>
          <w:lang w:eastAsia="fr-FR"/>
        </w:rPr>
        <w:t>est puni de trois ans d'emprisonnement et de 45 000 euros d'amende.</w:t>
      </w:r>
      <w:r>
        <w:rPr>
          <w:rFonts w:eastAsia="Times New Roman" w:cs="Times New Roman"/>
          <w:lang w:eastAsia="fr-FR"/>
        </w:rPr>
        <w:t> »</w:t>
      </w:r>
    </w:p>
    <w:p w:rsidR="00D7625B" w:rsidRPr="00D7625B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</w:p>
    <w:p w:rsidR="000B1AD5" w:rsidRPr="000B1AD5" w:rsidRDefault="000B1AD5" w:rsidP="00D7625B">
      <w:pPr>
        <w:spacing w:after="0" w:line="240" w:lineRule="auto"/>
        <w:jc w:val="center"/>
        <w:rPr>
          <w:rFonts w:eastAsia="Times New Roman" w:cs="Times New Roman"/>
          <w:b/>
          <w:u w:val="single"/>
          <w:lang w:eastAsia="fr-FR"/>
        </w:rPr>
      </w:pPr>
      <w:r w:rsidRPr="000B1AD5">
        <w:rPr>
          <w:rFonts w:eastAsia="Times New Roman" w:cs="Times New Roman"/>
          <w:b/>
          <w:u w:val="single"/>
          <w:lang w:eastAsia="fr-FR"/>
        </w:rPr>
        <w:t>Article 433-5</w:t>
      </w:r>
      <w:r w:rsidR="00D7625B" w:rsidRPr="00D7625B">
        <w:rPr>
          <w:rFonts w:eastAsia="Times New Roman" w:cs="Times New Roman"/>
          <w:b/>
          <w:u w:val="single"/>
          <w:lang w:eastAsia="fr-FR"/>
        </w:rPr>
        <w:t xml:space="preserve"> du Code Pénal</w:t>
      </w:r>
    </w:p>
    <w:p w:rsidR="000B1AD5" w:rsidRPr="000B1AD5" w:rsidRDefault="00D7625B" w:rsidP="00D7625B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 « </w:t>
      </w:r>
      <w:r w:rsidR="000B1AD5" w:rsidRPr="000B1AD5">
        <w:rPr>
          <w:rFonts w:eastAsia="Times New Roman" w:cs="Times New Roman"/>
          <w:lang w:eastAsia="fr-FR"/>
        </w:rPr>
        <w:t xml:space="preserve">Constituent un outrage puni de 7 500 euros d'amende </w:t>
      </w:r>
      <w:r w:rsidR="000B1AD5" w:rsidRPr="000B1AD5">
        <w:rPr>
          <w:rFonts w:eastAsia="Times New Roman" w:cs="Times New Roman"/>
          <w:b/>
          <w:lang w:eastAsia="fr-FR"/>
        </w:rPr>
        <w:t>les paroles, gestes ou menaces, les écrits ou images</w:t>
      </w:r>
      <w:r w:rsidR="000B1AD5" w:rsidRPr="000B1AD5">
        <w:rPr>
          <w:rFonts w:eastAsia="Times New Roman" w:cs="Times New Roman"/>
          <w:lang w:eastAsia="fr-FR"/>
        </w:rPr>
        <w:t xml:space="preserve"> de toute nature </w:t>
      </w:r>
      <w:r>
        <w:rPr>
          <w:rFonts w:eastAsia="Times New Roman" w:cs="Times New Roman"/>
          <w:lang w:eastAsia="fr-FR"/>
        </w:rPr>
        <w:t xml:space="preserve">[…] </w:t>
      </w:r>
      <w:r w:rsidR="000B1AD5" w:rsidRPr="000B1AD5">
        <w:rPr>
          <w:rFonts w:eastAsia="Times New Roman" w:cs="Times New Roman"/>
          <w:lang w:eastAsia="fr-FR"/>
        </w:rPr>
        <w:t>adressés à une personne chargée d'une mission de service public, dans l'exercice ou à l'occasion de l'exercice de sa mission, et de nature à porter atteinte à sa dignité ou au respect dû à la fonction dont elle est investie.</w:t>
      </w:r>
    </w:p>
    <w:p w:rsidR="000B1AD5" w:rsidRPr="000B1AD5" w:rsidRDefault="000B1AD5" w:rsidP="00D7625B">
      <w:pPr>
        <w:spacing w:after="0" w:line="240" w:lineRule="auto"/>
        <w:rPr>
          <w:rFonts w:eastAsia="Times New Roman" w:cs="Times New Roman"/>
          <w:lang w:eastAsia="fr-FR"/>
        </w:rPr>
      </w:pPr>
      <w:r w:rsidRPr="000B1AD5">
        <w:rPr>
          <w:rFonts w:eastAsia="Times New Roman" w:cs="Times New Roman"/>
          <w:lang w:eastAsia="fr-FR"/>
        </w:rPr>
        <w:t xml:space="preserve">Lorsqu'il est adressé à une personne chargée d'une mission de service public et que </w:t>
      </w:r>
      <w:r w:rsidRPr="000B1AD5">
        <w:rPr>
          <w:rFonts w:eastAsia="Times New Roman" w:cs="Times New Roman"/>
          <w:b/>
          <w:lang w:eastAsia="fr-FR"/>
        </w:rPr>
        <w:t>les faits ont été commis à l'intérieur d'un établissement scolaire ou éducatif</w:t>
      </w:r>
      <w:r w:rsidRPr="000B1AD5">
        <w:rPr>
          <w:rFonts w:eastAsia="Times New Roman" w:cs="Times New Roman"/>
          <w:lang w:eastAsia="fr-FR"/>
        </w:rPr>
        <w:t xml:space="preserve"> </w:t>
      </w:r>
      <w:r w:rsidRPr="000B1AD5">
        <w:rPr>
          <w:rFonts w:eastAsia="Times New Roman" w:cs="Times New Roman"/>
          <w:b/>
          <w:lang w:eastAsia="fr-FR"/>
        </w:rPr>
        <w:t>ou aux abords d'un tel établissement</w:t>
      </w:r>
      <w:r w:rsidRPr="000B1AD5">
        <w:rPr>
          <w:rFonts w:eastAsia="Times New Roman" w:cs="Times New Roman"/>
          <w:lang w:eastAsia="fr-FR"/>
        </w:rPr>
        <w:t>, l'outrage est puni de six mois d'emprisonnement et de 7 500 euros d'amende.</w:t>
      </w:r>
      <w:r w:rsidR="00D7625B">
        <w:rPr>
          <w:rFonts w:eastAsia="Times New Roman" w:cs="Times New Roman"/>
          <w:lang w:eastAsia="fr-FR"/>
        </w:rPr>
        <w:t> »</w:t>
      </w:r>
    </w:p>
    <w:sectPr w:rsidR="000B1AD5" w:rsidRPr="000B1AD5" w:rsidSect="00586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67E2"/>
    <w:multiLevelType w:val="hybridMultilevel"/>
    <w:tmpl w:val="443AAF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A3118"/>
    <w:multiLevelType w:val="multilevel"/>
    <w:tmpl w:val="3B8E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143DD"/>
    <w:multiLevelType w:val="multilevel"/>
    <w:tmpl w:val="6584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1773C"/>
    <w:multiLevelType w:val="multilevel"/>
    <w:tmpl w:val="F8E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EB"/>
    <w:rsid w:val="000B1AD5"/>
    <w:rsid w:val="003C7C6D"/>
    <w:rsid w:val="0047372D"/>
    <w:rsid w:val="00552684"/>
    <w:rsid w:val="00A33EEB"/>
    <w:rsid w:val="00D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EB"/>
  </w:style>
  <w:style w:type="paragraph" w:styleId="Titre2">
    <w:name w:val="heading 2"/>
    <w:basedOn w:val="Normal"/>
    <w:link w:val="Titre2Car"/>
    <w:uiPriority w:val="9"/>
    <w:qFormat/>
    <w:rsid w:val="00A3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3EE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qFormat/>
    <w:rsid w:val="00A33EEB"/>
    <w:rPr>
      <w:i/>
    </w:rPr>
  </w:style>
  <w:style w:type="paragraph" w:styleId="Paragraphedeliste">
    <w:name w:val="List Paragraph"/>
    <w:basedOn w:val="Normal"/>
    <w:uiPriority w:val="34"/>
    <w:qFormat/>
    <w:rsid w:val="00A33EE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3E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76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EB"/>
  </w:style>
  <w:style w:type="paragraph" w:styleId="Titre2">
    <w:name w:val="heading 2"/>
    <w:basedOn w:val="Normal"/>
    <w:link w:val="Titre2Car"/>
    <w:uiPriority w:val="9"/>
    <w:qFormat/>
    <w:rsid w:val="00A3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3EE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qFormat/>
    <w:rsid w:val="00A33EEB"/>
    <w:rPr>
      <w:i/>
    </w:rPr>
  </w:style>
  <w:style w:type="paragraph" w:styleId="Paragraphedeliste">
    <w:name w:val="List Paragraph"/>
    <w:basedOn w:val="Normal"/>
    <w:uiPriority w:val="34"/>
    <w:qFormat/>
    <w:rsid w:val="00A33EE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3E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76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capacit%C3%A9_totale_de_travai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Inj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Diffam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Incapacit%C3%A9_totale_de_trav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EPITTO</cp:lastModifiedBy>
  <cp:revision>3</cp:revision>
  <dcterms:created xsi:type="dcterms:W3CDTF">2016-01-23T17:31:00Z</dcterms:created>
  <dcterms:modified xsi:type="dcterms:W3CDTF">2019-07-18T08:44:00Z</dcterms:modified>
</cp:coreProperties>
</file>