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727" w:rsidRDefault="008B1727">
      <w:r>
        <w:t>7. Сведения о технических регламентах, стандартах, технических условиях или иных нормативных документах, требования которых должна соответствовать импортная продукция.</w:t>
      </w:r>
    </w:p>
    <w:p w:rsidR="00381DA1" w:rsidRDefault="008B1727">
      <w:r>
        <w:t xml:space="preserve">Технический регламент ТР ТС 004/2011 «О безопасности низковольтного оборудования», ТР ТС 020/2011 «Электромагнитная совместимость технических средств». 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B1727"/>
    <w:rsid w:val="00176129"/>
    <w:rsid w:val="001B6203"/>
    <w:rsid w:val="00342649"/>
    <w:rsid w:val="00381DA1"/>
    <w:rsid w:val="008B1727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