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DF" w:rsidRDefault="00763DDF" w:rsidP="00763DDF">
      <w:pPr>
        <w:jc w:val="center"/>
        <w:rPr>
          <w:rFonts w:cs="Times New Roman"/>
          <w:b/>
          <w:sz w:val="28"/>
        </w:rPr>
      </w:pPr>
      <w:r w:rsidRPr="00763DDF">
        <w:rPr>
          <w:rFonts w:cs="Times New Roman"/>
          <w:b/>
          <w:sz w:val="28"/>
        </w:rPr>
        <w:t>Приложения к Заявке  на закупку импортной продукции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1.</w:t>
      </w:r>
      <w:r>
        <w:rPr>
          <w:rFonts w:cs="Times New Roman"/>
          <w:sz w:val="28"/>
        </w:rPr>
        <w:tab/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Не требуется.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2.</w:t>
      </w:r>
      <w:r>
        <w:rPr>
          <w:rFonts w:cs="Times New Roman"/>
          <w:sz w:val="28"/>
        </w:rPr>
        <w:tab/>
        <w:t>Сведения об основных видах деятельности Заявителя (представляется только Заявителями-подрядчиками).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Не требуется.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3.</w:t>
      </w:r>
      <w:r>
        <w:rPr>
          <w:rFonts w:cs="Times New Roman"/>
          <w:sz w:val="28"/>
        </w:rPr>
        <w:tab/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4.</w:t>
      </w:r>
      <w:r>
        <w:rPr>
          <w:rFonts w:cs="Times New Roman"/>
          <w:sz w:val="28"/>
        </w:rPr>
        <w:tab/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Huawei Technologies Co. Ltd., Шэньчжэнь, Китайская Народная Республика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5.</w:t>
      </w:r>
      <w:r>
        <w:rPr>
          <w:rFonts w:cs="Times New Roman"/>
          <w:sz w:val="28"/>
        </w:rPr>
        <w:tab/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bookmarkStart w:id="0" w:name="_GoBack"/>
      <w:r w:rsidRPr="00763DDF">
        <w:rPr>
          <w:rFonts w:cs="Times New Roman"/>
          <w:sz w:val="28"/>
        </w:rPr>
        <w:drawing>
          <wp:inline distT="0" distB="0" distL="0" distR="0">
            <wp:extent cx="1270000" cy="308099"/>
            <wp:effectExtent l="19050" t="0" r="6350" b="0"/>
            <wp:docPr id="1" name="Рисунок 1" descr="http://www.huawei.com/ru/ucmf/groups/public/documents/webasset/hw_000353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6.</w:t>
      </w:r>
      <w:r>
        <w:rPr>
          <w:rFonts w:cs="Times New Roman"/>
          <w:sz w:val="28"/>
        </w:rPr>
        <w:tab/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Не требуется.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7.</w:t>
      </w:r>
      <w:r>
        <w:rPr>
          <w:rFonts w:cs="Times New Roman"/>
          <w:sz w:val="28"/>
        </w:rPr>
        <w:tab/>
        <w:t xml:space="preserve">Количество предметов закупки, объем работ или услуг или правила определения объема работ. 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2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8.</w:t>
      </w:r>
      <w:r>
        <w:rPr>
          <w:rFonts w:cs="Times New Roman"/>
          <w:sz w:val="28"/>
        </w:rPr>
        <w:tab/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"Правила применения оборудования коммутации и маршрутизации пакетов информации" . 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9.</w:t>
      </w:r>
      <w:r>
        <w:rPr>
          <w:rFonts w:cs="Times New Roman"/>
          <w:sz w:val="28"/>
        </w:rPr>
        <w:tab/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10.</w:t>
      </w:r>
      <w:r>
        <w:rPr>
          <w:rFonts w:cs="Times New Roman"/>
          <w:sz w:val="28"/>
        </w:rPr>
        <w:tab/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Паспорт, эксплуатационные документы. Гарантийный талон.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11.</w:t>
      </w:r>
      <w:r>
        <w:rPr>
          <w:rFonts w:cs="Times New Roman"/>
          <w:sz w:val="28"/>
        </w:rPr>
        <w:tab/>
        <w:t>Сведения о зарубежных аналогах импортной продукции, предлагаемой к закупке (не менее двух аналогов).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HP A5500-24G EI (JD377A), Cisco WS-C2960X-24PD-L.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12.</w:t>
      </w:r>
      <w:r>
        <w:rPr>
          <w:rFonts w:cs="Times New Roman"/>
          <w:sz w:val="28"/>
        </w:rPr>
        <w:tab/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Выбор коммутатор Huawei обусловлен положительным опытом использования оборудования Huawei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13.</w:t>
      </w:r>
      <w:r>
        <w:rPr>
          <w:rFonts w:cs="Times New Roman"/>
          <w:sz w:val="28"/>
        </w:rPr>
        <w:tab/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Проект закупочной документации (Приложение № 7).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14.</w:t>
      </w:r>
      <w:r>
        <w:rPr>
          <w:rFonts w:cs="Times New Roman"/>
          <w:sz w:val="28"/>
        </w:rPr>
        <w:tab/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Получены письма от ____________,  технические характеристики</w:t>
      </w: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</w:p>
    <w:p w:rsidR="00763DDF" w:rsidRDefault="00763DDF" w:rsidP="00763DDF">
      <w:pPr>
        <w:ind w:firstLineChars="100" w:firstLine="280"/>
        <w:jc w:val="both"/>
        <w:rPr>
          <w:rFonts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5400"/>
        <w:gridCol w:w="4600"/>
      </w:tblGrid>
      <w:tr w:rsidR="00763DDF" w:rsidTr="00763DDF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Начальник Службы</w:t>
            </w:r>
          </w:p>
          <w:p w:rsid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информационно - управляющих систем</w:t>
            </w:r>
          </w:p>
          <w:p w:rsidR="00763DDF" w:rsidRP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 xml:space="preserve"> </w:t>
            </w:r>
          </w:p>
        </w:tc>
        <w:tc>
          <w:tcPr>
            <w:tcW w:w="4600" w:type="dxa"/>
          </w:tcPr>
          <w:p w:rsidR="00763DDF" w:rsidRDefault="00763DDF" w:rsidP="00763DDF">
            <w:pPr>
              <w:jc w:val="both"/>
              <w:rPr>
                <w:rFonts w:cs="Times New Roman"/>
                <w:sz w:val="28"/>
              </w:rPr>
            </w:pPr>
          </w:p>
          <w:p w:rsidR="00763DDF" w:rsidRPr="00763DDF" w:rsidRDefault="00763DDF" w:rsidP="00763DDF">
            <w:pPr>
              <w:jc w:val="right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Д.Р.Юсупов</w:t>
            </w:r>
          </w:p>
        </w:tc>
      </w:tr>
      <w:tr w:rsidR="00763DDF" w:rsidTr="00763DDF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Главный инженер - заместитель</w:t>
            </w:r>
          </w:p>
          <w:p w:rsid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генерального директора</w:t>
            </w:r>
          </w:p>
          <w:p w:rsidR="00763DDF" w:rsidRP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 xml:space="preserve"> </w:t>
            </w:r>
          </w:p>
        </w:tc>
        <w:tc>
          <w:tcPr>
            <w:tcW w:w="4600" w:type="dxa"/>
          </w:tcPr>
          <w:p w:rsidR="00763DDF" w:rsidRDefault="00763DDF" w:rsidP="00763DDF">
            <w:pPr>
              <w:jc w:val="both"/>
              <w:rPr>
                <w:rFonts w:cs="Times New Roman"/>
                <w:sz w:val="28"/>
              </w:rPr>
            </w:pPr>
          </w:p>
          <w:p w:rsidR="00763DDF" w:rsidRPr="00763DDF" w:rsidRDefault="00763DDF" w:rsidP="00763DDF">
            <w:pPr>
              <w:jc w:val="right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Н.Ф.Низамов</w:t>
            </w:r>
          </w:p>
        </w:tc>
      </w:tr>
      <w:tr w:rsidR="00763DDF" w:rsidTr="00763DDF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Заместитель генерального директора</w:t>
            </w:r>
          </w:p>
          <w:p w:rsid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lastRenderedPageBreak/>
              <w:t>по общим вопросам</w:t>
            </w:r>
          </w:p>
          <w:p w:rsidR="00763DDF" w:rsidRPr="00763DDF" w:rsidRDefault="00763DDF" w:rsidP="00763DDF">
            <w:pPr>
              <w:jc w:val="both"/>
              <w:rPr>
                <w:rFonts w:cs="Times New Roman"/>
                <w:b/>
                <w:sz w:val="28"/>
              </w:rPr>
            </w:pPr>
          </w:p>
        </w:tc>
        <w:tc>
          <w:tcPr>
            <w:tcW w:w="4600" w:type="dxa"/>
          </w:tcPr>
          <w:p w:rsidR="00763DDF" w:rsidRDefault="00763DDF" w:rsidP="00763DDF">
            <w:pPr>
              <w:jc w:val="both"/>
              <w:rPr>
                <w:rFonts w:cs="Times New Roman"/>
                <w:sz w:val="28"/>
              </w:rPr>
            </w:pPr>
          </w:p>
          <w:p w:rsidR="00763DDF" w:rsidRPr="00763DDF" w:rsidRDefault="00763DDF" w:rsidP="00763DDF">
            <w:pPr>
              <w:jc w:val="right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lastRenderedPageBreak/>
              <w:t xml:space="preserve"> С.Ю.Сергеев</w:t>
            </w:r>
          </w:p>
        </w:tc>
      </w:tr>
    </w:tbl>
    <w:p w:rsidR="00381DA1" w:rsidRPr="00763DDF" w:rsidRDefault="00381DA1" w:rsidP="00763DDF">
      <w:pPr>
        <w:ind w:firstLineChars="100" w:firstLine="280"/>
        <w:jc w:val="both"/>
        <w:rPr>
          <w:rFonts w:cs="Times New Roman"/>
          <w:sz w:val="28"/>
        </w:rPr>
      </w:pPr>
    </w:p>
    <w:sectPr w:rsidR="00381DA1" w:rsidRPr="00763DDF" w:rsidSect="007618A3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63DDF"/>
    <w:rsid w:val="00176129"/>
    <w:rsid w:val="001B6203"/>
    <w:rsid w:val="00381DA1"/>
    <w:rsid w:val="003C3EC1"/>
    <w:rsid w:val="007618A3"/>
    <w:rsid w:val="00763DDF"/>
    <w:rsid w:val="0081548C"/>
    <w:rsid w:val="00850AFE"/>
    <w:rsid w:val="009D2D05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D05"/>
    <w:pPr>
      <w:spacing w:after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D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huawei.com/ru/ucmf/groups/public/documents/webasset/hw_00035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huawei.com/ru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3105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2016-05-25T02:50:00Z</dcterms:created>
  <dcterms:modified xsi:type="dcterms:W3CDTF">2016-05-25T02:50:00Z</dcterms:modified>
</cp:coreProperties>
</file>