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3F0BE2" w:rsidRPr="003F0BE2" w:rsidRDefault="003F0BE2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08</w:t>
      </w:r>
      <w:r w:rsidRPr="00A54D5D">
        <w:rPr>
          <w:sz w:val="28"/>
          <w:szCs w:val="28"/>
        </w:rPr>
        <w:t xml:space="preserve"> от 15.03.2016 г.)</w:t>
      </w:r>
    </w:p>
    <w:p w:rsidR="00476199" w:rsidRPr="003F0BE2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7C4808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7C4808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7C4808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7C4808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7C4808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7C4808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7C4808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7C4808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F87CB8" w:rsidRDefault="00CF6F52" w:rsidP="00F87C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912">
        <w:rPr>
          <w:i/>
          <w:sz w:val="28"/>
          <w:szCs w:val="28"/>
        </w:rPr>
        <w:tab/>
      </w:r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 xml:space="preserve">Расходные материалы и запасные части для печатающих устройств производства компании </w:t>
      </w:r>
      <w:proofErr w:type="spellStart"/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>Xerox</w:t>
      </w:r>
      <w:proofErr w:type="spellEnd"/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>Corporation</w:t>
      </w:r>
      <w:proofErr w:type="spellEnd"/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>, (Код ИУС ПД 10078881, 10078888, 10078901, 10078970, 10093748, 10094303, 10094308, 10132708, 10136347, 10137086, 50055911</w:t>
      </w:r>
      <w:r w:rsidR="00F87CB8" w:rsidRPr="00F87CB8">
        <w:rPr>
          <w:rFonts w:ascii="Times New Roman" w:hAnsi="Times New Roman" w:cs="Times New Roman"/>
          <w:sz w:val="28"/>
          <w:szCs w:val="28"/>
          <w:u w:val="single"/>
        </w:rPr>
        <w:t>, 10078978, 10078850, 10083960, 10078831, 10078830, 10078829, 10078828</w:t>
      </w:r>
      <w:r w:rsidR="000E3895" w:rsidRPr="000E3895">
        <w:rPr>
          <w:rFonts w:ascii="Times New Roman" w:hAnsi="Times New Roman" w:cs="Times New Roman"/>
          <w:sz w:val="28"/>
          <w:szCs w:val="28"/>
          <w:u w:val="single"/>
        </w:rPr>
        <w:t>), Код ОКП 403390 (Комплектующие и запасные части устройств ввода и вывода информации)</w:t>
      </w:r>
      <w:r w:rsidR="00052462" w:rsidRPr="000E3895">
        <w:rPr>
          <w:rFonts w:ascii="Times New Roman" w:hAnsi="Times New Roman" w:cs="Times New Roman"/>
          <w:sz w:val="28"/>
          <w:szCs w:val="28"/>
          <w:u w:val="single"/>
        </w:rPr>
        <w:t xml:space="preserve"> КОД ОКПД2: 28.23.26.000, КОД ОКВЭД2: 28.23.2</w:t>
      </w:r>
      <w:r w:rsidR="00476199" w:rsidRPr="000E389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2C3993" w:rsidRPr="00957C7F" w:rsidRDefault="00AD2607" w:rsidP="007C4808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proofErr w:type="spellStart"/>
      <w:r w:rsidR="000E3895" w:rsidRPr="007C4808">
        <w:rPr>
          <w:sz w:val="28"/>
          <w:szCs w:val="28"/>
        </w:rPr>
        <w:t>Xerox</w:t>
      </w:r>
      <w:proofErr w:type="spellEnd"/>
      <w:r w:rsidR="000E3895" w:rsidRPr="007C4808">
        <w:rPr>
          <w:sz w:val="28"/>
          <w:szCs w:val="28"/>
        </w:rPr>
        <w:t xml:space="preserve"> </w:t>
      </w:r>
      <w:proofErr w:type="spellStart"/>
      <w:r w:rsidR="000E3895" w:rsidRPr="007C4808">
        <w:rPr>
          <w:sz w:val="28"/>
          <w:szCs w:val="28"/>
        </w:rPr>
        <w:t>Corporation</w:t>
      </w:r>
      <w:proofErr w:type="spellEnd"/>
      <w:r w:rsidR="000E3895" w:rsidRPr="007C4808">
        <w:rPr>
          <w:sz w:val="28"/>
          <w:szCs w:val="28"/>
        </w:rPr>
        <w:t xml:space="preserve"> </w:t>
      </w:r>
      <w:proofErr w:type="spellStart"/>
      <w:r w:rsidR="000E3895" w:rsidRPr="007C4808">
        <w:rPr>
          <w:sz w:val="28"/>
          <w:szCs w:val="28"/>
        </w:rPr>
        <w:t>Норуолк</w:t>
      </w:r>
      <w:proofErr w:type="spellEnd"/>
      <w:r w:rsidR="000E3895" w:rsidRPr="007C4808">
        <w:rPr>
          <w:sz w:val="28"/>
          <w:szCs w:val="28"/>
        </w:rPr>
        <w:t>, Коннектикут, Соединенные Штаты Америки</w:t>
      </w:r>
      <w:r w:rsidR="007C4808" w:rsidRPr="007C4808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0E3895" w:rsidRPr="000E3895">
        <w:rPr>
          <w:b/>
          <w:sz w:val="28"/>
          <w:szCs w:val="28"/>
        </w:rPr>
        <w:t xml:space="preserve">Расходные материалы и запасные части для печатающих устройств производства компании </w:t>
      </w:r>
      <w:proofErr w:type="spellStart"/>
      <w:r w:rsidR="000E3895" w:rsidRPr="000E3895">
        <w:rPr>
          <w:b/>
          <w:sz w:val="28"/>
          <w:szCs w:val="28"/>
        </w:rPr>
        <w:t>Xerox</w:t>
      </w:r>
      <w:proofErr w:type="spellEnd"/>
      <w:r w:rsidR="000E3895" w:rsidRPr="000E3895">
        <w:rPr>
          <w:b/>
          <w:sz w:val="28"/>
          <w:szCs w:val="28"/>
        </w:rPr>
        <w:t xml:space="preserve"> </w:t>
      </w:r>
      <w:proofErr w:type="spellStart"/>
      <w:r w:rsidR="000E3895" w:rsidRPr="000E3895">
        <w:rPr>
          <w:b/>
          <w:sz w:val="28"/>
          <w:szCs w:val="28"/>
        </w:rPr>
        <w:t>Corporation</w:t>
      </w:r>
      <w:proofErr w:type="spellEnd"/>
      <w:r w:rsidR="000E3895" w:rsidRPr="000E3895">
        <w:rPr>
          <w:b/>
          <w:sz w:val="28"/>
          <w:szCs w:val="28"/>
        </w:rPr>
        <w:t xml:space="preserve"> (Модуль ксерографический, </w:t>
      </w:r>
      <w:proofErr w:type="spellStart"/>
      <w:r w:rsidR="000E3895" w:rsidRPr="000E3895">
        <w:rPr>
          <w:b/>
          <w:sz w:val="28"/>
          <w:szCs w:val="28"/>
        </w:rPr>
        <w:t>принт</w:t>
      </w:r>
      <w:proofErr w:type="spellEnd"/>
      <w:r w:rsidR="000E3895" w:rsidRPr="000E3895">
        <w:rPr>
          <w:b/>
          <w:sz w:val="28"/>
          <w:szCs w:val="28"/>
        </w:rPr>
        <w:t xml:space="preserve">-картриджи, </w:t>
      </w:r>
      <w:proofErr w:type="gramStart"/>
      <w:r w:rsidR="000E3895" w:rsidRPr="000E3895">
        <w:rPr>
          <w:b/>
          <w:sz w:val="28"/>
          <w:szCs w:val="28"/>
        </w:rPr>
        <w:t>тонер-картриджи</w:t>
      </w:r>
      <w:proofErr w:type="gramEnd"/>
      <w:r w:rsidR="000E3895" w:rsidRPr="000E3895">
        <w:rPr>
          <w:b/>
          <w:sz w:val="28"/>
          <w:szCs w:val="28"/>
        </w:rPr>
        <w:t xml:space="preserve">, </w:t>
      </w:r>
      <w:proofErr w:type="spellStart"/>
      <w:r w:rsidR="000E3895" w:rsidRPr="000E3895">
        <w:rPr>
          <w:b/>
          <w:sz w:val="28"/>
          <w:szCs w:val="28"/>
        </w:rPr>
        <w:t>термоблок</w:t>
      </w:r>
      <w:proofErr w:type="spellEnd"/>
      <w:r w:rsidR="000E3895" w:rsidRPr="000E3895">
        <w:rPr>
          <w:b/>
          <w:sz w:val="28"/>
          <w:szCs w:val="28"/>
        </w:rPr>
        <w:t>)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>в количестве</w:t>
      </w:r>
      <w:r w:rsidR="00052462">
        <w:rPr>
          <w:b/>
          <w:sz w:val="28"/>
          <w:szCs w:val="28"/>
        </w:rPr>
        <w:t xml:space="preserve"> </w:t>
      </w:r>
      <w:r w:rsidR="000E3895" w:rsidRPr="000E3895">
        <w:rPr>
          <w:b/>
          <w:sz w:val="28"/>
          <w:szCs w:val="28"/>
        </w:rPr>
        <w:t>292</w:t>
      </w:r>
      <w:r w:rsidR="00052462" w:rsidRPr="00052462">
        <w:rPr>
          <w:b/>
          <w:sz w:val="28"/>
          <w:szCs w:val="28"/>
        </w:rPr>
        <w:t xml:space="preserve"> шт.</w:t>
      </w:r>
      <w:r w:rsidR="00052462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052462" w:rsidRPr="003F0BE2" w:rsidRDefault="002C3993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7C4808" w:rsidRPr="003F0BE2" w:rsidRDefault="007C4808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7C4808" w:rsidRPr="003F0BE2" w:rsidRDefault="007C4808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2C3993" w:rsidRPr="00957C7F" w:rsidRDefault="002C3993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AA44A4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AA44A4" w:rsidRPr="00AA44A4" w:rsidRDefault="00AA44A4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AA44A4" w:rsidRDefault="00AA44A4" w:rsidP="00AA44A4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AA44A4" w:rsidRDefault="00AA44A4" w:rsidP="00AA44A4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1).</w:t>
      </w:r>
    </w:p>
    <w:p w:rsidR="00AA44A4" w:rsidRPr="00AA44A4" w:rsidRDefault="00AA44A4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16285C" w:rsidRDefault="0016285C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16285C" w:rsidRPr="00F87CB8" w:rsidRDefault="0016285C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F87CB8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AF03B6" w:rsidRPr="00AA44A4" w:rsidRDefault="00AF03B6" w:rsidP="00F87CB8">
      <w:pPr>
        <w:pStyle w:val="110"/>
        <w:spacing w:before="0" w:after="0" w:line="240" w:lineRule="auto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52462"/>
    <w:rsid w:val="0006524E"/>
    <w:rsid w:val="00073691"/>
    <w:rsid w:val="000E3895"/>
    <w:rsid w:val="000E43E4"/>
    <w:rsid w:val="000E475D"/>
    <w:rsid w:val="0016285C"/>
    <w:rsid w:val="001A41F8"/>
    <w:rsid w:val="0020417A"/>
    <w:rsid w:val="002C3993"/>
    <w:rsid w:val="002F33D0"/>
    <w:rsid w:val="00343C5A"/>
    <w:rsid w:val="003B03A8"/>
    <w:rsid w:val="003E0D38"/>
    <w:rsid w:val="003F0BE2"/>
    <w:rsid w:val="004114A2"/>
    <w:rsid w:val="004174C8"/>
    <w:rsid w:val="00476199"/>
    <w:rsid w:val="00497AB2"/>
    <w:rsid w:val="004C5F64"/>
    <w:rsid w:val="00504E9E"/>
    <w:rsid w:val="00542A75"/>
    <w:rsid w:val="005512EF"/>
    <w:rsid w:val="00566B81"/>
    <w:rsid w:val="005E1989"/>
    <w:rsid w:val="005E30B2"/>
    <w:rsid w:val="005F61DE"/>
    <w:rsid w:val="0060661D"/>
    <w:rsid w:val="0065611B"/>
    <w:rsid w:val="006F6D50"/>
    <w:rsid w:val="00746B39"/>
    <w:rsid w:val="00755F77"/>
    <w:rsid w:val="00780500"/>
    <w:rsid w:val="007C4808"/>
    <w:rsid w:val="007D630E"/>
    <w:rsid w:val="00851B4B"/>
    <w:rsid w:val="00852C83"/>
    <w:rsid w:val="008A538F"/>
    <w:rsid w:val="008C4E25"/>
    <w:rsid w:val="00957C7F"/>
    <w:rsid w:val="009F60DB"/>
    <w:rsid w:val="00A1210F"/>
    <w:rsid w:val="00A90B41"/>
    <w:rsid w:val="00AA44A4"/>
    <w:rsid w:val="00AD2607"/>
    <w:rsid w:val="00AE63F9"/>
    <w:rsid w:val="00AF03B6"/>
    <w:rsid w:val="00B15912"/>
    <w:rsid w:val="00B26424"/>
    <w:rsid w:val="00B2742F"/>
    <w:rsid w:val="00B72959"/>
    <w:rsid w:val="00BA2ABF"/>
    <w:rsid w:val="00BC095F"/>
    <w:rsid w:val="00BE5982"/>
    <w:rsid w:val="00BF362D"/>
    <w:rsid w:val="00C42B13"/>
    <w:rsid w:val="00CF6F52"/>
    <w:rsid w:val="00E02500"/>
    <w:rsid w:val="00E25547"/>
    <w:rsid w:val="00E442E8"/>
    <w:rsid w:val="00E9010D"/>
    <w:rsid w:val="00F87CB8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4">
    <w:name w:val="Основной текст_"/>
    <w:link w:val="1"/>
    <w:rsid w:val="0005246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05246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Панфилов Александр Васильевич</cp:lastModifiedBy>
  <cp:revision>10</cp:revision>
  <cp:lastPrinted>2016-04-10T10:00:00Z</cp:lastPrinted>
  <dcterms:created xsi:type="dcterms:W3CDTF">2016-04-10T10:00:00Z</dcterms:created>
  <dcterms:modified xsi:type="dcterms:W3CDTF">2016-04-18T09:14:00Z</dcterms:modified>
</cp:coreProperties>
</file>