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D0943" w:rsidRDefault="0079078D">
      <w:pPr>
        <w:spacing w:line="480" w:lineRule="auto"/>
      </w:pPr>
      <w:r>
        <w:rPr>
          <w:rFonts w:ascii="Times New Roman" w:eastAsia="Times New Roman" w:hAnsi="Times New Roman" w:cs="Times New Roman"/>
          <w:sz w:val="24"/>
        </w:rPr>
        <w:t>Natalie Cluck</w:t>
      </w:r>
    </w:p>
    <w:p w:rsidR="00ED0943" w:rsidRDefault="0079078D">
      <w:pPr>
        <w:spacing w:line="480" w:lineRule="auto"/>
      </w:pPr>
      <w:r>
        <w:rPr>
          <w:rFonts w:ascii="Times New Roman" w:eastAsia="Times New Roman" w:hAnsi="Times New Roman" w:cs="Times New Roman"/>
          <w:sz w:val="24"/>
        </w:rPr>
        <w:t>CSCE 121H</w:t>
      </w:r>
    </w:p>
    <w:p w:rsidR="00ED0943" w:rsidRDefault="0079078D">
      <w:pPr>
        <w:spacing w:line="480" w:lineRule="auto"/>
      </w:pPr>
      <w:r>
        <w:rPr>
          <w:rFonts w:ascii="Times New Roman" w:eastAsia="Times New Roman" w:hAnsi="Times New Roman" w:cs="Times New Roman"/>
          <w:sz w:val="24"/>
        </w:rPr>
        <w:t>Dr. Jennifer Welch</w:t>
      </w:r>
    </w:p>
    <w:p w:rsidR="00ED0943" w:rsidRDefault="0079078D">
      <w:pPr>
        <w:spacing w:line="480" w:lineRule="auto"/>
      </w:pPr>
      <w:r>
        <w:rPr>
          <w:rFonts w:ascii="Times New Roman" w:eastAsia="Times New Roman" w:hAnsi="Times New Roman" w:cs="Times New Roman"/>
          <w:sz w:val="24"/>
        </w:rPr>
        <w:t>September 15, 2014</w:t>
      </w:r>
    </w:p>
    <w:p w:rsidR="00ED0943" w:rsidRDefault="0079078D">
      <w:pPr>
        <w:spacing w:line="48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>International Business Machines (IBM)</w:t>
      </w:r>
    </w:p>
    <w:p w:rsidR="00ED0943" w:rsidRDefault="0079078D">
      <w:pPr>
        <w:spacing w:line="480" w:lineRule="auto"/>
        <w:ind w:firstLine="720"/>
      </w:pPr>
      <w:r>
        <w:rPr>
          <w:rFonts w:ascii="Times New Roman" w:eastAsia="Times New Roman" w:hAnsi="Times New Roman" w:cs="Times New Roman"/>
          <w:sz w:val="24"/>
        </w:rPr>
        <w:t>International Business Machines (IBM), the world’s largest information technology company and largest consulting organization, offers global capabilities including services, software, hardware, research, and financing. It has defined itself by “forward-thi</w:t>
      </w:r>
      <w:r>
        <w:rPr>
          <w:rFonts w:ascii="Times New Roman" w:eastAsia="Times New Roman" w:hAnsi="Times New Roman" w:cs="Times New Roman"/>
          <w:sz w:val="24"/>
        </w:rPr>
        <w:t>nking culture and management practices grounded in core values” since its beginning in 1924 [1]. Its elastic culture continues to adapt to the global inform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</w:rPr>
        <w:t>ation technology industry, and it stands at the forefront by revolutionizing how enterprises, organi</w:t>
      </w:r>
      <w:r>
        <w:rPr>
          <w:rFonts w:ascii="Times New Roman" w:eastAsia="Times New Roman" w:hAnsi="Times New Roman" w:cs="Times New Roman"/>
          <w:sz w:val="24"/>
        </w:rPr>
        <w:t>zations, and people operate and thrive. [2]</w:t>
      </w:r>
    </w:p>
    <w:p w:rsidR="00ED0943" w:rsidRDefault="0079078D">
      <w:pPr>
        <w:spacing w:after="160" w:line="480" w:lineRule="auto"/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</w:rPr>
        <w:tab/>
        <w:t>Among other services and products, IBM specializes in Big Data and building a Smarter Planet. Smarter Planet is a movement to transform the next generation of business with data, cloud, mobile, and socia</w:t>
      </w:r>
      <w:r>
        <w:rPr>
          <w:rFonts w:ascii="Times New Roman" w:eastAsia="Times New Roman" w:hAnsi="Times New Roman" w:cs="Times New Roman"/>
          <w:sz w:val="24"/>
        </w:rPr>
        <w:t xml:space="preserve">l technologies. IBM’s Watson, named after IBM’s founder and known for its success in defeating two </w:t>
      </w:r>
      <w:r>
        <w:rPr>
          <w:rFonts w:ascii="Times New Roman" w:eastAsia="Times New Roman" w:hAnsi="Times New Roman" w:cs="Times New Roman"/>
          <w:i/>
          <w:sz w:val="24"/>
        </w:rPr>
        <w:t xml:space="preserve">Jeopardy! </w:t>
      </w:r>
      <w:r>
        <w:rPr>
          <w:rFonts w:ascii="Times New Roman" w:eastAsia="Times New Roman" w:hAnsi="Times New Roman" w:cs="Times New Roman"/>
          <w:sz w:val="24"/>
        </w:rPr>
        <w:t>champions, represents a new era of computing in cognitive technology. The system exhibits natural language processing, hypothesis generation and ev</w:t>
      </w:r>
      <w:r>
        <w:rPr>
          <w:rFonts w:ascii="Times New Roman" w:eastAsia="Times New Roman" w:hAnsi="Times New Roman" w:cs="Times New Roman"/>
          <w:sz w:val="24"/>
        </w:rPr>
        <w:t>aluation, and dynamic learning. The company claims it will “unlock the world of global, unstructured data.” [3] Mr. Watson encouraged his employees to “THINK” – the moto and ethos of IBM today.</w:t>
      </w:r>
    </w:p>
    <w:p w:rsidR="00ED0943" w:rsidRDefault="0079078D" w:rsidP="0037192C">
      <w:pPr>
        <w:spacing w:after="160" w:line="480" w:lineRule="auto"/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</w:rPr>
        <w:tab/>
        <w:t>IBM CEO Ginni Rometty actively promotes Watson techno</w:t>
      </w:r>
      <w:r>
        <w:rPr>
          <w:rFonts w:ascii="Times New Roman" w:eastAsia="Times New Roman" w:hAnsi="Times New Roman" w:cs="Times New Roman"/>
          <w:sz w:val="24"/>
        </w:rPr>
        <w:t xml:space="preserve">logy. She recited at the 2014 Fortune Most Powerful Women Summit, “Watson is the beginning of a whole series [of robots] where they learn and they reason. They will redefine the experience between man and machine… This information is going to redefine our </w:t>
      </w:r>
      <w:r>
        <w:rPr>
          <w:rFonts w:ascii="Times New Roman" w:eastAsia="Times New Roman" w:hAnsi="Times New Roman" w:cs="Times New Roman"/>
          <w:sz w:val="24"/>
        </w:rPr>
        <w:t>jobs, our professions, education.” [4]</w:t>
      </w:r>
    </w:p>
    <w:p w:rsidR="00ED0943" w:rsidRDefault="0079078D">
      <w:pPr>
        <w:spacing w:after="160" w:line="48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lastRenderedPageBreak/>
        <w:t>References</w:t>
      </w:r>
    </w:p>
    <w:tbl>
      <w:tblPr>
        <w:tblStyle w:val="a"/>
        <w:tblW w:w="87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80"/>
        <w:gridCol w:w="8410"/>
      </w:tblGrid>
      <w:tr w:rsidR="00ED0943" w:rsidTr="0037192C"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ED0943" w:rsidRDefault="0037192C">
            <w:pPr>
              <w:spacing w:after="160" w:line="48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[1</w:t>
            </w:r>
            <w:r w:rsidR="0079078D">
              <w:rPr>
                <w:rFonts w:ascii="Times New Roman" w:eastAsia="Times New Roman" w:hAnsi="Times New Roman" w:cs="Times New Roman"/>
                <w:sz w:val="24"/>
              </w:rPr>
              <w:t>]</w:t>
            </w:r>
          </w:p>
        </w:tc>
        <w:tc>
          <w:tcPr>
            <w:tcW w:w="841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ED0943" w:rsidRDefault="0079078D">
            <w:pPr>
              <w:spacing w:after="160" w:line="48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"IBM Archives: Interactive History," [Online]. Available: http://www-</w:t>
            </w: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3.ibm.com/ibm/history/interactive/index.html.</w:t>
            </w:r>
          </w:p>
        </w:tc>
      </w:tr>
      <w:tr w:rsidR="00ED0943" w:rsidTr="0037192C"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ED0943" w:rsidRDefault="0079078D">
            <w:pPr>
              <w:spacing w:after="160" w:line="48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[2]</w:t>
            </w:r>
          </w:p>
        </w:tc>
        <w:tc>
          <w:tcPr>
            <w:tcW w:w="841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ED0943" w:rsidRDefault="0079078D">
            <w:pPr>
              <w:spacing w:after="160" w:line="48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"Chronological Hisory of IBM,"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IBM Archives, [Online]. Available: http://www-03.ibm.com/ibm/history/history/history_intro.html. [Accessed 14 10 2014].</w:t>
            </w:r>
          </w:p>
        </w:tc>
      </w:tr>
      <w:tr w:rsidR="00ED0943" w:rsidTr="0037192C"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ED0943" w:rsidRDefault="0079078D">
            <w:pPr>
              <w:spacing w:after="160" w:line="48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[3]</w:t>
            </w:r>
          </w:p>
        </w:tc>
        <w:tc>
          <w:tcPr>
            <w:tcW w:w="841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ED0943" w:rsidRDefault="0079078D">
            <w:pPr>
              <w:spacing w:after="160" w:line="48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"What is Watson," IBM, [Online]. Available: http://www.ibm.com/smarterplanet/us/en/ibmwatson/what-is-watson.html. [Accessed 14 10 </w:t>
            </w:r>
            <w:r>
              <w:rPr>
                <w:rFonts w:ascii="Times New Roman" w:eastAsia="Times New Roman" w:hAnsi="Times New Roman" w:cs="Times New Roman"/>
                <w:sz w:val="24"/>
              </w:rPr>
              <w:t>2014].</w:t>
            </w:r>
          </w:p>
        </w:tc>
      </w:tr>
      <w:tr w:rsidR="00ED0943" w:rsidTr="0037192C"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ED0943" w:rsidRDefault="0079078D">
            <w:pPr>
              <w:spacing w:after="160" w:line="48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[4]</w:t>
            </w:r>
          </w:p>
        </w:tc>
        <w:tc>
          <w:tcPr>
            <w:tcW w:w="841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ED0943" w:rsidRDefault="0079078D">
            <w:pPr>
              <w:spacing w:after="160" w:line="48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S. Buhr, "IBM's Ginni Rometty Reveals Watson's Future," Tech Crunch, 7 10 2014. [Online]. Available: http://techcrunch.com/2014/10/07/ibms-ginni-rometty-reveals-watsons-future/. [Accessed 14 10 2014].</w:t>
            </w:r>
          </w:p>
        </w:tc>
      </w:tr>
    </w:tbl>
    <w:p w:rsidR="00ED0943" w:rsidRDefault="0079078D">
      <w:pPr>
        <w:spacing w:after="160" w:line="48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D0943" w:rsidRDefault="0079078D">
      <w:pPr>
        <w:spacing w:after="160" w:line="48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D0943" w:rsidRDefault="0079078D">
      <w:pPr>
        <w:spacing w:after="160" w:line="48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D0943" w:rsidRDefault="00ED0943">
      <w:pPr>
        <w:spacing w:line="480" w:lineRule="auto"/>
      </w:pPr>
    </w:p>
    <w:sectPr w:rsidR="00ED0943">
      <w:head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192C" w:rsidRDefault="0037192C" w:rsidP="0037192C">
      <w:pPr>
        <w:spacing w:line="240" w:lineRule="auto"/>
      </w:pPr>
      <w:r>
        <w:separator/>
      </w:r>
    </w:p>
  </w:endnote>
  <w:endnote w:type="continuationSeparator" w:id="0">
    <w:p w:rsidR="0037192C" w:rsidRDefault="0037192C" w:rsidP="003719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192C" w:rsidRDefault="0037192C" w:rsidP="0037192C">
      <w:pPr>
        <w:spacing w:line="240" w:lineRule="auto"/>
      </w:pPr>
      <w:r>
        <w:separator/>
      </w:r>
    </w:p>
  </w:footnote>
  <w:footnote w:type="continuationSeparator" w:id="0">
    <w:p w:rsidR="0037192C" w:rsidRDefault="0037192C" w:rsidP="0037192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192C" w:rsidRPr="0037192C" w:rsidRDefault="0037192C">
    <w:pPr>
      <w:pStyle w:val="Header"/>
      <w:jc w:val="right"/>
      <w:rPr>
        <w:rFonts w:ascii="Times New Roman" w:hAnsi="Times New Roman" w:cs="Times New Roman"/>
        <w:sz w:val="24"/>
      </w:rPr>
    </w:pPr>
    <w:r w:rsidRPr="0037192C">
      <w:rPr>
        <w:rFonts w:ascii="Times New Roman" w:hAnsi="Times New Roman" w:cs="Times New Roman"/>
        <w:sz w:val="24"/>
      </w:rPr>
      <w:t xml:space="preserve">Cluck </w:t>
    </w:r>
    <w:sdt>
      <w:sdtPr>
        <w:rPr>
          <w:rFonts w:ascii="Times New Roman" w:hAnsi="Times New Roman" w:cs="Times New Roman"/>
          <w:sz w:val="24"/>
        </w:rPr>
        <w:id w:val="-6267735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37192C">
          <w:rPr>
            <w:rFonts w:ascii="Times New Roman" w:hAnsi="Times New Roman" w:cs="Times New Roman"/>
            <w:sz w:val="24"/>
          </w:rPr>
          <w:fldChar w:fldCharType="begin"/>
        </w:r>
        <w:r w:rsidRPr="0037192C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37192C">
          <w:rPr>
            <w:rFonts w:ascii="Times New Roman" w:hAnsi="Times New Roman" w:cs="Times New Roman"/>
            <w:sz w:val="24"/>
          </w:rPr>
          <w:fldChar w:fldCharType="separate"/>
        </w:r>
        <w:r w:rsidR="0079078D">
          <w:rPr>
            <w:rFonts w:ascii="Times New Roman" w:hAnsi="Times New Roman" w:cs="Times New Roman"/>
            <w:noProof/>
            <w:sz w:val="24"/>
          </w:rPr>
          <w:t>2</w:t>
        </w:r>
        <w:r w:rsidRPr="0037192C">
          <w:rPr>
            <w:rFonts w:ascii="Times New Roman" w:hAnsi="Times New Roman" w:cs="Times New Roman"/>
            <w:noProof/>
            <w:sz w:val="24"/>
          </w:rPr>
          <w:fldChar w:fldCharType="end"/>
        </w:r>
      </w:sdtContent>
    </w:sdt>
  </w:p>
  <w:p w:rsidR="0037192C" w:rsidRPr="0037192C" w:rsidRDefault="0037192C">
    <w:pPr>
      <w:pStyle w:val="Header"/>
      <w:rPr>
        <w:rFonts w:ascii="Times New Roman" w:hAnsi="Times New Roman" w:cs="Times New Roman"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D0943"/>
    <w:rsid w:val="0037192C"/>
    <w:rsid w:val="0079078D"/>
    <w:rsid w:val="00ED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37192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92C"/>
  </w:style>
  <w:style w:type="paragraph" w:styleId="Footer">
    <w:name w:val="footer"/>
    <w:basedOn w:val="Normal"/>
    <w:link w:val="FooterChar"/>
    <w:uiPriority w:val="99"/>
    <w:unhideWhenUsed/>
    <w:rsid w:val="0037192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9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37192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92C"/>
  </w:style>
  <w:style w:type="paragraph" w:styleId="Footer">
    <w:name w:val="footer"/>
    <w:basedOn w:val="Normal"/>
    <w:link w:val="FooterChar"/>
    <w:uiPriority w:val="99"/>
    <w:unhideWhenUsed/>
    <w:rsid w:val="0037192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9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Culture Report 2.docx</vt:lpstr>
    </vt:vector>
  </TitlesOfParts>
  <Company/>
  <LinksUpToDate>false</LinksUpToDate>
  <CharactersWithSpaces>2314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Culture Report 2.docx</dc:title>
  <dc:creator>Natalie Eve Cluck</dc:creator>
  <cp:lastModifiedBy>Natalie Eve Cluck</cp:lastModifiedBy>
  <cp:revision>2</cp:revision>
  <dcterms:created xsi:type="dcterms:W3CDTF">2014-10-15T15:48:00Z</dcterms:created>
  <dcterms:modified xsi:type="dcterms:W3CDTF">2014-10-15T15:48:00Z</dcterms:modified>
</cp:coreProperties>
</file>