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2"/>
        <w:spacing w:before="0" w:after="480"/>
        <w:rPr>
          <w:rFonts w:cs="Times New Roman"/>
          <w:szCs w:val="28"/>
        </w:rPr>
      </w:pPr>
      <w:bookmarkStart w:id="0" w:name="_Hlk25020028"/>
      <w:bookmarkEnd w:id="0"/>
      <w:r>
        <w:rPr>
          <w:rFonts w:cs="Times New Roman"/>
          <w:szCs w:val="28"/>
        </w:rPr>
        <w:t>МИНИСТЕРСТВО НАУКИ И ВЫСШЕГО ОБРАЗОВАНИЯ РФ</w:t>
        <w:b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bookmarkStart w:id="1" w:name="_Toc512365734"/>
      <w:bookmarkStart w:id="2" w:name="_Toc512365627"/>
      <w:r>
        <w:rPr>
          <w:rFonts w:cs="Times New Roman"/>
          <w:sz w:val="28"/>
          <w:szCs w:val="28"/>
        </w:rPr>
        <w:t>«Севастопольский государственный университет»</w:t>
      </w:r>
      <w:bookmarkEnd w:id="1"/>
      <w:bookmarkEnd w:id="2"/>
    </w:p>
    <w:p>
      <w:pPr>
        <w:pStyle w:val="Style18"/>
        <w:spacing w:lineRule="auto" w:line="360" w:before="0" w:after="4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«информационныЕ системЫ»</w:t>
      </w:r>
    </w:p>
    <w:p>
      <w:pPr>
        <w:pStyle w:val="Normal"/>
        <w:spacing w:lineRule="auto" w:line="360" w:before="0" w:after="4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 2</w:t>
      </w:r>
    </w:p>
    <w:p>
      <w:pPr>
        <w:pStyle w:val="Normal"/>
        <w:spacing w:lineRule="auto" w:line="360" w:before="0" w:after="4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«Инфокоммуникационные системы и сети»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Исследование дискретного канала с амплитудной манипуляцией.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right="567" w:hanging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>
      <w:pPr>
        <w:pStyle w:val="Normal"/>
        <w:ind w:right="567" w:hanging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ст. гр. ИС/б-17-2-о</w:t>
      </w:r>
    </w:p>
    <w:p>
      <w:pPr>
        <w:pStyle w:val="Normal"/>
        <w:ind w:right="567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Горбенко К.Н.</w:t>
      </w:r>
    </w:p>
    <w:p>
      <w:pPr>
        <w:pStyle w:val="Normal"/>
        <w:ind w:right="567" w:hanging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right="567" w:hanging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Проверил:</w:t>
      </w:r>
    </w:p>
    <w:p>
      <w:pPr>
        <w:pStyle w:val="Normal"/>
        <w:ind w:right="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Чернега В.С.</w:t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Севастополь</w:t>
        <w:br/>
        <w:tab/>
        <w:t>2020</w:t>
      </w:r>
      <w:bookmarkStart w:id="3" w:name="_GoBack"/>
      <w:bookmarkEnd w:id="3"/>
    </w:p>
    <w:p>
      <w:pPr>
        <w:pStyle w:val="Heading1"/>
        <w:numPr>
          <w:ilvl w:val="0"/>
          <w:numId w:val="1"/>
        </w:numPr>
        <w:ind w:left="567" w:hanging="70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 работы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Углубить знания в области построения дискретных каналов, способов модуляции и демодуляции сигналов. Приобрести практические навыки в построении и исследовании схем преобразования сигналов в среде моделирования Proteus.</w:t>
      </w:r>
    </w:p>
    <w:p>
      <w:pPr>
        <w:pStyle w:val="Normal"/>
        <w:rPr>
          <w:rFonts w:cs="Times New Roman"/>
          <w:caps/>
          <w:sz w:val="28"/>
          <w:szCs w:val="28"/>
        </w:rPr>
      </w:pPr>
      <w:r>
        <w:rPr>
          <w:rFonts w:cs="Times New Roman"/>
          <w:caps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left="709" w:hanging="70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Постановка задачи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Повторить теоретический материал, относящийся к вопросам модуляции и демодуляции сигналов и построении дискретных каналов.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Составить в рабочем окне симулятора схему дискретного канала.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Установить параметры генератора несущих сигналов: частота (10+</w:t>
      </w:r>
      <w:r>
        <w:rPr>
          <w:rFonts w:cs="Times New Roman"/>
          <w:i/>
          <w:iCs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) кГц, где </w:t>
      </w:r>
      <w:r>
        <w:rPr>
          <w:rFonts w:cs="Times New Roman"/>
          <w:i/>
          <w:iCs/>
          <w:sz w:val="28"/>
          <w:szCs w:val="28"/>
        </w:rPr>
        <w:t xml:space="preserve">i </w:t>
      </w:r>
      <w:r>
        <w:rPr>
          <w:rFonts w:cs="Times New Roman"/>
          <w:sz w:val="28"/>
          <w:szCs w:val="28"/>
        </w:rPr>
        <w:t xml:space="preserve">– последняя цифра номера зачетной книжки, амплитуда 5 В.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 Установить частоту информационных сигналов (1000 + 100</w:t>
      </w:r>
      <w:r>
        <w:rPr>
          <w:rFonts w:cs="Times New Roman"/>
          <w:i/>
          <w:iCs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) Гц. Вид сигналов 1:1.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Запустить процесс моделирования, зарисовать осциллограммы в точках измерения и пояснить их характер.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6. Отключать по очереди конденсаторы фильтра нижних частот. Зарисовать вид сигнала на выходе приемного устройства и пояснить причину изменения их формы. Затем снова подключить оба конденсатора.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7. Меняя с помощью потенциометра RV2 пороговое напряжение от 0,75 до 2-х В. Измерить абсолютную и относительную величину краевых искажений.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 Установить вид информационного сигнала 1:4 и измерить абсолютную и относительную величину краевых искажений. Зарисовать форму сигналов в контрольных точках.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left="709" w:hanging="70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 работы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симуляторе была составлена схема дискретного канала. Результат приведен на рисунке 1. В параметрах генератора несущей были установлены частота 17кГц и амплитуда 5В (рис. 2). А в параметрах информационного сигнала установили частоту равную 1700Гц и вид сигнала 1:1 (рис. 3).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5940425" cy="3589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– Схема дискретного канала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3192780" cy="18986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6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Параметры генератора несущей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3291840" cy="251206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1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Параметры информационного сигнала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Запустим процесс моделирования и рассмотрим осциллограмму процесса на рисунке 4.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3471545" cy="2988945"/>
            <wp:effectExtent l="0" t="0" r="0" b="0"/>
            <wp:docPr id="4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1569" b="23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Осциллограмма процесса моделирования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будем отключать по очереди конденсаторы фильтра нижних частот. Осциллограммы полученных процессов представлены на рисунке 5. </w:t>
      </w:r>
    </w:p>
    <w:p>
      <w:pPr>
        <w:pStyle w:val="Normal"/>
        <w:ind w:left="-567" w:right="-143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а)</w:t>
      </w:r>
      <w:r>
        <w:rPr>
          <w:rFonts w:cs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3015615" cy="56197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1828" r="22981" b="43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ind w:left="-567" w:right="-143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б) </w:t>
      </w:r>
      <w:r>
        <w:rPr/>
        <w:drawing>
          <wp:inline distT="0" distB="0" distL="0" distR="0">
            <wp:extent cx="2977515" cy="695325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2320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ind w:left="-567" w:right="-143" w:hanging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</w:rPr>
        <w:t>в)</w:t>
      </w:r>
      <w:r>
        <w:rPr>
          <w:rFonts w:cs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2944495" cy="76200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 – Осциллограмма процесса моделирования: а) без конденсатора С1; б) без конденсатора С2; в) без конденсаторов С1 и С2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измерим абсолютную и относительную величину краевых искажений при изменении порогового напряжения на потенциометре RV2 от 0,75 до 2-х В. </w:t>
      </w:r>
    </w:p>
    <w:p>
      <w:pPr>
        <w:pStyle w:val="TextBody"/>
        <w:tabs>
          <w:tab w:val="clear" w:pos="708"/>
          <w:tab w:val="left" w:pos="0" w:leader="none"/>
        </w:tabs>
        <w:ind w:firstLine="567"/>
        <w:jc w:val="center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t </w:t>
      </w:r>
      <w:r>
        <w:rPr>
          <w:sz w:val="28"/>
          <w:szCs w:val="28"/>
          <w:vertAlign w:val="subscript"/>
        </w:rPr>
        <w:t>max</w:t>
      </w:r>
      <w:r>
        <w:rPr>
          <w:sz w:val="28"/>
          <w:szCs w:val="28"/>
        </w:rPr>
        <w:t xml:space="preserve">-t </w:t>
      </w:r>
      <w:r>
        <w:rPr>
          <w:sz w:val="28"/>
          <w:szCs w:val="28"/>
          <w:vertAlign w:val="subscript"/>
        </w:rPr>
        <w:t>min</w:t>
      </w:r>
      <w:r>
        <w:rPr>
          <w:sz w:val="28"/>
          <w:szCs w:val="28"/>
        </w:rPr>
        <w:t>,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Где t</w:t>
      </w:r>
      <w:r>
        <w:rPr>
          <w:rFonts w:cs="Times New Roman"/>
          <w:sz w:val="28"/>
          <w:szCs w:val="28"/>
          <w:vertAlign w:val="subscript"/>
        </w:rPr>
        <w:t>max</w:t>
      </w:r>
      <w:r>
        <w:rPr>
          <w:rFonts w:cs="Times New Roman"/>
          <w:sz w:val="28"/>
          <w:szCs w:val="28"/>
        </w:rPr>
        <w:t xml:space="preserve"> и  t</w:t>
      </w:r>
      <w:r>
        <w:rPr>
          <w:rFonts w:cs="Times New Roman"/>
          <w:sz w:val="28"/>
          <w:szCs w:val="28"/>
          <w:vertAlign w:val="subscript"/>
        </w:rPr>
        <w:t>min</w:t>
      </w:r>
      <w:r>
        <w:rPr>
          <w:rFonts w:cs="Times New Roman"/>
          <w:sz w:val="28"/>
          <w:szCs w:val="28"/>
        </w:rPr>
        <w:t xml:space="preserve"> соответственно максимальное и минимальное значения  смещения  ДХМВ относительно ДХММ. </w:t>
      </w:r>
      <w:r>
        <w:rPr>
          <w:rFonts w:eastAsia="Symbol" w:cs="Symbol" w:ascii="Symbol" w:hAnsi="Symbol"/>
          <w:sz w:val="28"/>
          <w:szCs w:val="28"/>
        </w:rPr>
        <w:t></w:t>
      </w:r>
      <w:r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b/>
          <w:sz w:val="28"/>
          <w:szCs w:val="28"/>
        </w:rPr>
        <w:t>абсолютная величина краевых искажений</w:t>
      </w:r>
      <w:r>
        <w:rPr>
          <w:rFonts w:cs="Times New Roman"/>
          <w:sz w:val="28"/>
          <w:szCs w:val="28"/>
        </w:rPr>
        <w:t xml:space="preserve">. Краевые искажения – это изменение длительности принятых единичных элементов. Удобнее пользоваться </w:t>
      </w:r>
      <w:r>
        <w:rPr>
          <w:rFonts w:cs="Times New Roman"/>
          <w:b/>
          <w:sz w:val="28"/>
          <w:szCs w:val="28"/>
        </w:rPr>
        <w:t xml:space="preserve">относительной </w:t>
      </w:r>
      <w:r>
        <w:rPr>
          <w:rFonts w:cs="Times New Roman"/>
          <w:sz w:val="28"/>
          <w:szCs w:val="28"/>
        </w:rPr>
        <w:t>величиной краевых искажений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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= </w:t>
      </w:r>
      <w:r>
        <w:rPr>
          <w:rFonts w:eastAsia="Symbol" w:cs="Symbol" w:ascii="Symbol" w:hAnsi="Symbol"/>
          <w:sz w:val="28"/>
          <w:szCs w:val="28"/>
        </w:rPr>
        <w:t></w:t>
      </w:r>
      <w:r>
        <w:rPr>
          <w:rFonts w:cs="Times New Roman"/>
          <w:sz w:val="28"/>
          <w:szCs w:val="28"/>
        </w:rPr>
        <w:t xml:space="preserve"> / </w:t>
      </w:r>
      <w:r>
        <w:rPr>
          <w:rFonts w:eastAsia="Symbol" w:cs="Symbol" w:ascii="Symbol" w:hAnsi="Symbol"/>
          <w:sz w:val="28"/>
          <w:szCs w:val="28"/>
        </w:rPr>
        <w:t></w:t>
      </w:r>
      <w:r>
        <w:rPr>
          <w:rFonts w:cs="Times New Roman"/>
          <w:sz w:val="28"/>
          <w:szCs w:val="28"/>
          <w:vertAlign w:val="subscript"/>
        </w:rPr>
        <w:t>0</w:t>
      </w:r>
      <w:r>
        <w:rPr>
          <w:rFonts w:cs="Times New Roman"/>
          <w:sz w:val="28"/>
          <w:szCs w:val="28"/>
        </w:rPr>
        <w:t xml:space="preserve">  * 100% = 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/>
          <w:sz w:val="28"/>
          <w:szCs w:val="28"/>
        </w:rPr>
        <w:t xml:space="preserve"> ) / </w:t>
      </w:r>
      <w:r>
        <w:rPr>
          <w:rFonts w:eastAsia="Symbol" w:cs="Symbol" w:ascii="Symbol" w:hAnsi="Symbol"/>
          <w:sz w:val="28"/>
          <w:szCs w:val="28"/>
        </w:rPr>
        <w:t></w:t>
      </w:r>
      <w:r>
        <w:rPr>
          <w:rFonts w:cs="Times New Roman"/>
          <w:sz w:val="28"/>
          <w:szCs w:val="28"/>
          <w:vertAlign w:val="subscript"/>
        </w:rPr>
        <w:t>0</w:t>
      </w:r>
      <w:r>
        <w:rPr>
          <w:rFonts w:cs="Times New Roman"/>
          <w:sz w:val="28"/>
          <w:szCs w:val="28"/>
        </w:rPr>
        <w:t xml:space="preserve"> * 100% = В 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/>
          <w:sz w:val="28"/>
          <w:szCs w:val="28"/>
        </w:rPr>
        <w:t>) *100%.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Здесь В –скорость передачи, Бод.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рисунке 6 изображены измерения осциллографа, с которого снимаем данные и записываем их в таблицу 1. По рисунку 6 можно определить периоды для входного (t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>= 295) и выходного сигнала (t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10,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>= 490) при напряжении 0,75 В. Таким же образом снимем эти же характеристики при увеличении напряжения и запишем в таблицу 1 полученные результаты.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4019550" cy="2117090"/>
            <wp:effectExtent l="0" t="0" r="0" b="0"/>
            <wp:docPr id="8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84" t="4112" r="28849" b="19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 – Измерения осциллографа для напряжения 0,75 В сигнала 1:1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входного сигнала при любом напряжении 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>= 295. Для выходного сигнала В = 1700*2 = 3400.</w:t>
      </w:r>
    </w:p>
    <w:p>
      <w:pPr>
        <w:pStyle w:val="Normal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Результаты измерений для сигнала 1:1</w:t>
      </w:r>
    </w:p>
    <w:tbl>
      <w:tblPr>
        <w:tblStyle w:val="a5"/>
        <w:tblW w:w="70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3"/>
        <w:gridCol w:w="1373"/>
        <w:gridCol w:w="1376"/>
        <w:gridCol w:w="1276"/>
        <w:gridCol w:w="1134"/>
      </w:tblGrid>
      <w:tr>
        <w:trPr>
          <w:trHeight w:val="182" w:hRule="atLeast"/>
        </w:trPr>
        <w:tc>
          <w:tcPr>
            <w:tcW w:w="188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Напряжение</w:t>
            </w:r>
          </w:p>
        </w:tc>
        <w:tc>
          <w:tcPr>
            <w:tcW w:w="2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Выходной сигнал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Symbol" w:cs="Symbol" w:ascii="Symbol" w:hAnsi="Symbol"/>
                <w:sz w:val="28"/>
                <w:szCs w:val="28"/>
              </w:rPr>
              <w:t>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(мкс)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Symbol" w:cs="Symbol" w:ascii="Symbol" w:hAnsi="Symbol"/>
                <w:sz w:val="28"/>
                <w:szCs w:val="28"/>
              </w:rPr>
              <w:t></w:t>
            </w:r>
          </w:p>
        </w:tc>
      </w:tr>
      <w:tr>
        <w:trPr>
          <w:trHeight w:val="106" w:hRule="atLeast"/>
        </w:trPr>
        <w:tc>
          <w:tcPr>
            <w:tcW w:w="188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min (мкс)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max (мкс)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0,75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480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163,2%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437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422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143,4%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1,25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402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385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130,9%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370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350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119%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1,75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345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300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102%</w:t>
            </w:r>
          </w:p>
        </w:tc>
      </w:tr>
      <w:tr>
        <w:trPr>
          <w:trHeight w:val="111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75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250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85%</w:t>
            </w:r>
          </w:p>
        </w:tc>
      </w:tr>
    </w:tbl>
    <w:p>
      <w:pPr>
        <w:pStyle w:val="Normal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Рассмотрев результаты изменения порогового напряжения, можно сделать вывод, что при его увеличении напряжения краевые искажения выходного сигнала уменьшаются.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Изменим вид информационного сигнала с 1:1 на 1:4 (т.е. изменим ширину пропускания канала с 50% на 20%) и измерим абсолютную и относительную величину краевых искажений по аналогии с предыдущими измерениями и запишем результаты в таблицу 2. Пример измерения представлен на рисунке 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4286250" cy="2204085"/>
            <wp:effectExtent l="0" t="0" r="0" b="0"/>
            <wp:docPr id="9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89" t="2228" r="26560" b="22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 – Измерения осциллографа для напряжения 2 В для сигнала 1:4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входного сигнала при любом напряжении 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>= 117. Для выходного сигнала В = 1700*5 = 8500.</w:t>
      </w:r>
    </w:p>
    <w:p>
      <w:pPr>
        <w:pStyle w:val="Normal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 – Результаты измерений для сигнала 1:4</w:t>
      </w:r>
    </w:p>
    <w:tbl>
      <w:tblPr>
        <w:tblStyle w:val="a5"/>
        <w:tblW w:w="70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3"/>
        <w:gridCol w:w="1373"/>
        <w:gridCol w:w="1376"/>
        <w:gridCol w:w="1276"/>
        <w:gridCol w:w="1134"/>
      </w:tblGrid>
      <w:tr>
        <w:trPr>
          <w:trHeight w:val="182" w:hRule="atLeast"/>
        </w:trPr>
        <w:tc>
          <w:tcPr>
            <w:tcW w:w="188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Напряжение</w:t>
            </w:r>
          </w:p>
        </w:tc>
        <w:tc>
          <w:tcPr>
            <w:tcW w:w="2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Выходной сигнал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Symbol" w:cs="Symbol" w:ascii="Symbol" w:hAnsi="Symbol"/>
                <w:sz w:val="28"/>
                <w:szCs w:val="28"/>
              </w:rPr>
              <w:t>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(мкс)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Symbol" w:cs="Symbol" w:ascii="Symbol" w:hAnsi="Symbol"/>
                <w:sz w:val="28"/>
                <w:szCs w:val="28"/>
              </w:rPr>
              <w:t></w:t>
            </w:r>
          </w:p>
        </w:tc>
      </w:tr>
      <w:tr>
        <w:trPr>
          <w:trHeight w:val="106" w:hRule="atLeast"/>
        </w:trPr>
        <w:tc>
          <w:tcPr>
            <w:tcW w:w="188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min (мкс)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max (мкс)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0,75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248%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205%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1,25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198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168%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163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138%</w:t>
            </w:r>
          </w:p>
        </w:tc>
      </w:tr>
      <w:tr>
        <w:trPr>
          <w:trHeight w:val="106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1,75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120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102%</w:t>
            </w:r>
          </w:p>
        </w:tc>
      </w:tr>
      <w:tr>
        <w:trPr>
          <w:trHeight w:val="111" w:hRule="atLeast"/>
        </w:trPr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 В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72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68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58%</w:t>
            </w:r>
          </w:p>
        </w:tc>
      </w:tr>
    </w:tbl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Можно сделать вывод, что при уменьшении ширины пропускания канала, импульсы после демодуляции сигнала восстанавливаются укороченными.</w:t>
      </w:r>
    </w:p>
    <w:p>
      <w:pPr>
        <w:pStyle w:val="Normal"/>
        <w:ind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Heading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</w:t>
      </w:r>
    </w:p>
    <w:p>
      <w:pPr>
        <w:pStyle w:val="Normal"/>
        <w:widowControl/>
        <w:bidi w:val="0"/>
        <w:spacing w:lineRule="auto" w:line="240" w:before="0" w:after="160"/>
        <w:ind w:firstLine="851"/>
        <w:jc w:val="both"/>
        <w:rPr/>
      </w:pPr>
      <w:r>
        <w:rPr>
          <w:rFonts w:cs="Times New Roman"/>
          <w:sz w:val="28"/>
          <w:szCs w:val="28"/>
        </w:rPr>
        <w:t>В процессе выполнения лабораторной работы были углублены знания в области построения дискретных каналов, способов модуляции и демодуляции сигналов. Приобретены практические навыки в построении и исследовании схем преобразования сигналов в среде моделирования Proteus.</w:t>
      </w:r>
    </w:p>
    <w:sectPr>
      <w:footerReference w:type="default" r:id="rId11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6141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71050"/>
    <w:pPr>
      <w:widowControl/>
      <w:bidi w:val="0"/>
      <w:spacing w:lineRule="auto" w:line="240" w:before="0" w:after="16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81a45"/>
    <w:pPr>
      <w:keepNext w:val="true"/>
      <w:keepLines/>
      <w:spacing w:before="240" w:after="240"/>
      <w:ind w:hanging="0"/>
      <w:jc w:val="center"/>
      <w:outlineLvl w:val="0"/>
    </w:pPr>
    <w:rPr>
      <w:rFonts w:eastAsia="" w:cs="" w:cstheme="majorBidi" w:eastAsiaTheme="majorEastAsia"/>
      <w:cap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81a45"/>
    <w:rPr>
      <w:rFonts w:ascii="Times New Roman" w:hAnsi="Times New Roman" w:eastAsia="" w:cs="" w:cstheme="majorBidi" w:eastAsiaTheme="majorEastAsia"/>
      <w:caps/>
      <w:sz w:val="28"/>
      <w:szCs w:val="32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581a45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a6"/>
    <w:uiPriority w:val="99"/>
    <w:qFormat/>
    <w:rsid w:val="00581a45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semiHidden/>
    <w:unhideWhenUsed/>
    <w:rsid w:val="00285dd3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b46c79"/>
    <w:rPr>
      <w:rFonts w:ascii="Segoe UI" w:hAnsi="Segoe UI" w:cs="Segoe UI"/>
      <w:sz w:val="18"/>
      <w:szCs w:val="18"/>
    </w:rPr>
  </w:style>
  <w:style w:type="character" w:styleId="Style16" w:customStyle="1">
    <w:name w:val="Основной текст Знак"/>
    <w:basedOn w:val="DefaultParagraphFont"/>
    <w:link w:val="ad"/>
    <w:qFormat/>
    <w:rsid w:val="00be5c4b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11" w:customStyle="1">
    <w:name w:val="Заголовок 1-го уровня Знак"/>
    <w:basedOn w:val="DefaultParagraphFont"/>
    <w:link w:val="1-0"/>
    <w:qFormat/>
    <w:locked/>
    <w:rsid w:val="00400fd8"/>
    <w:rPr>
      <w:rFonts w:ascii="Times New Roman" w:hAnsi="Times New Roman" w:eastAsia="" w:cs="" w:cstheme="majorBidi" w:eastAsiaTheme="majorEastAsia"/>
      <w:b/>
      <w:caps/>
      <w:color w:val="000000" w:themeColor="text1"/>
      <w:sz w:val="28"/>
      <w:szCs w:val="32"/>
    </w:rPr>
  </w:style>
  <w:style w:type="character" w:styleId="Style17" w:customStyle="1">
    <w:name w:val="Колонтитул Знак"/>
    <w:basedOn w:val="DefaultParagraphFont"/>
    <w:link w:val="af0"/>
    <w:qFormat/>
    <w:locked/>
    <w:rsid w:val="00400fd8"/>
    <w:rPr>
      <w:rFonts w:ascii="Calibri Light" w:hAnsi="Calibri Light" w:eastAsia="" w:cs="" w:asciiTheme="majorHAnsi" w:cstheme="majorBidi" w:eastAsiaTheme="majorEastAsia" w:hAnsiTheme="majorHAnsi"/>
      <w:caps/>
      <w:color w:val="000000" w:themeColor="text1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e"/>
    <w:rsid w:val="00be5c4b"/>
    <w:pPr>
      <w:spacing w:before="0" w:after="120"/>
      <w:ind w:hanging="0"/>
      <w:jc w:val="left"/>
    </w:pPr>
    <w:rPr>
      <w:rFonts w:eastAsia="Times New Roman" w:cs="Times New Roman"/>
      <w:szCs w:val="20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581a45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7"/>
    <w:uiPriority w:val="99"/>
    <w:unhideWhenUsed/>
    <w:rsid w:val="00581a45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581a45"/>
    <w:pPr>
      <w:spacing w:before="0" w:after="160"/>
      <w:ind w:left="720" w:firstLine="851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86cc6"/>
    <w:pPr>
      <w:spacing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b46c79"/>
    <w:pPr>
      <w:spacing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404c95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12" w:customStyle="1">
    <w:name w:val="Заголовок 1-го уровня"/>
    <w:link w:val="1-"/>
    <w:qFormat/>
    <w:rsid w:val="00400fd8"/>
    <w:pPr>
      <w:keepNext w:val="true"/>
      <w:pageBreakBefore/>
      <w:widowControl/>
      <w:suppressAutoHyphens w:val="true"/>
      <w:bidi w:val="0"/>
      <w:spacing w:lineRule="auto" w:line="360" w:before="0" w:after="240"/>
      <w:jc w:val="center"/>
    </w:pPr>
    <w:rPr>
      <w:rFonts w:ascii="Times New Roman" w:hAnsi="Times New Roman" w:eastAsia="" w:cs="" w:cstheme="majorBidi" w:eastAsiaTheme="majorEastAsia"/>
      <w:b/>
      <w:caps/>
      <w:color w:val="000000" w:themeColor="text1"/>
      <w:kern w:val="0"/>
      <w:sz w:val="28"/>
      <w:szCs w:val="32"/>
      <w:lang w:val="ru-RU" w:eastAsia="en-US" w:bidi="ar-SA"/>
    </w:rPr>
  </w:style>
  <w:style w:type="paragraph" w:styleId="Style18" w:customStyle="1">
    <w:name w:val="Колонтитул"/>
    <w:link w:val="af"/>
    <w:qFormat/>
    <w:rsid w:val="00400fd8"/>
    <w:pPr>
      <w:widowControl/>
      <w:bidi w:val="0"/>
      <w:spacing w:lineRule="auto" w:line="254" w:before="0" w:after="16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000000" w:themeColor="text1"/>
      <w:kern w:val="0"/>
      <w:sz w:val="24"/>
      <w:szCs w:val="3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81a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FA0C-4E85-4CA9-9032-87F257E5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Application>LibreOffice/6.3.6.2$Windows_X86_64 LibreOffice_project/2196df99b074d8a661f4036fca8fa0cbfa33a497</Application>
  <Pages>7</Pages>
  <Words>747</Words>
  <Characters>4334</Characters>
  <CharactersWithSpaces>4984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2019-09-15T18:14:00Z</dcterms:created>
  <dc:creator>User009</dc:creator>
  <dc:description/>
  <dc:language>en-US</dc:language>
  <cp:lastModifiedBy/>
  <cp:lastPrinted>2020-03-23T07:20:00Z</cp:lastPrinted>
  <dcterms:modified xsi:type="dcterms:W3CDTF">2020-09-21T21:58:38Z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