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before="160" w:line="3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по лабораторной работе №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tl w:val="0"/>
        </w:rPr>
        <w:t xml:space="preserve">Построение и редактирование плоских объектов с помощью инструмента SHAPE (Форма)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</w:t>
      </w:r>
    </w:p>
    <w:p w:rsidR="00000000" w:rsidDel="00000000" w:rsidP="00000000" w:rsidRDefault="00000000" w:rsidRPr="00000000" w14:paraId="00000005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КОМПЬЮТЕРНАЯ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гр. ИВТ/б-22о</w:t>
      </w:r>
    </w:p>
    <w:p w:rsidR="00000000" w:rsidDel="00000000" w:rsidP="00000000" w:rsidRDefault="00000000" w:rsidRPr="00000000" w14:paraId="00000009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0" w:line="300" w:lineRule="auto"/>
        <w:ind w:left="4320" w:firstLine="0"/>
        <w:jc w:val="left"/>
        <w:rPr/>
      </w:pPr>
      <w:r w:rsidDel="00000000" w:rsidR="00000000" w:rsidRPr="00000000">
        <w:rPr>
          <w:rtl w:val="0"/>
        </w:rPr>
        <w:t xml:space="preserve">Ченгарь О.В.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возможности построения кривых и использования инструмента Shape (Форма).</w:t>
      </w:r>
    </w:p>
    <w:p w:rsidR="00000000" w:rsidDel="00000000" w:rsidP="00000000" w:rsidRDefault="00000000" w:rsidRPr="00000000" w14:paraId="0000000D">
      <w:pPr>
        <w:spacing w:after="80" w:before="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на работу: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Изучить принципы построения кривых и кривых Безье.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Изучить принципы использования инструмента Shape (Форма) и Редактор узлов.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8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Построить изображение согласно индивидуальному заданию.</w:t>
      </w:r>
    </w:p>
    <w:p w:rsidR="00000000" w:rsidDel="00000000" w:rsidP="00000000" w:rsidRDefault="00000000" w:rsidRPr="00000000" w14:paraId="00000011">
      <w:pPr>
        <w:spacing w:after="80" w:before="0" w:lineRule="auto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Индивидуальное задание </w:t>
      </w:r>
      <w:r w:rsidDel="00000000" w:rsidR="00000000" w:rsidRPr="00000000">
        <w:rPr>
          <w:rtl w:val="0"/>
        </w:rPr>
        <w:t xml:space="preserve">для варианта № 6:</w:t>
      </w:r>
    </w:p>
    <w:p w:rsidR="00000000" w:rsidDel="00000000" w:rsidP="00000000" w:rsidRDefault="00000000" w:rsidRPr="00000000" w14:paraId="00000012">
      <w:pPr>
        <w:spacing w:after="80" w:before="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48173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17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1 - Индивидуальное задание для варианта № 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before="0" w:lineRule="auto"/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15">
      <w:pPr>
        <w:spacing w:after="80" w:before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740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2 - Выполнение индивидуального задания</w:t>
      </w:r>
    </w:p>
    <w:p w:rsidR="00000000" w:rsidDel="00000000" w:rsidP="00000000" w:rsidRDefault="00000000" w:rsidRPr="00000000" w14:paraId="00000017">
      <w:pPr>
        <w:spacing w:after="8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ходе лабораторной работы был изучен инструмент “Форма”. Для построения рисунка из индивидуального задания использовался инструмент произвольного создания форм, созданное с помощью которого изображение модифицировалось инструментом “Форма”. </w:t>
      </w:r>
    </w:p>
    <w:sectPr>
      <w:headerReference r:id="rId8" w:type="default"/>
      <w:headerReference r:id="rId9" w:type="first"/>
      <w:footerReference r:id="rId10" w:type="first"/>
      <w:pgSz w:h="16834" w:w="11909"/>
      <w:pgMar w:bottom="1440" w:top="1440" w:left="1440" w:right="1440" w:header="708.661417322834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2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80" w:before="0" w:line="300" w:lineRule="auto"/>
      <w:jc w:val="center"/>
      <w:rPr/>
    </w:pPr>
    <w:r w:rsidDel="00000000" w:rsidR="00000000" w:rsidRPr="00000000">
      <w:rPr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1A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  <w:t xml:space="preserve">РОССИЙСКОЙ ФЕДЕРАЦИИ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1D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1E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1F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21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и управления в технических системах СГУ</w:t>
    </w:r>
  </w:p>
  <w:p w:rsidR="00000000" w:rsidDel="00000000" w:rsidP="00000000" w:rsidRDefault="00000000" w:rsidRPr="00000000" w14:paraId="00000022">
    <w:pPr>
      <w:spacing w:after="80" w:before="0" w:line="30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Кафедра информационных технологий и компьютерных систем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200" w:before="200" w:line="300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