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76805" cy="1279525"/>
            <wp:effectExtent b="0" l="0" r="0" t="0"/>
            <wp:docPr descr="A description..." id="1" name="image1.jpg"/>
            <a:graphic>
              <a:graphicData uri="http://schemas.openxmlformats.org/drawingml/2006/picture">
                <pic:pic>
                  <pic:nvPicPr>
                    <pic:cNvPr descr="A description...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127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Московский государственный университет имени М.В. Ломоносова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вычислительной математики и кибернетики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Кафедра нелинейных динамических систем и процессов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Куваев Даниил Юрьевич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Реализация освещения с использованием сферических гармоник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ВЫПУСКНАЯ КВАЛИФИКАЦИОННАЯ  РАБОТА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Научный руководитель: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кандидат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ф-м.н.,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мл. научный сотрудник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А.В. Боресков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Москва, 2019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