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Comments on the GNN chapter, v0</w:t>
      </w:r>
    </w:p>
    <w:p>
      <w:pPr>
        <w:pStyle w:val="BodyText"/>
      </w:pPr>
      <w:r>
        <w:rPr>
          <w:iCs/>
          <w:i/>
        </w:rPr>
        <w:t xml:space="preserve">Machine Learning Techniques for Astrophysics and Cosmology: Graph Neural Networks</w:t>
      </w:r>
    </w:p>
    <w:p>
      <w:pPr>
        <w:pStyle w:val="BodyText"/>
      </w:pPr>
      <w:r>
        <w:t xml:space="preserve">Claude (Anthropic), passed on by Josh Speagle · October 2026</w:t>
      </w:r>
    </w:p>
    <w:p>
      <w:pPr>
        <w:pStyle w:val="BodyText"/>
      </w:pPr>
      <w:r>
        <w:rPr>
          <w:iCs/>
          <w:i/>
        </w:rPr>
        <w:t xml:space="preserve">How these were put together.</w:t>
      </w:r>
      <w:r>
        <w:t xml:space="preserve"> </w:t>
      </w:r>
      <w:r>
        <w:t xml:space="preserve">Josh asked me to read the chapter independently of the comments he gave you in person. I raised more points than appear here, and Josh went through each one and chose these. All of them are suggestions. Each carries a cost tag:</w:t>
      </w:r>
      <w:r>
        <w:t xml:space="preserve"> </w:t>
      </w:r>
      <w:r>
        <w:rPr>
          <w:iCs/>
          <w:i/>
        </w:rPr>
        <w:t xml:space="preserve">(text)</w:t>
      </w:r>
      <w:r>
        <w:t xml:space="preserve"> </w:t>
      </w:r>
      <w:r>
        <w:t xml:space="preserve">for a prose or citation change,</w:t>
      </w:r>
      <w:r>
        <w:t xml:space="preserve"> </w:t>
      </w:r>
      <w:r>
        <w:rPr>
          <w:iCs/>
          <w:i/>
        </w:rPr>
        <w:t xml:space="preserve">(figure)</w:t>
      </w:r>
      <w:r>
        <w:t xml:space="preserve"> </w:t>
      </w:r>
      <w:r>
        <w:t xml:space="preserve">for a change to a figure or table. Nearly all are text changes. I checked each statement about a cited paper against the paper, but please confirm against the source before changing anything.</w:t>
      </w:r>
    </w:p>
    <w:p>
      <w:pPr>
        <w:pStyle w:val="BodyText"/>
      </w:pPr>
      <w:r>
        <w:rPr>
          <w:bCs/>
          <w:b/>
        </w:rPr>
        <w:t xml:space="preserve">What’s working</w:t>
      </w:r>
    </w:p>
    <w:p>
      <w:pPr>
        <w:pStyle w:val="BodyText"/>
      </w:pPr>
      <w:r>
        <w:t xml:space="preserve">- Deriving the CNN and the GNN from the same blueprint by swapping the symmetry group (§1.2.3) is the strongest teaching move in the chapter, because a reader who follows it can work out an architecture for a new domain from that domain’s symmetries. Appendix 1.12 backs the CNN half with a complete and correct proof.</w:t>
      </w:r>
    </w:p>
    <w:p>
      <w:pPr>
        <w:pStyle w:val="BodyText"/>
      </w:pPr>
      <w:r>
        <w:t xml:space="preserve">- The N-body update in §1.4.1 maps each part of a message-passing layer onto familiar physics (the pairwise force as the message, superposition as the aggregation, the integrator step as the update). Oversmoothing as thermalisation (§1.6.5, Fig. 1.16) does the same for a computer-science failure mode.</w:t>
      </w:r>
    </w:p>
    <w:p>
      <w:pPr>
        <w:pStyle w:val="BodyText"/>
      </w:pPr>
      <w:r>
        <w:t xml:space="preserve">- The validation battery in §1.6.3 is the most usable part of the chapter for a student. The baseline ladder (an MLP on hand-built summaries, then a deep set, then the GNN) isolates what each ingredient adds. Fig. 1.15 turns §1.6.1 into a decision a reader can follow.</w:t>
      </w:r>
    </w:p>
    <w:p>
      <w:pPr>
        <w:pStyle w:val="BodyText"/>
      </w:pPr>
      <w:r>
        <w:rPr>
          <w:bCs/>
          <w:b/>
        </w:rPr>
        <w:t xml:space="preserve">Framing and positioning</w:t>
      </w:r>
    </w:p>
    <w:p>
      <w:pPr>
        <w:pStyle w:val="BodyText"/>
      </w:pPr>
      <w:r>
        <w:t xml:space="preserve">1.</w:t>
      </w:r>
      <w:r>
        <w:t xml:space="preserve"> </w:t>
      </w:r>
      <w:r>
        <w:rPr>
          <w:iCs/>
          <w:i/>
        </w:rPr>
        <w:t xml:space="preserve">Positioning against existing reviews (§1.1).</w:t>
      </w:r>
      <w:r>
        <w:t xml:space="preserve"> </w:t>
      </w:r>
      <w:r>
        <w:rPr>
          <w:iCs/>
          <w:i/>
        </w:rPr>
        <w:t xml:space="preserve">(text)</w:t>
      </w:r>
      <w:r>
        <w:t xml:space="preserve"> </w:t>
      </w:r>
      <w:r>
        <w:t xml:space="preserve">The chapter positions itself against Huertas-Company &amp; Lanusse (2023) and Ting (2026), both broad reviews of deep learning in astronomy. The graph-specific, blueprint-first reviews are in particle physics: Shlomi, Battaglia &amp; Vlimant (</w:t>
      </w:r>
      <w:hyperlink r:id="rId20">
        <w:r>
          <w:rPr>
            <w:rStyle w:val="Hyperlink"/>
          </w:rPr>
          <w:t xml:space="preserve">arXiv:2007.13681</w:t>
        </w:r>
      </w:hyperlink>
      <w:r>
        <w:t xml:space="preserve">), Thais et al. (</w:t>
      </w:r>
      <w:hyperlink r:id="rId21">
        <w:r>
          <w:rPr>
            <w:rStyle w:val="Hyperlink"/>
          </w:rPr>
          <w:t xml:space="preserve">arXiv:2203.12852</w:t>
        </w:r>
      </w:hyperlink>
      <w:r>
        <w:t xml:space="preserve">), and Duarte &amp; Vlimant (</w:t>
      </w:r>
      <w:hyperlink r:id="rId22">
        <w:r>
          <w:rPr>
            <w:rStyle w:val="Hyperlink"/>
          </w:rPr>
          <w:t xml:space="preserve">arXiv:2012.01249</w:t>
        </w:r>
      </w:hyperlink>
      <w:r>
        <w:t xml:space="preserve">). Duarte &amp; Vlimant’s treatment of graph construction on detector hits overlaps §1.3.2.2 and §1.5.5. Farsian et al. (</w:t>
      </w:r>
      <w:hyperlink r:id="rId23">
        <w:r>
          <w:rPr>
            <w:rStyle w:val="Hyperlink"/>
          </w:rPr>
          <w:t xml:space="preserve">arXiv:2210.11487</w:t>
        </w:r>
      </w:hyperlink>
      <w:r>
        <w:t xml:space="preserve">) survey GNN applications in cosmology. The NASA Cosmic Origins open textbook (Ting et al.,</w:t>
      </w:r>
      <w:r>
        <w:t xml:space="preserve"> </w:t>
      </w:r>
      <w:hyperlink r:id="rId24">
        <w:r>
          <w:rPr>
            <w:rStyle w:val="Hyperlink"/>
          </w:rPr>
          <w:t xml:space="preserve">arXiv:2606.30855</w:t>
        </w:r>
      </w:hyperlink>
      <w:r>
        <w:t xml:space="preserve">, June 2026) is written for the same audience as this volume. I found no dedicated review of GNNs in astronomy in arXiv, ADS or Semantic Scholar searches. If none exists, the paragraph can say so.</w:t>
      </w:r>
    </w:p>
    <w:p>
      <w:pPr>
        <w:pStyle w:val="BodyText"/>
      </w:pPr>
      <w:r>
        <w:t xml:space="preserve">2.</w:t>
      </w:r>
      <w:r>
        <w:t xml:space="preserve"> </w:t>
      </w:r>
      <w:r>
        <w:rPr>
          <w:iCs/>
          <w:i/>
        </w:rPr>
        <w:t xml:space="preserve">The simulation-to-reality bullet (§1.7; Fig. 1.11).</w:t>
      </w:r>
      <w:r>
        <w:t xml:space="preserve"> </w:t>
      </w:r>
      <w:r>
        <w:rPr>
          <w:iCs/>
          <w:i/>
        </w:rPr>
        <w:t xml:space="preserve">(text)</w:t>
      </w:r>
      <w:r>
        <w:t xml:space="preserve"> </w:t>
      </w:r>
      <w:r>
        <w:t xml:space="preserve">The bullet calls the move to real data</w:t>
      </w:r>
      <w:r>
        <w:t xml:space="preserve"> </w:t>
      </w:r>
      <w:r>
        <w:t xml:space="preserve">“</w:t>
      </w:r>
      <w:r>
        <w:t xml:space="preserve">the single most consequential gap in the field</w:t>
      </w:r>
      <w:r>
        <w:t xml:space="preserve">”</w:t>
      </w:r>
      <w:r>
        <w:t xml:space="preserve">, then says the graph framing keeps</w:t>
      </w:r>
      <w:r>
        <w:t xml:space="preserve"> </w:t>
      </w:r>
      <w:r>
        <w:t xml:space="preserve">“</w:t>
      </w:r>
      <w:r>
        <w:t xml:space="preserve">the domain shift between simulation and survey typically small</w:t>
      </w:r>
      <w:r>
        <w:t xml:space="preserve">”</w:t>
      </w:r>
      <w:r>
        <w:t xml:space="preserve">. The citations support the second claim for transfer between simulations. de Santi et al. (2023) transfer across suites whose catalogues are complete, unmasked and noiseless. Roncoli et al. (2023) is a domain-adaptation method, which presupposes a shift. Lee et al. (2024), the one cited analysis on survey data, uses Minkowski-PointNet with domain-generalisation training. The second half of the bullet could name the observational shift as the open problem: survey masks, fibre collisions, redshift-space distortions, selection, and errors on the positions the graph is built from. The Fig. 1.11 caption states as fact that</w:t>
      </w:r>
      <w:r>
        <w:t xml:space="preserve"> </w:t>
      </w:r>
      <w:r>
        <w:t xml:space="preserve">“</w:t>
      </w:r>
      <w:r>
        <w:t xml:space="preserve">carefully invariantised inputs buy this robustness</w:t>
      </w:r>
      <w:r>
        <w:t xml:space="preserve">”</w:t>
      </w:r>
      <w:r>
        <w:t xml:space="preserve">. Unless de Santi et al. ran that ablation, attributing the explanation to them is safer.</w:t>
      </w:r>
    </w:p>
    <w:p>
      <w:pPr>
        <w:pStyle w:val="BodyText"/>
      </w:pPr>
      <w:r>
        <w:t xml:space="preserve">3.</w:t>
      </w:r>
      <w:r>
        <w:t xml:space="preserve"> </w:t>
      </w:r>
      <w:r>
        <w:rPr>
          <w:iCs/>
          <w:i/>
        </w:rPr>
        <w:t xml:space="preserve">The Ting &amp; Sharma result (§1.5.3).</w:t>
      </w:r>
      <w:r>
        <w:t xml:space="preserve"> </w:t>
      </w:r>
      <w:r>
        <w:rPr>
          <w:iCs/>
          <w:i/>
        </w:rPr>
        <w:t xml:space="preserve">(text)</w:t>
      </w:r>
      <w:r>
        <w:t xml:space="preserve"> </w:t>
      </w:r>
      <w:r>
        <w:t xml:space="preserve">The chapter cites Ting &amp; Sharma (2023) for the definitional point that a graph kernel is not a GNN. Their result is that a Weisfeiler–Lehman graph kernel with Gaussian-process regression outperformed deep sets and graph convolutional networks on a 15-dimensional abundance space, using O(10) training simulations, at least two orders of magnitude fewer than the GNNs needed. That is a published case of the outcome the baseline ladder in §1.6.3 exists to detect. Appendix 1.11.4 connects the two, since message passing is bounded by the same WL test the kernel is built on.</w:t>
      </w:r>
    </w:p>
    <w:p>
      <w:pPr>
        <w:pStyle w:val="BodyText"/>
      </w:pPr>
      <w:r>
        <w:t xml:space="preserve">4.</w:t>
      </w:r>
      <w:r>
        <w:t xml:space="preserve"> </w:t>
      </w:r>
      <w:r>
        <w:rPr>
          <w:iCs/>
          <w:i/>
        </w:rPr>
        <w:t xml:space="preserve">Interpretability (abstract; §1.5.4).</w:t>
      </w:r>
      <w:r>
        <w:t xml:space="preserve"> </w:t>
      </w:r>
      <w:r>
        <w:rPr>
          <w:iCs/>
          <w:i/>
        </w:rPr>
        <w:t xml:space="preserve">(text)</w:t>
      </w:r>
      <w:r>
        <w:t xml:space="preserve"> </w:t>
      </w:r>
      <w:r>
        <w:t xml:space="preserve">The abstract says GNNs are</w:t>
      </w:r>
      <w:r>
        <w:t xml:space="preserve"> </w:t>
      </w:r>
      <w:r>
        <w:t xml:space="preserve">“</w:t>
      </w:r>
      <w:r>
        <w:t xml:space="preserve">more interpretable than other deep-learning architectures</w:t>
      </w:r>
      <w:r>
        <w:t xml:space="preserve">”</w:t>
      </w:r>
      <w:r>
        <w:t xml:space="preserve">. §1.5.4 refers to</w:t>
      </w:r>
      <w:r>
        <w:t xml:space="preserve"> </w:t>
      </w:r>
      <w:r>
        <w:t xml:space="preserve">“</w:t>
      </w:r>
      <w:r>
        <w:t xml:space="preserve">the inherent interpretability of vector messages as forces</w:t>
      </w:r>
      <w:r>
        <w:t xml:space="preserve">”</w:t>
      </w:r>
      <w:r>
        <w:t xml:space="preserve">. Cranmer et al. (2020) recovered force laws after imposing sparsity on the learned messages and then applying symbolic regression. Naming the sparsity constraint in §1.5.4, and narrowing the abstract sentence to what the cited work shows, would make both statements defensible.</w:t>
      </w:r>
    </w:p>
    <w:p>
      <w:pPr>
        <w:pStyle w:val="BodyText"/>
      </w:pPr>
      <w:r>
        <w:t xml:space="preserve">5.</w:t>
      </w:r>
      <w:r>
        <w:t xml:space="preserve"> </w:t>
      </w:r>
      <w:r>
        <w:rPr>
          <w:iCs/>
          <w:i/>
        </w:rPr>
        <w:t xml:space="preserve">Material that belongs in the abstract and summary.</w:t>
      </w:r>
      <w:r>
        <w:t xml:space="preserve"> </w:t>
      </w:r>
      <w:r>
        <w:rPr>
          <w:iCs/>
          <w:i/>
        </w:rPr>
        <w:t xml:space="preserve">(text)</w:t>
      </w:r>
      <w:r>
        <w:t xml:space="preserve"> </w:t>
      </w:r>
      <w:r>
        <w:t xml:space="preserve">The validation battery in §1.6.3 appears in the abstract as part of</w:t>
      </w:r>
      <w:r>
        <w:t xml:space="preserve"> </w:t>
      </w:r>
      <w:r>
        <w:t xml:space="preserve">“</w:t>
      </w:r>
      <w:r>
        <w:t xml:space="preserve">a set of best practices</w:t>
      </w:r>
      <w:r>
        <w:t xml:space="preserve">”</w:t>
      </w:r>
      <w:r>
        <w:t xml:space="preserve"> </w:t>
      </w:r>
      <w:r>
        <w:t xml:space="preserve">and does not appear in §1.9. The Fig. 1.17 result (13 of 58 analyses include real observations, and 7 of 42 outside instrumentation) appears in neither. One sentence on each in the abstract and in §1.9 would put the most practical section and the one original measurement where readers look first.</w:t>
      </w:r>
    </w:p>
    <w:p>
      <w:pPr>
        <w:pStyle w:val="BodyText"/>
      </w:pPr>
      <w:r>
        <w:rPr>
          <w:bCs/>
          <w:b/>
        </w:rPr>
        <w:t xml:space="preserve">The derivation and the practical advice</w:t>
      </w:r>
    </w:p>
    <w:p>
      <w:pPr>
        <w:pStyle w:val="BodyText"/>
      </w:pPr>
      <w:r>
        <w:t xml:space="preserve">6.</w:t>
      </w:r>
      <w:r>
        <w:t xml:space="preserve"> </w:t>
      </w:r>
      <w:r>
        <w:rPr>
          <w:iCs/>
          <w:i/>
        </w:rPr>
        <w:t xml:space="preserve">Causality and merger-tree messages (§1.4.2; §1.6.1).</w:t>
      </w:r>
      <w:r>
        <w:t xml:space="preserve"> </w:t>
      </w:r>
      <w:r>
        <w:rPr>
          <w:iCs/>
          <w:i/>
        </w:rPr>
        <w:t xml:space="preserve">(text)</w:t>
      </w:r>
      <w:r>
        <w:t xml:space="preserve"> </w:t>
      </w:r>
      <w:r>
        <w:t xml:space="preserve">Both passages give causality as the reason a merger-tree message cannot depend on the receiving node (</w:t>
      </w:r>
      <w:r>
        <w:t xml:space="preserve">“</w:t>
      </w:r>
      <w:r>
        <w:t xml:space="preserve">the arrow of time bars the receiver from the message</w:t>
      </w:r>
      <w:r>
        <w:t xml:space="preserve">”</w:t>
      </w:r>
      <w:r>
        <w:t xml:space="preserve">;</w:t>
      </w:r>
      <w:r>
        <w:t xml:space="preserve"> </w:t>
      </w:r>
      <w:r>
        <w:t xml:space="preserve">“</w:t>
      </w:r>
      <w:r>
        <w:t xml:space="preserve">temporal causality disallows messages based on receiving node features</w:t>
      </w:r>
      <w:r>
        <w:t xml:space="preserve">”</w:t>
      </w:r>
      <w:r>
        <w:t xml:space="preserve">). Causality fixes the direction of the edges, which the directed graph already enforces. A message from progenitor to descendant can depend on the descendant’s state at its own snapshot without information moving backwards in time, and how a merging progenitor is absorbed plausibly depends on its host. The uniform-time-step argument in the same sentences supports SAGEConv by itself. If Mangrove tested receiver-dependent messages, that result would be a stronger reason.</w:t>
      </w:r>
    </w:p>
    <w:p>
      <w:pPr>
        <w:pStyle w:val="BodyText"/>
      </w:pPr>
      <w:r>
        <w:t xml:space="preserve">7.</w:t>
      </w:r>
      <w:r>
        <w:t xml:space="preserve"> </w:t>
      </w:r>
      <w:r>
        <w:rPr>
          <w:iCs/>
          <w:i/>
        </w:rPr>
        <w:t xml:space="preserve">The permutation case of the blueprint (§1.2.3; Appendix 1.12).</w:t>
      </w:r>
      <w:r>
        <w:t xml:space="preserve"> </w:t>
      </w:r>
      <w:r>
        <w:rPr>
          <w:iCs/>
          <w:i/>
        </w:rPr>
        <w:t xml:space="preserve">(text, or a short derivation for the optional appendix)</w:t>
      </w:r>
      <w:r>
        <w:t xml:space="preserve"> </w:t>
      </w:r>
      <w:r>
        <w:t xml:space="preserve">§1.2.3 says the permutation-equivariant linear layer</w:t>
      </w:r>
      <w:r>
        <w:t xml:space="preserve"> </w:t>
      </w:r>
      <w:r>
        <w:t xml:space="preserve">“</w:t>
      </w:r>
      <w:r>
        <w:t xml:space="preserve">is forced into the form</w:t>
      </w:r>
      <w:r>
        <w:t xml:space="preserve"> </w:t>
      </w:r>
      <w:r>
        <w:t xml:space="preserve">‘</w:t>
      </w:r>
      <w:r>
        <w:t xml:space="preserve">itself plus one shared aggregation over the rest</w:t>
      </w:r>
      <w:r>
        <w:t xml:space="preserve">’</w:t>
      </w:r>
      <w:r>
        <w:t xml:space="preserve"> </w:t>
      </w:r>
      <w:r>
        <w:t xml:space="preserve">(Appendix 1.12 proves it)</w:t>
      </w:r>
      <w:r>
        <w:t xml:space="preserve">”</w:t>
      </w:r>
      <w:r>
        <w:t xml:space="preserve">. Appendix 1.12 proves the translation case. The</w:t>
      </w:r>
      <w:r>
        <w:t xml:space="preserve"> </w:t>
      </w:r>
      <w:r>
        <w:t xml:space="preserve">“</w:t>
      </w:r>
      <w:r>
        <w:t xml:space="preserve">itself plus a shared sum</w:t>
      </w:r>
      <w:r>
        <w:t xml:space="preserve">”</w:t>
      </w:r>
      <w:r>
        <w:t xml:space="preserve"> </w:t>
      </w:r>
      <w:r>
        <w:t xml:space="preserve">form is the result for sets (Zaheer et al. 2017, Lemma 3). On a graph the permutation also acts on the adjacency, and the space of equivariant linear layers is larger (Maron et al.,</w:t>
      </w:r>
      <w:r>
        <w:t xml:space="preserve"> </w:t>
      </w:r>
      <w:hyperlink r:id="rId25">
        <w:r>
          <w:rPr>
            <w:rStyle w:val="Hyperlink"/>
          </w:rPr>
          <w:t xml:space="preserve">arXiv:1812.09902</w:t>
        </w:r>
      </w:hyperlink>
      <w:r>
        <w:t xml:space="preserve">, count 15 basis elements for edge-valued data). Reaching message passing therefore needs locality as a separate assumption, as Appendix 1.12 already says of the CNN. The smallest fix is to cite Zaheer et al. and remove the pointer. A short Appendix 1.12.2 in the style of 1.12 would complete the derivation.</w:t>
      </w:r>
    </w:p>
    <w:p>
      <w:pPr>
        <w:pStyle w:val="BodyText"/>
      </w:pPr>
      <w:r>
        <w:t xml:space="preserve">8.</w:t>
      </w:r>
      <w:r>
        <w:t xml:space="preserve"> </w:t>
      </w:r>
      <w:r>
        <w:rPr>
          <w:iCs/>
          <w:i/>
        </w:rPr>
        <w:t xml:space="preserve">Mean or sum in SAGEConv (§1.4.1; §1.6.1).</w:t>
      </w:r>
      <w:r>
        <w:t xml:space="preserve"> </w:t>
      </w:r>
      <w:r>
        <w:rPr>
          <w:iCs/>
          <w:i/>
        </w:rPr>
        <w:t xml:space="preserve">(text)</w:t>
      </w:r>
      <w:r>
        <w:t xml:space="preserve"> </w:t>
      </w:r>
      <w:r>
        <w:t xml:space="preserve">§1.4.1 defines SAGEConv with the mean aggregator. §1.6.1 recommends SAGEConv as a first layer, then advises starting with the sum because the mean</w:t>
      </w:r>
      <w:r>
        <w:t xml:space="preserve"> </w:t>
      </w:r>
      <w:r>
        <w:t xml:space="preserve">“</w:t>
      </w:r>
      <w:r>
        <w:t xml:space="preserve">is rarely the right inductive bias for physics</w:t>
      </w:r>
      <w:r>
        <w:t xml:space="preserve">”</w:t>
      </w:r>
      <w:r>
        <w:t xml:space="preserve">. Specifying SAGEConv with sum aggregation would reconcile the two. The same paragraph calls full message passing</w:t>
      </w:r>
      <w:r>
        <w:t xml:space="preserve"> </w:t>
      </w:r>
      <w:r>
        <w:t xml:space="preserve">“</w:t>
      </w:r>
      <w:r>
        <w:t xml:space="preserve">a safe default for any task</w:t>
      </w:r>
      <w:r>
        <w:t xml:space="preserve">”</w:t>
      </w:r>
      <w:r>
        <w:t xml:space="preserve"> </w:t>
      </w:r>
      <w:r>
        <w:t xml:space="preserve">and also something to</w:t>
      </w:r>
      <w:r>
        <w:t xml:space="preserve"> </w:t>
      </w:r>
      <w:r>
        <w:t xml:space="preserve">“</w:t>
      </w:r>
      <w:r>
        <w:t xml:space="preserve">reserve</w:t>
      </w:r>
      <w:r>
        <w:t xml:space="preserve">”</w:t>
      </w:r>
      <w:r>
        <w:t xml:space="preserve"> </w:t>
      </w:r>
      <w:r>
        <w:t xml:space="preserve">for when messages must depend on edge or receiver features, and one of those framings should go.</w:t>
      </w:r>
    </w:p>
    <w:p>
      <w:pPr>
        <w:pStyle w:val="BodyText"/>
      </w:pPr>
      <w:r>
        <w:t xml:space="preserve">9.</w:t>
      </w:r>
      <w:r>
        <w:t xml:space="preserve"> </w:t>
      </w:r>
      <w:r>
        <w:rPr>
          <w:iCs/>
          <w:i/>
        </w:rPr>
        <w:t xml:space="preserve">The advice on attention (§1.6.1; Table 1.2).</w:t>
      </w:r>
      <w:r>
        <w:t xml:space="preserve"> </w:t>
      </w:r>
      <w:r>
        <w:rPr>
          <w:iCs/>
          <w:i/>
        </w:rPr>
        <w:t xml:space="preserve">(text)</w:t>
      </w:r>
      <w:r>
        <w:t xml:space="preserve"> </w:t>
      </w:r>
      <w:r>
        <w:t xml:space="preserve">§1.6.1 says</w:t>
      </w:r>
      <w:r>
        <w:t xml:space="preserve"> </w:t>
      </w:r>
      <w:r>
        <w:t xml:space="preserve">“</w:t>
      </w:r>
      <w:r>
        <w:t xml:space="preserve">the attention layer tends to train unstably</w:t>
      </w:r>
      <w:r>
        <w:t xml:space="preserve">”</w:t>
      </w:r>
      <w:r>
        <w:t xml:space="preserve"> </w:t>
      </w:r>
      <w:r>
        <w:t xml:space="preserve">and reports finding it unstable</w:t>
      </w:r>
      <w:r>
        <w:t xml:space="preserve"> </w:t>
      </w:r>
      <w:r>
        <w:t xml:space="preserve">“</w:t>
      </w:r>
      <w:r>
        <w:t xml:space="preserve">for the tasks presented here</w:t>
      </w:r>
      <w:r>
        <w:t xml:space="preserve">”</w:t>
      </w:r>
      <w:r>
        <w:t xml:space="preserve">. Table 1.2 lists attentional layers for three of the surveyed works: Kololgi et al. (cosmic-web classification), Iqbal et al. (cluster masses, applied to XMM-Newton data), and Spina et al. (chemical tagging on APOGEE). Scoping the advice to the tasks you tested, or saying what distinguishes those three, would resolve the conflict with Table 1.2.</w:t>
      </w:r>
    </w:p>
    <w:p>
      <w:pPr>
        <w:pStyle w:val="BodyText"/>
      </w:pPr>
      <w:r>
        <w:t xml:space="preserve">10.</w:t>
      </w:r>
      <w:r>
        <w:t xml:space="preserve"> </w:t>
      </w:r>
      <w:r>
        <w:rPr>
          <w:iCs/>
          <w:i/>
        </w:rPr>
        <w:t xml:space="preserve">The σ₈ example (§1.4.6).</w:t>
      </w:r>
      <w:r>
        <w:t xml:space="preserve"> </w:t>
      </w:r>
      <w:r>
        <w:rPr>
          <w:iCs/>
          <w:i/>
        </w:rPr>
        <w:t xml:space="preserve">(text)</w:t>
      </w:r>
      <w:r>
        <w:t xml:space="preserve"> </w:t>
      </w:r>
      <w:r>
        <w:t xml:space="preserve">The paragraph on E(3) gives</w:t>
      </w:r>
      <w:r>
        <w:t xml:space="preserve"> </w:t>
      </w:r>
      <w:r>
        <w:t xml:space="preserve">“</w:t>
      </w:r>
      <w:r>
        <w:t xml:space="preserve">changes in clustering from changes in e.g. σ₈</w:t>
      </w:r>
      <w:r>
        <w:t xml:space="preserve">”</w:t>
      </w:r>
      <w:r>
        <w:t xml:space="preserve"> </w:t>
      </w:r>
      <w:r>
        <w:t xml:space="preserve">as an example of anisotropic physics. σ₈ sets the amplitude of clustering, which is isotropic. Redshift-space distortions or intrinsic alignments are anisotropic examples.</w:t>
      </w:r>
    </w:p>
    <w:p>
      <w:pPr>
        <w:pStyle w:val="BodyText"/>
      </w:pPr>
      <w:r>
        <w:t xml:space="preserve">11.</w:t>
      </w:r>
      <w:r>
        <w:t xml:space="preserve"> </w:t>
      </w:r>
      <w:r>
        <w:rPr>
          <w:iCs/>
          <w:i/>
        </w:rPr>
        <w:t xml:space="preserve">The lensing example for attention (§1.4.2).</w:t>
      </w:r>
      <w:r>
        <w:t xml:space="preserve"> </w:t>
      </w:r>
      <w:r>
        <w:rPr>
          <w:iCs/>
          <w:i/>
        </w:rPr>
        <w:t xml:space="preserve">(text)</w:t>
      </w:r>
      <w:r>
        <w:t xml:space="preserve"> </w:t>
      </w:r>
      <w:r>
        <w:t xml:space="preserve">Lensing magnification depends on the source–lens geometry, which lives on the edge, and does not depend on the receiver’s features or involve normalisation across neighbours. The example therefore illustrates an edge-weighted convolutional layer (the</w:t>
      </w:r>
      <w:r>
        <w:t xml:space="preserve"> </w:t>
      </w:r>
      <m:oMath>
        <m:sSub>
          <m:e>
            <m:r>
              <m:t>c</m:t>
            </m:r>
          </m:e>
          <m:sub>
            <m:r>
              <m:t>v</m:t>
            </m:r>
            <m:r>
              <m:t>u</m:t>
            </m:r>
          </m:sub>
        </m:sSub>
      </m:oMath>
      <w:r>
        <w:t xml:space="preserve"> </w:t>
      </w:r>
      <w:r>
        <w:t xml:space="preserve">of Eq. 1.1). An example in which the weight depends on the receiver’s state would fit the attentional layer.</w:t>
      </w:r>
    </w:p>
    <w:p>
      <w:pPr>
        <w:pStyle w:val="BodyText"/>
      </w:pPr>
      <w:r>
        <w:t xml:space="preserve">12.</w:t>
      </w:r>
      <w:r>
        <w:t xml:space="preserve"> </w:t>
      </w:r>
      <w:r>
        <w:rPr>
          <w:iCs/>
          <w:i/>
        </w:rPr>
        <w:t xml:space="preserve">Notation (Eqs. 1.2, 1.4, 1.6).</w:t>
      </w:r>
      <w:r>
        <w:t xml:space="preserve"> </w:t>
      </w:r>
      <w:r>
        <w:rPr>
          <w:iCs/>
          <w:i/>
        </w:rPr>
        <w:t xml:space="preserve">(text)</w:t>
      </w:r>
      <w:r>
        <w:t xml:space="preserve"> </w:t>
      </w:r>
      <w:r>
        <w:t xml:space="preserve">Eq. 1.4 uses</w:t>
      </w:r>
      <w:r>
        <w:t xml:space="preserve"> </w:t>
      </w:r>
      <m:oMath>
        <m:sSub>
          <m:e>
            <m:r>
              <m:t>N</m:t>
            </m:r>
          </m:e>
          <m:sub>
            <m:r>
              <m:t>E</m:t>
            </m:r>
          </m:sub>
        </m:sSub>
      </m:oMath>
      <w:r>
        <w:t xml:space="preserve"> </w:t>
      </w:r>
      <w:r>
        <w:t xml:space="preserve">for the total number of edges, and Eq. 1.6 uses</w:t>
      </w:r>
      <w:r>
        <w:t xml:space="preserve"> </w:t>
      </w:r>
      <m:oMath>
        <m:r>
          <m:rPr>
            <m:sty m:val="p"/>
          </m:rPr>
          <m:t>⟨</m:t>
        </m:r>
        <m:sSub>
          <m:e>
            <m:r>
              <m:t>N</m:t>
            </m:r>
          </m:e>
          <m:sub>
            <m:r>
              <m:t>E</m:t>
            </m:r>
          </m:sub>
        </m:sSub>
        <m:r>
          <m:rPr>
            <m:sty m:val="p"/>
          </m:rPr>
          <m:t>⟩</m:t>
        </m:r>
      </m:oMath>
      <w:r>
        <w:t xml:space="preserve"> </w:t>
      </w:r>
      <w:r>
        <w:t xml:space="preserve">for the number of edges per node. The mean degree</w:t>
      </w:r>
      <w:r>
        <w:t xml:space="preserve"> </w:t>
      </w:r>
      <m:oMath>
        <m:r>
          <m:rPr>
            <m:sty m:val="p"/>
          </m:rPr>
          <m:t>⟨</m:t>
        </m:r>
        <m:r>
          <m:t>k</m:t>
        </m:r>
        <m:r>
          <m:rPr>
            <m:sty m:val="p"/>
          </m:rPr>
          <m:t>⟩</m:t>
        </m:r>
      </m:oMath>
      <w:r>
        <w:t xml:space="preserve"> </w:t>
      </w:r>
      <w:r>
        <w:t xml:space="preserve">would remove the collision. Eq. 1.2 writes the attention weight as</w:t>
      </w:r>
      <w:r>
        <w:t xml:space="preserve"> </w:t>
      </w:r>
      <m:oMath>
        <m:r>
          <m:t>a</m:t>
        </m:r>
        <m:d>
          <m:dPr>
            <m:begChr m:val="("/>
            <m:endChr m:val=")"/>
            <m:sepChr m:val=""/>
            <m:grow/>
          </m:dPr>
          <m:e>
            <m:sSub>
              <m:e>
                <m:r>
                  <m:t>x</m:t>
                </m:r>
              </m:e>
              <m:sub>
                <m:r>
                  <m:t>u</m:t>
                </m:r>
              </m:sub>
            </m:sSub>
            <m:r>
              <m:rPr>
                <m:sty m:val="p"/>
              </m:rPr>
              <m:t>,</m:t>
            </m:r>
            <m:sSub>
              <m:e>
                <m:r>
                  <m:t>x</m:t>
                </m:r>
              </m:e>
              <m:sub>
                <m:r>
                  <m:t>v</m:t>
                </m:r>
              </m:sub>
            </m:sSub>
          </m:e>
        </m:d>
      </m:oMath>
      <w:r>
        <w:t xml:space="preserve">, while the social-network bullet says the weight depends on</w:t>
      </w:r>
      <w:r>
        <w:t xml:space="preserve"> </w:t>
      </w:r>
      <w:r>
        <w:t xml:space="preserve">“</w:t>
      </w:r>
      <w:r>
        <w:t xml:space="preserve">both the edge features and the features of the receiving node</w:t>
      </w:r>
      <w:r>
        <w:t xml:space="preserve">”</w:t>
      </w:r>
      <w:r>
        <w:t xml:space="preserve">.</w:t>
      </w:r>
    </w:p>
    <w:p>
      <w:pPr>
        <w:pStyle w:val="BodyText"/>
      </w:pPr>
      <w:r>
        <w:rPr>
          <w:bCs/>
          <w:b/>
        </w:rPr>
        <w:t xml:space="preserve">Credit and coverage</w:t>
      </w:r>
    </w:p>
    <w:p>
      <w:pPr>
        <w:pStyle w:val="BodyText"/>
      </w:pPr>
      <w:r>
        <w:t xml:space="preserve">13.</w:t>
      </w:r>
      <w:r>
        <w:t xml:space="preserve"> </w:t>
      </w:r>
      <w:r>
        <w:rPr>
          <w:iCs/>
          <w:i/>
        </w:rPr>
        <w:t xml:space="preserve">Sources for the practical advice.</w:t>
      </w:r>
      <w:r>
        <w:t xml:space="preserve"> </w:t>
      </w:r>
      <w:r>
        <w:rPr>
          <w:iCs/>
          <w:i/>
        </w:rPr>
        <w:t xml:space="preserve">(text)</w:t>
      </w:r>
      <w:r>
        <w:t xml:space="preserve"> </w:t>
      </w:r>
      <w:r>
        <w:t xml:space="preserve">Several recommendations are established results.</w:t>
      </w:r>
    </w:p>
    <w:p>
      <w:pPr>
        <w:pStyle w:val="BodyText"/>
      </w:pPr>
      <w:r>
        <w:t xml:space="preserve">- Concatenating several aggregators (§1.4.5, §1.6.1) is the result of Principal Neighbourhood Aggregation (Corso et al.,</w:t>
      </w:r>
      <w:r>
        <w:t xml:space="preserve"> </w:t>
      </w:r>
      <w:hyperlink r:id="rId26">
        <w:r>
          <w:rPr>
            <w:rStyle w:val="Hyperlink"/>
          </w:rPr>
          <w:t xml:space="preserve">arXiv:2004.05718</w:t>
        </w:r>
      </w:hyperlink>
      <w:r>
        <w:t xml:space="preserve">), which proves that multiple aggregators are needed for continuous features.</w:t>
      </w:r>
    </w:p>
    <w:p>
      <w:pPr>
        <w:pStyle w:val="BodyText"/>
      </w:pPr>
      <w:r>
        <w:t xml:space="preserve">- Oversmoothing (§1.6.5): Oono &amp; Suzuki (</w:t>
      </w:r>
      <w:hyperlink r:id="rId27">
        <w:r>
          <w:rPr>
            <w:rStyle w:val="Hyperlink"/>
          </w:rPr>
          <w:t xml:space="preserve">arXiv:1905.10947</w:t>
        </w:r>
      </w:hyperlink>
      <w:r>
        <w:t xml:space="preserve">) give the foundational result.</w:t>
      </w:r>
    </w:p>
    <w:p>
      <w:pPr>
        <w:pStyle w:val="BodyText"/>
      </w:pPr>
      <w:r>
        <w:t xml:space="preserve">- Over-squashing (§1.6.5): Topping et al. (</w:t>
      </w:r>
      <w:hyperlink r:id="rId28">
        <w:r>
          <w:rPr>
            <w:rStyle w:val="Hyperlink"/>
          </w:rPr>
          <w:t xml:space="preserve">arXiv:2111.14522</w:t>
        </w:r>
      </w:hyperlink>
      <w:r>
        <w:t xml:space="preserve">) give the curvature mechanism, and Di Giovanni et al. (</w:t>
      </w:r>
      <w:hyperlink r:id="rId29">
        <w:r>
          <w:rPr>
            <w:rStyle w:val="Hyperlink"/>
          </w:rPr>
          <w:t xml:space="preserve">arXiv:2302.02941</w:t>
        </w:r>
      </w:hyperlink>
      <w:r>
        <w:t xml:space="preserve">) give the dependence on width, depth and topology.</w:t>
      </w:r>
    </w:p>
    <w:p>
      <w:pPr>
        <w:pStyle w:val="BodyText"/>
      </w:pPr>
      <w:r>
        <w:t xml:space="preserve">- The WL ceiling (Appendix 1.11.4): Morris et al. (</w:t>
      </w:r>
      <w:hyperlink r:id="rId30">
        <w:r>
          <w:rPr>
            <w:rStyle w:val="Hyperlink"/>
          </w:rPr>
          <w:t xml:space="preserve">arXiv:1810.02244</w:t>
        </w:r>
      </w:hyperlink>
      <w:r>
        <w:t xml:space="preserve">) is usually cited with Xu et al. and adds the k-WL hierarchy.</w:t>
      </w:r>
    </w:p>
    <w:p>
      <w:pPr>
        <w:pStyle w:val="BodyText"/>
      </w:pPr>
      <w:r>
        <w:t xml:space="preserve">- Sampling (§1.4.7): the two schemes are Cluster-GCN (Chiang et al.,</w:t>
      </w:r>
      <w:r>
        <w:t xml:space="preserve"> </w:t>
      </w:r>
      <w:hyperlink r:id="rId31">
        <w:r>
          <w:rPr>
            <w:rStyle w:val="Hyperlink"/>
          </w:rPr>
          <w:t xml:space="preserve">arXiv:1905.07953</w:t>
        </w:r>
      </w:hyperlink>
      <w:r>
        <w:t xml:space="preserve">) and GraphSAINT (Zeng et al.,</w:t>
      </w:r>
      <w:r>
        <w:t xml:space="preserve"> </w:t>
      </w:r>
      <w:hyperlink r:id="rId32">
        <w:r>
          <w:rPr>
            <w:rStyle w:val="Hyperlink"/>
          </w:rPr>
          <w:t xml:space="preserve">arXiv:1907.04931</w:t>
        </w:r>
      </w:hyperlink>
      <w:r>
        <w:t xml:space="preserve">).</w:t>
      </w:r>
    </w:p>
    <w:p>
      <w:pPr>
        <w:pStyle w:val="BodyText"/>
      </w:pPr>
      <w:r>
        <w:t xml:space="preserve">14.</w:t>
      </w:r>
      <w:r>
        <w:t xml:space="preserve"> </w:t>
      </w:r>
      <w:r>
        <w:rPr>
          <w:iCs/>
          <w:i/>
        </w:rPr>
        <w:t xml:space="preserve">Learned adjacency (§1.3.2.2).</w:t>
      </w:r>
      <w:r>
        <w:t xml:space="preserve"> </w:t>
      </w:r>
      <w:r>
        <w:rPr>
          <w:iCs/>
          <w:i/>
        </w:rPr>
        <w:t xml:space="preserve">(text)</w:t>
      </w:r>
      <w:r>
        <w:t xml:space="preserve"> </w:t>
      </w:r>
      <w:r>
        <w:t xml:space="preserve">The third construction option cites Ørsøe et al. (2025), the GraphNeT 2.0 library paper, and calls learning the adjacency</w:t>
      </w:r>
      <w:r>
        <w:t xml:space="preserve"> </w:t>
      </w:r>
      <w:r>
        <w:t xml:space="preserve">“</w:t>
      </w:r>
      <w:r>
        <w:t xml:space="preserve">otherwise rare in the literature</w:t>
      </w:r>
      <w:r>
        <w:t xml:space="preserve">”</w:t>
      </w:r>
      <w:r>
        <w:t xml:space="preserve">. Latent graph learning is an established area. Neural relational inference infers the interaction graph of a particle system (Kipf et al.,</w:t>
      </w:r>
      <w:r>
        <w:t xml:space="preserve"> </w:t>
      </w:r>
      <w:hyperlink r:id="rId33">
        <w:r>
          <w:rPr>
            <w:rStyle w:val="Hyperlink"/>
          </w:rPr>
          <w:t xml:space="preserve">arXiv:1802.04687</w:t>
        </w:r>
      </w:hyperlink>
      <w:r>
        <w:t xml:space="preserve">). EdgeConv rebuilds a k-NN graph in feature space at every layer (Wang et al.,</w:t>
      </w:r>
      <w:r>
        <w:t xml:space="preserve"> </w:t>
      </w:r>
      <w:hyperlink r:id="rId34">
        <w:r>
          <w:rPr>
            <w:rStyle w:val="Hyperlink"/>
          </w:rPr>
          <w:t xml:space="preserve">arXiv:1801.07829</w:t>
        </w:r>
      </w:hyperlink>
      <w:r>
        <w:t xml:space="preserve">). The differentiable graph module learns the edge set end to end (Kazi et al.,</w:t>
      </w:r>
      <w:r>
        <w:t xml:space="preserve"> </w:t>
      </w:r>
      <w:hyperlink r:id="rId35">
        <w:r>
          <w:rPr>
            <w:rStyle w:val="Hyperlink"/>
          </w:rPr>
          <w:t xml:space="preserve">arXiv:2002.04999</w:t>
        </w:r>
      </w:hyperlink>
      <w:r>
        <w:t xml:space="preserve">). DynEdge, behind the IceCube results cited in §1.5.5, is built on EdgeConv.</w:t>
      </w:r>
    </w:p>
    <w:p>
      <w:pPr>
        <w:pStyle w:val="BodyText"/>
      </w:pPr>
      <w:r>
        <w:t xml:space="preserve">15.</w:t>
      </w:r>
      <w:r>
        <w:t xml:space="preserve"> </w:t>
      </w:r>
      <w:r>
        <w:rPr>
          <w:iCs/>
          <w:i/>
        </w:rPr>
        <w:t xml:space="preserve">Villar et al. (§1.4.5).</w:t>
      </w:r>
      <w:r>
        <w:t xml:space="preserve"> </w:t>
      </w:r>
      <w:r>
        <w:rPr>
          <w:iCs/>
          <w:i/>
        </w:rPr>
        <w:t xml:space="preserve">(text)</w:t>
      </w:r>
      <w:r>
        <w:t xml:space="preserve"> </w:t>
      </w:r>
      <w:r>
        <w:t xml:space="preserve">The sentence</w:t>
      </w:r>
      <w:r>
        <w:t xml:space="preserve"> </w:t>
      </w:r>
      <w:r>
        <w:t xml:space="preserve">“</w:t>
      </w:r>
      <w:r>
        <w:t xml:space="preserve">invariant scalar summaries of this kind are, in a precise sense, all one ever needs (Villar et al., 2021)</w:t>
      </w:r>
      <w:r>
        <w:t xml:space="preserve">”</w:t>
      </w:r>
      <w:r>
        <w:t xml:space="preserve"> </w:t>
      </w:r>
      <w:r>
        <w:t xml:space="preserve">sits in a passage about pooling over nodes. Villar et al. prove that O(d)-equivariant functions of vector inputs can be written in terms of scalar invariants such as inner products. The sufficiency of permutation-invariant pooling is the subject of Zaheer et al. (2017) and Xu et al. (2018), both already in the bibliography.</w:t>
      </w:r>
    </w:p>
    <w:p>
      <w:pPr>
        <w:pStyle w:val="BodyText"/>
      </w:pPr>
      <w:r>
        <w:t xml:space="preserve">16.</w:t>
      </w:r>
      <w:r>
        <w:t xml:space="preserve"> </w:t>
      </w:r>
      <w:r>
        <w:rPr>
          <w:iCs/>
          <w:i/>
        </w:rPr>
        <w:t xml:space="preserve">Descriptions of your own papers (§1.5.2).</w:t>
      </w:r>
      <w:r>
        <w:t xml:space="preserve"> </w:t>
      </w:r>
      <w:r>
        <w:rPr>
          <w:iCs/>
          <w:i/>
        </w:rPr>
        <w:t xml:space="preserve">(text)</w:t>
      </w:r>
    </w:p>
    <w:p>
      <w:pPr>
        <w:pStyle w:val="BodyText"/>
      </w:pPr>
      <w:r>
        <w:t xml:space="preserve">- The section calls the merger-tree result</w:t>
      </w:r>
      <w:r>
        <w:t xml:space="preserve"> </w:t>
      </w:r>
      <w:r>
        <w:t xml:space="preserve">“</w:t>
      </w:r>
      <w:r>
        <w:t xml:space="preserve">the best possible performance</w:t>
      </w:r>
      <w:r>
        <w:t xml:space="preserve">”</w:t>
      </w:r>
      <w:r>
        <w:t xml:space="preserve">. Chuang et al. (2024) define a chaotic uncertainty limit (the scatter between runs that differ by a small perturbation at z = 5) for particular quantities and do not claim to reach it for every property.</w:t>
      </w:r>
    </w:p>
    <w:p>
      <w:pPr>
        <w:pStyle w:val="BodyText"/>
      </w:pPr>
      <w:r>
        <w:t xml:space="preserve">- The section says Mangrove is</w:t>
      </w:r>
      <w:r>
        <w:t xml:space="preserve"> </w:t>
      </w:r>
      <w:r>
        <w:t xml:space="preserve">“</w:t>
      </w:r>
      <w:r>
        <w:t xml:space="preserve">many orders of magnitude faster</w:t>
      </w:r>
      <w:r>
        <w:t xml:space="preserve">”</w:t>
      </w:r>
      <w:r>
        <w:t xml:space="preserve"> </w:t>
      </w:r>
      <w:r>
        <w:t xml:space="preserve">than the SAM. The Mangrove abstract gives four orders of magnitude (40 s for the full box).</w:t>
      </w:r>
    </w:p>
    <w:p>
      <w:pPr>
        <w:pStyle w:val="BodyText"/>
      </w:pPr>
      <w:r>
        <w:t xml:space="preserve">- The section also credits Mangrove with</w:t>
      </w:r>
      <w:r>
        <w:t xml:space="preserve"> </w:t>
      </w:r>
      <w:r>
        <w:t xml:space="preserve">“</w:t>
      </w:r>
      <w:r>
        <w:t xml:space="preserve">similar accuracy to the original SAM</w:t>
      </w:r>
      <w:r>
        <w:t xml:space="preserve">”</w:t>
      </w:r>
      <w:r>
        <w:t xml:space="preserve">, which is ambiguous because the SAM is the emulation target. The Mangrove abstract reports rms errors up to two times lower than other methods, which is the stronger statement.</w:t>
      </w:r>
    </w:p>
    <w:p>
      <w:pPr>
        <w:pStyle w:val="BodyText"/>
      </w:pPr>
      <w:r>
        <w:t xml:space="preserve">17.</w:t>
      </w:r>
      <w:r>
        <w:t xml:space="preserve"> </w:t>
      </w:r>
      <w:r>
        <w:rPr>
          <w:iCs/>
          <w:i/>
        </w:rPr>
        <w:t xml:space="preserve">Descriptions of cited papers.</w:t>
      </w:r>
      <w:r>
        <w:t xml:space="preserve"> </w:t>
      </w:r>
      <w:r>
        <w:rPr>
          <w:iCs/>
          <w:i/>
        </w:rPr>
        <w:t xml:space="preserve">(text)</w:t>
      </w:r>
      <w:r>
        <w:t xml:space="preserve"> </w:t>
      </w:r>
      <w:r>
        <w:t xml:space="preserve">Each is a phrase-level change.</w:t>
      </w:r>
    </w:p>
    <w:p>
      <w:pPr>
        <w:pStyle w:val="BodyText"/>
      </w:pPr>
      <w:r>
        <w:t xml:space="preserve">- Berni et al. (2025), §1.5.3. The GNN is one stage of the Creek pipeline (with Siamese networks and autoencoders), and OPTICS performs the clustering.</w:t>
      </w:r>
    </w:p>
    <w:p>
      <w:pPr>
        <w:pStyle w:val="BodyText"/>
      </w:pPr>
      <w:r>
        <w:t xml:space="preserve">- Lee et al. (2024), §1.5.1. The architecture is Minkowski-PointNet.</w:t>
      </w:r>
    </w:p>
    <w:p>
      <w:pPr>
        <w:pStyle w:val="BodyText"/>
      </w:pPr>
      <w:r>
        <w:t xml:space="preserve">- Lee &amp; Villaescusa-Navarro (2025), §1.5.1 and §1.7. The authors describe a topological neural network on a combinatorial complex.</w:t>
      </w:r>
    </w:p>
    <w:p>
      <w:pPr>
        <w:pStyle w:val="BodyText"/>
      </w:pPr>
      <w:r>
        <w:t xml:space="preserve">- Kololgi et al., §1.3.2.2 and §1.5.1. A graph attention network on ten metrics derived from a Delaunay triangulation, now in RAS Techniques and Instruments (2026).</w:t>
      </w:r>
    </w:p>
    <w:p>
      <w:pPr>
        <w:pStyle w:val="BodyText"/>
      </w:pPr>
      <w:r>
        <w:t xml:space="preserve">- Sun et al. (2026), §1.5.5. The paper reports</w:t>
      </w:r>
      <w:r>
        <w:t xml:space="preserve"> </w:t>
      </w:r>
      <w:r>
        <w:t xml:space="preserve">“</w:t>
      </w:r>
      <w:r>
        <w:t xml:space="preserve">up to 99.71%</w:t>
      </w:r>
      <w:r>
        <w:t xml:space="preserve">”</w:t>
      </w:r>
      <w:r>
        <w:t xml:space="preserve"> </w:t>
      </w:r>
      <w:r>
        <w:t xml:space="preserve">of the optimum, a best case.</w:t>
      </w:r>
    </w:p>
    <w:p>
      <w:pPr>
        <w:pStyle w:val="BodyText"/>
      </w:pPr>
      <w:r>
        <w:t xml:space="preserve">- Bechler-Speicher et al. (2023), §1.6.2. GNNs over-use an uninformative graph even when ignoring it would be better, which is weaker than</w:t>
      </w:r>
      <w:r>
        <w:t xml:space="preserve"> </w:t>
      </w:r>
      <w:r>
        <w:t xml:space="preserve">“</w:t>
      </w:r>
      <w:r>
        <w:t xml:space="preserve">a wrong one completely misleads</w:t>
      </w:r>
      <w:r>
        <w:t xml:space="preserve">”</w:t>
      </w:r>
      <w:r>
        <w:t xml:space="preserve">. Published at ICML 2024.</w:t>
      </w:r>
    </w:p>
    <w:p>
      <w:pPr>
        <w:pStyle w:val="BodyText"/>
      </w:pPr>
      <w:r>
        <w:t xml:space="preserve">- Finzi et al. (2021), §1.6.2. Residual pathway priors match hard constraints under exact symmetry and are more robust when the symmetry is misspecified.</w:t>
      </w:r>
    </w:p>
    <w:p>
      <w:pPr>
        <w:pStyle w:val="BodyText"/>
      </w:pPr>
      <w:r>
        <w:t xml:space="preserve">- Spina et al. (2025), §1.5.3. Abundances are the node features, and orbital similarity and age define the edges.</w:t>
      </w:r>
    </w:p>
    <w:p>
      <w:pPr>
        <w:pStyle w:val="BodyText"/>
      </w:pPr>
      <w:r>
        <w:t xml:space="preserve">18.</w:t>
      </w:r>
      <w:r>
        <w:t xml:space="preserve"> </w:t>
      </w:r>
      <w:r>
        <w:rPr>
          <w:iCs/>
          <w:i/>
        </w:rPr>
        <w:t xml:space="preserve">Equivariant architectures (§1.4.6).</w:t>
      </w:r>
      <w:r>
        <w:t xml:space="preserve"> </w:t>
      </w:r>
      <w:r>
        <w:rPr>
          <w:iCs/>
          <w:i/>
        </w:rPr>
        <w:t xml:space="preserve">(text)</w:t>
      </w:r>
      <w:r>
        <w:t xml:space="preserve"> </w:t>
      </w:r>
      <w:r>
        <w:t xml:space="preserve">For a chapter organised around geometry, the equivariant family gets one sentence and one entry point (Satorras et al.). A short paragraph could name these.</w:t>
      </w:r>
    </w:p>
    <w:p>
      <w:pPr>
        <w:pStyle w:val="BodyText"/>
      </w:pPr>
      <w:r>
        <w:t xml:space="preserve">- Tensor Field Networks (</w:t>
      </w:r>
      <w:hyperlink r:id="rId36">
        <w:r>
          <w:rPr>
            <w:rStyle w:val="Hyperlink"/>
          </w:rPr>
          <w:t xml:space="preserve">arXiv:1802.08219</w:t>
        </w:r>
      </w:hyperlink>
      <w:r>
        <w:t xml:space="preserve">), the origin of the tensor-feature construction the sentence mentions.</w:t>
      </w:r>
    </w:p>
    <w:p>
      <w:pPr>
        <w:pStyle w:val="BodyText"/>
      </w:pPr>
      <w:r>
        <w:t xml:space="preserve">- SEGNN (</w:t>
      </w:r>
      <w:hyperlink r:id="rId37">
        <w:r>
          <w:rPr>
            <w:rStyle w:val="Hyperlink"/>
          </w:rPr>
          <w:t xml:space="preserve">arXiv:2110.02905</w:t>
        </w:r>
      </w:hyperlink>
      <w:r>
        <w:t xml:space="preserve">), the steerable generalisation of Satorras et al.</w:t>
      </w:r>
    </w:p>
    <w:p>
      <w:pPr>
        <w:pStyle w:val="BodyText"/>
      </w:pPr>
      <w:r>
        <w:t xml:space="preserve">- e3nn (</w:t>
      </w:r>
      <w:hyperlink r:id="rId38">
        <w:r>
          <w:rPr>
            <w:rStyle w:val="Hyperlink"/>
          </w:rPr>
          <w:t xml:space="preserve">arXiv:2207.09453</w:t>
        </w:r>
      </w:hyperlink>
      <w:r>
        <w:t xml:space="preserve">), a widely used library for these networks.</w:t>
      </w:r>
    </w:p>
    <w:p>
      <w:pPr>
        <w:pStyle w:val="BodyText"/>
      </w:pPr>
      <w:r>
        <w:t xml:space="preserve">- SE(3)-Transformers (</w:t>
      </w:r>
      <w:hyperlink r:id="rId39">
        <w:r>
          <w:rPr>
            <w:rStyle w:val="Hyperlink"/>
          </w:rPr>
          <w:t xml:space="preserve">arXiv:2006.10503</w:t>
        </w:r>
      </w:hyperlink>
      <w:r>
        <w:t xml:space="preserve">), which connect the attentional layer to equivariance.</w:t>
      </w:r>
    </w:p>
    <w:p>
      <w:pPr>
        <w:pStyle w:val="BodyText"/>
      </w:pPr>
      <w:r>
        <w:t xml:space="preserve">- NequIP (</w:t>
      </w:r>
      <w:hyperlink r:id="rId40">
        <w:r>
          <w:rPr>
            <w:rStyle w:val="Hyperlink"/>
          </w:rPr>
          <w:t xml:space="preserve">arXiv:2101.03164</w:t>
        </w:r>
      </w:hyperlink>
      <w:r>
        <w:t xml:space="preserve">) and MACE (</w:t>
      </w:r>
      <w:hyperlink r:id="rId41">
        <w:r>
          <w:rPr>
            <w:rStyle w:val="Hyperlink"/>
          </w:rPr>
          <w:t xml:space="preserve">arXiv:2206.07697</w:t>
        </w:r>
      </w:hyperlink>
      <w:r>
        <w:t xml:space="preserve">).</w:t>
      </w:r>
    </w:p>
    <w:p>
      <w:pPr>
        <w:pStyle w:val="BodyText"/>
      </w:pPr>
      <w:r>
        <w:t xml:space="preserve">- Balla et al. (</w:t>
      </w:r>
      <w:hyperlink r:id="rId42">
        <w:r>
          <w:rPr>
            <w:rStyle w:val="Hyperlink"/>
          </w:rPr>
          <w:t xml:space="preserve">arXiv:2410.20516</w:t>
        </w:r>
      </w:hyperlink>
      <w:r>
        <w:t xml:space="preserve">), who benchmark symmetry-preserving models on cosmological point clouds and report limits on long-range information. That result bears on both §1.4.6 and §1.6.5.</w:t>
      </w:r>
    </w:p>
    <w:p>
      <w:pPr>
        <w:pStyle w:val="BodyText"/>
      </w:pPr>
      <w:r>
        <w:t xml:space="preserve">19.</w:t>
      </w:r>
      <w:r>
        <w:t xml:space="preserve"> </w:t>
      </w:r>
      <w:r>
        <w:rPr>
          <w:iCs/>
          <w:i/>
        </w:rPr>
        <w:t xml:space="preserve">Coverage of applications (§1.5).</w:t>
      </w:r>
      <w:r>
        <w:t xml:space="preserve"> </w:t>
      </w:r>
      <w:r>
        <w:rPr>
          <w:iCs/>
          <w:i/>
        </w:rPr>
        <w:t xml:space="preserve">(text)</w:t>
      </w:r>
      <w:r>
        <w:t xml:space="preserve"> </w:t>
      </w:r>
      <w:r>
        <w:t xml:space="preserve">The survey has no entry for gamma-ray and air-shower arrays (for example Glombitza et al.,</w:t>
      </w:r>
      <w:r>
        <w:t xml:space="preserve"> </w:t>
      </w:r>
      <w:hyperlink r:id="rId43">
        <w:r>
          <w:rPr>
            <w:rStyle w:val="Hyperlink"/>
          </w:rPr>
          <w:t xml:space="preserve">arXiv:2411.16565</w:t>
        </w:r>
      </w:hyperlink>
      <w:r>
        <w:t xml:space="preserve">) or for neutrino telescopes other than IceCube (KM3NeT, Reck et al.,</w:t>
      </w:r>
      <w:r>
        <w:t xml:space="preserve"> </w:t>
      </w:r>
      <w:hyperlink r:id="rId44">
        <w:r>
          <w:rPr>
            <w:rStyle w:val="Hyperlink"/>
          </w:rPr>
          <w:t xml:space="preserve">arXiv:2107.13375</w:t>
        </w:r>
      </w:hyperlink>
      <w:r>
        <w:t xml:space="preserve">). I also found no GNN work on pulsars or fast radio bursts, strong-lens finding, exoplanet transits, photometric redshifts, or solar physics. A sentence naming those as open areas would add to §1.7.</w:t>
      </w:r>
    </w:p>
    <w:p>
      <w:pPr>
        <w:pStyle w:val="BodyText"/>
      </w:pPr>
      <w:r>
        <w:rPr>
          <w:bCs/>
          <w:b/>
        </w:rPr>
        <w:t xml:space="preserve">Figures and tables</w:t>
      </w:r>
    </w:p>
    <w:p>
      <w:pPr>
        <w:pStyle w:val="BodyText"/>
      </w:pPr>
      <w:r>
        <w:t xml:space="preserve">20.</w:t>
      </w:r>
      <w:r>
        <w:t xml:space="preserve"> </w:t>
      </w:r>
      <w:r>
        <w:rPr>
          <w:iCs/>
          <w:i/>
        </w:rPr>
        <w:t xml:space="preserve">Fig. 1.12 and the scale argument (§1.3.2.2).</w:t>
      </w:r>
      <w:r>
        <w:t xml:space="preserve"> </w:t>
      </w:r>
      <w:r>
        <w:rPr>
          <w:iCs/>
          <w:i/>
        </w:rPr>
        <w:t xml:space="preserve">(text)</w:t>
      </w:r>
      <w:r>
        <w:t xml:space="preserve"> </w:t>
      </w:r>
      <w:r>
        <w:t xml:space="preserve">The caption says the figure</w:t>
      </w:r>
      <w:r>
        <w:t xml:space="preserve"> </w:t>
      </w:r>
      <w:r>
        <w:t xml:space="preserve">“</w:t>
      </w:r>
      <w:r>
        <w:t xml:space="preserve">reveals how much of the galaxy–halo connection lives at each scale</w:t>
      </w:r>
      <w:r>
        <w:t xml:space="preserve">”</w:t>
      </w:r>
      <w:r>
        <w:t xml:space="preserve">, and §1.3.2.2 says the same of the linking-length dependence. The GNN error is still decreasing at L = 10 Mpc, the edge of the plotted range, so the curve does not yet identify a scale. Below about 0.5 Mpc the GNN is less accurate than all three EBM baselines. The y-axis spans 0.148 to 0.170 dex, and the gap at 10 Mpc is about 0.012 dex. A caption that gives the size of the improvement and notes that the curve has not flattened would match the figure.</w:t>
      </w:r>
    </w:p>
    <w:p>
      <w:pPr>
        <w:pStyle w:val="BodyText"/>
      </w:pPr>
      <w:r>
        <w:t xml:space="preserve">21.</w:t>
      </w:r>
      <w:r>
        <w:t xml:space="preserve"> </w:t>
      </w:r>
      <w:r>
        <w:rPr>
          <w:iCs/>
          <w:i/>
        </w:rPr>
        <w:t xml:space="preserve">Fig. 1.17 and its counts (§1.7).</w:t>
      </w:r>
      <w:r>
        <w:t xml:space="preserve"> </w:t>
      </w:r>
      <w:r>
        <w:rPr>
          <w:iCs/>
          <w:i/>
        </w:rPr>
        <w:t xml:space="preserve">(figure)</w:t>
      </w:r>
      <w:r>
        <w:t xml:space="preserve"> </w:t>
      </w:r>
      <w:r>
        <w:t xml:space="preserve">The figure is the chapter’s one original measurement, and a reader cannot reproduce it. Neither the caption nor §1.7 says what counts as an analysis or as including real observations, and the per-paper classification is not given. Table 1.2’s</w:t>
      </w:r>
      <w:r>
        <w:t xml:space="preserve"> </w:t>
      </w:r>
      <w:r>
        <w:t xml:space="preserve">“</w:t>
      </w:r>
      <w:r>
        <w:t xml:space="preserve">Real data</w:t>
      </w:r>
      <w:r>
        <w:t xml:space="preserve">”</w:t>
      </w:r>
      <w:r>
        <w:t xml:space="preserve"> </w:t>
      </w:r>
      <w:r>
        <w:t xml:space="preserve">column marks a row if any analysis in it used real data, so the table and figure count different things. The bars go from 13 in 2023 to 7 in 2024 and 17 in 2025, which may reflect the bibliography more than the field. Stating the criteria in the caption and publishing the classification (an appendix table, or Table 1.2 with one row per analysis) would make the figure checkable. §1.7 also says</w:t>
      </w:r>
      <w:r>
        <w:t xml:space="preserve"> </w:t>
      </w:r>
      <w:r>
        <w:t xml:space="preserve">“</w:t>
      </w:r>
      <w:r>
        <w:t xml:space="preserve">roughly sixty</w:t>
      </w:r>
      <w:r>
        <w:t xml:space="preserve">”</w:t>
      </w:r>
      <w:r>
        <w:t xml:space="preserve"> </w:t>
      </w:r>
      <w:r>
        <w:t xml:space="preserve">where the figure says 58.</w:t>
      </w:r>
    </w:p>
    <w:p>
      <w:pPr>
        <w:pStyle w:val="BodyText"/>
      </w:pPr>
      <w:r>
        <w:t xml:space="preserve">22.</w:t>
      </w:r>
      <w:r>
        <w:t xml:space="preserve"> </w:t>
      </w:r>
      <w:r>
        <w:rPr>
          <w:iCs/>
          <w:i/>
        </w:rPr>
        <w:t xml:space="preserve">Table 1.2 layout.</w:t>
      </w:r>
      <w:r>
        <w:t xml:space="preserve"> </w:t>
      </w:r>
      <w:r>
        <w:rPr>
          <w:iCs/>
          <w:i/>
        </w:rPr>
        <w:t xml:space="preserve">(figure)</w:t>
      </w:r>
      <w:r>
        <w:t xml:space="preserve"> </w:t>
      </w:r>
      <w:r>
        <w:t xml:space="preserve">The table is set sideways in small type. It is the chapter’s main summary of the literature, and in print the reader has to rotate the book. Splitting it by subfield, or moving it to an appendix at full width, would help.</w:t>
      </w:r>
    </w:p>
    <w:p>
      <w:pPr>
        <w:pStyle w:val="BodyText"/>
      </w:pPr>
      <w:r>
        <w:rPr>
          <w:bCs/>
          <w:b/>
        </w:rPr>
        <w:t xml:space="preserve">Bibliography and minor items</w:t>
      </w:r>
    </w:p>
    <w:p>
      <w:pPr>
        <w:pStyle w:val="BodyText"/>
      </w:pPr>
      <w:r>
        <w:t xml:space="preserve">23.</w:t>
      </w:r>
      <w:r>
        <w:t xml:space="preserve"> </w:t>
      </w:r>
      <w:r>
        <w:rPr>
          <w:iCs/>
          <w:i/>
        </w:rPr>
        <w:t xml:space="preserve">Citations to the wrong kind of source.</w:t>
      </w:r>
      <w:r>
        <w:t xml:space="preserve"> </w:t>
      </w:r>
      <w:r>
        <w:rPr>
          <w:iCs/>
          <w:i/>
        </w:rPr>
        <w:t xml:space="preserve">(text)</w:t>
      </w:r>
    </w:p>
    <w:p>
      <w:pPr>
        <w:pStyle w:val="BodyText"/>
      </w:pPr>
      <w:r>
        <w:t xml:space="preserve">- Jespersen et al. (2021) is a project webpage (astrockragh.github.io). It is cited in §1.3.2.2 and §1.5.5 alongside peer-reviewed IceCube papers.</w:t>
      </w:r>
    </w:p>
    <w:p>
      <w:pPr>
        <w:pStyle w:val="BodyText"/>
      </w:pPr>
      <w:r>
        <w:t xml:space="preserve">- Yang &amp; Yu (2023) is a network-theory model of halo clustering (a random graph with preferential attachment,</w:t>
      </w:r>
      <w:r>
        <w:t xml:space="preserve"> </w:t>
      </w:r>
      <w:hyperlink r:id="rId45">
        <w:r>
          <w:rPr>
            <w:rStyle w:val="Hyperlink"/>
          </w:rPr>
          <w:t xml:space="preserve">arXiv:2206.05578</w:t>
        </w:r>
      </w:hyperlink>
      <w:r>
        <w:t xml:space="preserve">) and contains no GNN and no cosmological inference. §1.5.1 cites it among GNNs that constrain</w:t>
      </w:r>
      <w:r>
        <w:t xml:space="preserve"> </w:t>
      </w:r>
      <m:oMath>
        <m:sSub>
          <m:e>
            <m:r>
              <m:t>Ω</m:t>
            </m:r>
          </m:e>
          <m:sub>
            <m:r>
              <m:t>m</m:t>
            </m:r>
          </m:sub>
        </m:sSub>
      </m:oMath>
      <w:r>
        <w:t xml:space="preserve"> </w:t>
      </w:r>
      <w:r>
        <w:t xml:space="preserve">and</w:t>
      </w:r>
      <w:r>
        <w:t xml:space="preserve"> </w:t>
      </w:r>
      <m:oMath>
        <m:sSub>
          <m:e>
            <m:r>
              <m:t>σ</m:t>
            </m:r>
          </m:e>
          <m:sub>
            <m:r>
              <m:t>8</m:t>
            </m:r>
          </m:sub>
        </m:sSub>
      </m:oMath>
      <w:r>
        <w:t xml:space="preserve">.</w:t>
      </w:r>
    </w:p>
    <w:p>
      <w:pPr>
        <w:pStyle w:val="BodyText"/>
      </w:pPr>
      <w:r>
        <w:t xml:space="preserve">- Rossi et al. (2020) is the Temporal Graph Networks paper, cited in §1.7 as a reference for LSST. Its bibliography entry has no identifier.</w:t>
      </w:r>
    </w:p>
    <w:p>
      <w:pPr>
        <w:pStyle w:val="BodyText"/>
      </w:pPr>
      <w:r>
        <w:t xml:space="preserve">24.</w:t>
      </w:r>
      <w:r>
        <w:t xml:space="preserve"> </w:t>
      </w:r>
      <w:r>
        <w:rPr>
          <w:iCs/>
          <w:i/>
        </w:rPr>
        <w:t xml:space="preserve">Bibliography mechanics.</w:t>
      </w:r>
      <w:r>
        <w:t xml:space="preserve"> </w:t>
      </w:r>
      <w:r>
        <w:rPr>
          <w:iCs/>
          <w:i/>
        </w:rPr>
        <w:t xml:space="preserve">(text)</w:t>
      </w:r>
      <w:r>
        <w:t xml:space="preserve"> </w:t>
      </w:r>
      <w:r>
        <w:t xml:space="preserve">Fig. 1.10 cites Lino et al. (2021), Longa et al. (2023), ClusterGCN and FastGCN, and none of these has a bibliography entry. The Iqbal et al. entry is incomplete (A&amp;A 704, A334, 2025). Preprint and publication years are mixed (Kipf &amp; Welling as 2016 for ICLR 2017, Bechler-Speicher et al. as 2023 for ICML 2024, Arnaiz-Rodríguez &amp; Errica as 2026 with a bare arXiv URL), and one convention applied in a final pass would settle it.</w:t>
      </w:r>
    </w:p>
    <w:p>
      <w:pPr>
        <w:pStyle w:val="BodyText"/>
      </w:pPr>
      <w:r>
        <w:t xml:space="preserve">25.</w:t>
      </w:r>
      <w:r>
        <w:t xml:space="preserve"> </w:t>
      </w:r>
      <w:r>
        <w:rPr>
          <w:iCs/>
          <w:i/>
        </w:rPr>
        <w:t xml:space="preserve">Tutorial links (§1.8).</w:t>
      </w:r>
      <w:r>
        <w:t xml:space="preserve"> </w:t>
      </w:r>
      <w:r>
        <w:rPr>
          <w:iCs/>
          <w:i/>
        </w:rPr>
        <w:t xml:space="preserve">(text)</w:t>
      </w:r>
      <w:r>
        <w:t xml:space="preserve"> </w:t>
      </w:r>
      <w:r>
        <w:t xml:space="preserve">The tutorials are linked through tinyurl redirects, and CS224W is named without a link. A Zenodo DOI or a tagged GitHub release would keep the links working for the life of the volume.</w:t>
      </w:r>
    </w:p>
    <w:p>
      <w:pPr>
        <w:pStyle w:val="BodyText"/>
      </w:pPr>
      <w:r>
        <w:t xml:space="preserve">26.</w:t>
      </w:r>
      <w:r>
        <w:t xml:space="preserve"> </w:t>
      </w:r>
      <w:r>
        <w:rPr>
          <w:iCs/>
          <w:i/>
        </w:rPr>
        <w:t xml:space="preserve">Smaller points.</w:t>
      </w:r>
      <w:r>
        <w:t xml:space="preserve"> </w:t>
      </w:r>
      <w:r>
        <w:rPr>
          <w:iCs/>
          <w:i/>
        </w:rPr>
        <w:t xml:space="preserve">(text)</w:t>
      </w:r>
      <w:r>
        <w:t xml:space="preserve"> </w:t>
      </w:r>
      <w:r>
        <w:t xml:space="preserve">The H100 timing in §1.4.7 has no source and no statement of dataset size or number of epochs.</w:t>
      </w:r>
      <w:r>
        <w:t xml:space="preserve"> </w:t>
      </w:r>
      <w:r>
        <w:t xml:space="preserve">“</w:t>
      </w:r>
      <w:r>
        <w:t xml:space="preserve">Train on ninety nodes</w:t>
      </w:r>
      <w:r>
        <w:t xml:space="preserve">”</w:t>
      </w:r>
      <w:r>
        <w:t xml:space="preserve"> </w:t>
      </w:r>
      <w:r>
        <w:t xml:space="preserve">in §1.6.1 reads like a detail carried over from a specific experiment. The text alternates between</w:t>
      </w:r>
      <w:r>
        <w:t xml:space="preserve"> </w:t>
      </w:r>
      <w:r>
        <w:t xml:space="preserve">“</w:t>
      </w:r>
      <w:r>
        <w:t xml:space="preserve">this chapter</w:t>
      </w:r>
      <w:r>
        <w:t xml:space="preserve">”</w:t>
      </w:r>
      <w:r>
        <w:t xml:space="preserve"> </w:t>
      </w:r>
      <w:r>
        <w:t xml:space="preserve">and</w:t>
      </w:r>
      <w:r>
        <w:t xml:space="preserve"> </w:t>
      </w:r>
      <w:r>
        <w:t xml:space="preserve">“</w:t>
      </w:r>
      <w:r>
        <w:t xml:space="preserve">this review</w:t>
      </w:r>
      <w:r>
        <w:t xml:space="preserve">”</w:t>
      </w:r>
      <w:r>
        <w:t xml:space="preserve">. There is no funding statement or data-availability statement, and Springer volumes usually require both.</w:t>
      </w:r>
    </w:p>
    <w:p>
      <w:pPr>
        <w:pStyle w:val="BodyText"/>
      </w:pPr>
      <w:r>
        <w:t xml:space="preserve">If any of these looks wrong to you, tell Josh and I will check it again against the source.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xiv.org/abs/1801.07829" TargetMode="External" /><Relationship Type="http://schemas.openxmlformats.org/officeDocument/2006/relationships/hyperlink" Id="rId33" Target="https://arxiv.org/abs/1802.04687" TargetMode="External" /><Relationship Type="http://schemas.openxmlformats.org/officeDocument/2006/relationships/hyperlink" Id="rId36" Target="https://arxiv.org/abs/1802.08219" TargetMode="External" /><Relationship Type="http://schemas.openxmlformats.org/officeDocument/2006/relationships/hyperlink" Id="rId30" Target="https://arxiv.org/abs/1810.02244" TargetMode="External" /><Relationship Type="http://schemas.openxmlformats.org/officeDocument/2006/relationships/hyperlink" Id="rId25" Target="https://arxiv.org/abs/1812.09902" TargetMode="External" /><Relationship Type="http://schemas.openxmlformats.org/officeDocument/2006/relationships/hyperlink" Id="rId31" Target="https://arxiv.org/abs/1905.07953" TargetMode="External" /><Relationship Type="http://schemas.openxmlformats.org/officeDocument/2006/relationships/hyperlink" Id="rId27" Target="https://arxiv.org/abs/1905.10947" TargetMode="External" /><Relationship Type="http://schemas.openxmlformats.org/officeDocument/2006/relationships/hyperlink" Id="rId32" Target="https://arxiv.org/abs/1907.04931" TargetMode="External" /><Relationship Type="http://schemas.openxmlformats.org/officeDocument/2006/relationships/hyperlink" Id="rId35" Target="https://arxiv.org/abs/2002.04999" TargetMode="External" /><Relationship Type="http://schemas.openxmlformats.org/officeDocument/2006/relationships/hyperlink" Id="rId26" Target="https://arxiv.org/abs/2004.05718" TargetMode="External" /><Relationship Type="http://schemas.openxmlformats.org/officeDocument/2006/relationships/hyperlink" Id="rId39" Target="https://arxiv.org/abs/2006.10503" TargetMode="External" /><Relationship Type="http://schemas.openxmlformats.org/officeDocument/2006/relationships/hyperlink" Id="rId20" Target="https://arxiv.org/abs/2007.13681" TargetMode="External" /><Relationship Type="http://schemas.openxmlformats.org/officeDocument/2006/relationships/hyperlink" Id="rId22" Target="https://arxiv.org/abs/2012.01249" TargetMode="External" /><Relationship Type="http://schemas.openxmlformats.org/officeDocument/2006/relationships/hyperlink" Id="rId40" Target="https://arxiv.org/abs/2101.03164" TargetMode="External" /><Relationship Type="http://schemas.openxmlformats.org/officeDocument/2006/relationships/hyperlink" Id="rId44" Target="https://arxiv.org/abs/2107.13375" TargetMode="External" /><Relationship Type="http://schemas.openxmlformats.org/officeDocument/2006/relationships/hyperlink" Id="rId37" Target="https://arxiv.org/abs/2110.02905" TargetMode="External" /><Relationship Type="http://schemas.openxmlformats.org/officeDocument/2006/relationships/hyperlink" Id="rId28" Target="https://arxiv.org/abs/2111.14522" TargetMode="External" /><Relationship Type="http://schemas.openxmlformats.org/officeDocument/2006/relationships/hyperlink" Id="rId21" Target="https://arxiv.org/abs/2203.12852" TargetMode="External" /><Relationship Type="http://schemas.openxmlformats.org/officeDocument/2006/relationships/hyperlink" Id="rId45" Target="https://arxiv.org/abs/2206.05578" TargetMode="External" /><Relationship Type="http://schemas.openxmlformats.org/officeDocument/2006/relationships/hyperlink" Id="rId41" Target="https://arxiv.org/abs/2206.07697" TargetMode="External" /><Relationship Type="http://schemas.openxmlformats.org/officeDocument/2006/relationships/hyperlink" Id="rId38" Target="https://arxiv.org/abs/2207.09453" TargetMode="External" /><Relationship Type="http://schemas.openxmlformats.org/officeDocument/2006/relationships/hyperlink" Id="rId23" Target="https://arxiv.org/abs/2210.11487" TargetMode="External" /><Relationship Type="http://schemas.openxmlformats.org/officeDocument/2006/relationships/hyperlink" Id="rId29" Target="https://arxiv.org/abs/2302.02941" TargetMode="External" /><Relationship Type="http://schemas.openxmlformats.org/officeDocument/2006/relationships/hyperlink" Id="rId42" Target="https://arxiv.org/abs/2410.20516" TargetMode="External" /><Relationship Type="http://schemas.openxmlformats.org/officeDocument/2006/relationships/hyperlink" Id="rId43" Target="https://arxiv.org/abs/2411.16565" TargetMode="External" /><Relationship Type="http://schemas.openxmlformats.org/officeDocument/2006/relationships/hyperlink" Id="rId24" Target="https://arxiv.org/abs/2606.30855"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abs/1801.07829" TargetMode="External" /><Relationship Type="http://schemas.openxmlformats.org/officeDocument/2006/relationships/hyperlink" Id="rId33" Target="https://arxiv.org/abs/1802.04687" TargetMode="External" /><Relationship Type="http://schemas.openxmlformats.org/officeDocument/2006/relationships/hyperlink" Id="rId36" Target="https://arxiv.org/abs/1802.08219" TargetMode="External" /><Relationship Type="http://schemas.openxmlformats.org/officeDocument/2006/relationships/hyperlink" Id="rId30" Target="https://arxiv.org/abs/1810.02244" TargetMode="External" /><Relationship Type="http://schemas.openxmlformats.org/officeDocument/2006/relationships/hyperlink" Id="rId25" Target="https://arxiv.org/abs/1812.09902" TargetMode="External" /><Relationship Type="http://schemas.openxmlformats.org/officeDocument/2006/relationships/hyperlink" Id="rId31" Target="https://arxiv.org/abs/1905.07953" TargetMode="External" /><Relationship Type="http://schemas.openxmlformats.org/officeDocument/2006/relationships/hyperlink" Id="rId27" Target="https://arxiv.org/abs/1905.10947" TargetMode="External" /><Relationship Type="http://schemas.openxmlformats.org/officeDocument/2006/relationships/hyperlink" Id="rId32" Target="https://arxiv.org/abs/1907.04931" TargetMode="External" /><Relationship Type="http://schemas.openxmlformats.org/officeDocument/2006/relationships/hyperlink" Id="rId35" Target="https://arxiv.org/abs/2002.04999" TargetMode="External" /><Relationship Type="http://schemas.openxmlformats.org/officeDocument/2006/relationships/hyperlink" Id="rId26" Target="https://arxiv.org/abs/2004.05718" TargetMode="External" /><Relationship Type="http://schemas.openxmlformats.org/officeDocument/2006/relationships/hyperlink" Id="rId39" Target="https://arxiv.org/abs/2006.10503" TargetMode="External" /><Relationship Type="http://schemas.openxmlformats.org/officeDocument/2006/relationships/hyperlink" Id="rId20" Target="https://arxiv.org/abs/2007.13681" TargetMode="External" /><Relationship Type="http://schemas.openxmlformats.org/officeDocument/2006/relationships/hyperlink" Id="rId22" Target="https://arxiv.org/abs/2012.01249" TargetMode="External" /><Relationship Type="http://schemas.openxmlformats.org/officeDocument/2006/relationships/hyperlink" Id="rId40" Target="https://arxiv.org/abs/2101.03164" TargetMode="External" /><Relationship Type="http://schemas.openxmlformats.org/officeDocument/2006/relationships/hyperlink" Id="rId44" Target="https://arxiv.org/abs/2107.13375" TargetMode="External" /><Relationship Type="http://schemas.openxmlformats.org/officeDocument/2006/relationships/hyperlink" Id="rId37" Target="https://arxiv.org/abs/2110.02905" TargetMode="External" /><Relationship Type="http://schemas.openxmlformats.org/officeDocument/2006/relationships/hyperlink" Id="rId28" Target="https://arxiv.org/abs/2111.14522" TargetMode="External" /><Relationship Type="http://schemas.openxmlformats.org/officeDocument/2006/relationships/hyperlink" Id="rId21" Target="https://arxiv.org/abs/2203.12852" TargetMode="External" /><Relationship Type="http://schemas.openxmlformats.org/officeDocument/2006/relationships/hyperlink" Id="rId45" Target="https://arxiv.org/abs/2206.05578" TargetMode="External" /><Relationship Type="http://schemas.openxmlformats.org/officeDocument/2006/relationships/hyperlink" Id="rId41" Target="https://arxiv.org/abs/2206.07697" TargetMode="External" /><Relationship Type="http://schemas.openxmlformats.org/officeDocument/2006/relationships/hyperlink" Id="rId38" Target="https://arxiv.org/abs/2207.09453" TargetMode="External" /><Relationship Type="http://schemas.openxmlformats.org/officeDocument/2006/relationships/hyperlink" Id="rId23" Target="https://arxiv.org/abs/2210.11487" TargetMode="External" /><Relationship Type="http://schemas.openxmlformats.org/officeDocument/2006/relationships/hyperlink" Id="rId29" Target="https://arxiv.org/abs/2302.02941" TargetMode="External" /><Relationship Type="http://schemas.openxmlformats.org/officeDocument/2006/relationships/hyperlink" Id="rId42" Target="https://arxiv.org/abs/2410.20516" TargetMode="External" /><Relationship Type="http://schemas.openxmlformats.org/officeDocument/2006/relationships/hyperlink" Id="rId43" Target="https://arxiv.org/abs/2411.16565" TargetMode="External" /><Relationship Type="http://schemas.openxmlformats.org/officeDocument/2006/relationships/hyperlink" Id="rId24" Target="https://arxiv.org/abs/2606.308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2026-10-06T22:03:47Z</dcterms:created>
  <dcterms:modified xsi:type="dcterms:W3CDTF">2026-10-06T22:03:47Z</dcterms:modified>
</cp:coreProperties>
</file>

<file path=docProps/custom.xml><?xml version="1.0" encoding="utf-8"?>
<Properties xmlns="http://schemas.openxmlformats.org/officeDocument/2006/custom-properties" xmlns:vt="http://schemas.openxmlformats.org/officeDocument/2006/docPropsVTypes"/>
</file>