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40" w:lineRule="auto"/>
        <w:jc w:val="center"/>
      </w:pPr>
      <w:r>
        <w:rPr>
          <w:b/>
          <w:i w:val="0"/>
          <w:color w:val="11233A"/>
          <w:sz w:val="28"/>
        </w:rPr>
        <w:t>Future University in Egypt</w:t>
      </w:r>
    </w:p>
    <w:p>
      <w:pPr>
        <w:spacing w:after="80" w:line="240" w:lineRule="auto"/>
        <w:jc w:val="center"/>
      </w:pPr>
      <w:r>
        <w:rPr>
          <w:b/>
          <w:i w:val="0"/>
          <w:color w:val="11233A"/>
          <w:sz w:val="28"/>
        </w:rPr>
        <w:t>Faculty of Engineering and Technology</w:t>
      </w:r>
    </w:p>
    <w:p>
      <w:pPr>
        <w:spacing w:before="280" w:after="120"/>
        <w:jc w:val="center"/>
      </w:pPr>
      <w:r>
        <w:drawing>
          <wp:inline xmlns:a="http://schemas.openxmlformats.org/drawingml/2006/main" xmlns:pic="http://schemas.openxmlformats.org/drawingml/2006/picture">
            <wp:extent cx="1280160" cy="1264316"/>
            <wp:docPr id="1" name="Picture 1"/>
            <wp:cNvGraphicFramePr>
              <a:graphicFrameLocks noChangeAspect="1"/>
            </wp:cNvGraphicFramePr>
            <a:graphic>
              <a:graphicData uri="http://schemas.openxmlformats.org/drawingml/2006/picture">
                <pic:pic>
                  <pic:nvPicPr>
                    <pic:cNvPr id="0" name="logo-mark-color.png"/>
                    <pic:cNvPicPr/>
                  </pic:nvPicPr>
                  <pic:blipFill>
                    <a:blip r:embed="rId9"/>
                    <a:stretch>
                      <a:fillRect/>
                    </a:stretch>
                  </pic:blipFill>
                  <pic:spPr>
                    <a:xfrm>
                      <a:off x="0" y="0"/>
                      <a:ext cx="1280160" cy="1264316"/>
                    </a:xfrm>
                    <a:prstGeom prst="rect"/>
                  </pic:spPr>
                </pic:pic>
              </a:graphicData>
            </a:graphic>
          </wp:inline>
        </w:drawing>
      </w:r>
    </w:p>
    <w:p/>
    <w:p>
      <w:pPr>
        <w:spacing w:after="40" w:line="240" w:lineRule="auto"/>
        <w:jc w:val="center"/>
      </w:pPr>
      <w:r>
        <w:rPr>
          <w:b/>
          <w:i w:val="0"/>
          <w:color w:val="2F6DB5"/>
          <w:sz w:val="60"/>
        </w:rPr>
        <w:t>Together</w:t>
      </w:r>
    </w:p>
    <w:p>
      <w:pPr>
        <w:spacing w:after="200" w:line="240" w:lineRule="auto"/>
        <w:jc w:val="center"/>
      </w:pPr>
      <w:r>
        <w:rPr>
          <w:b/>
          <w:i w:val="0"/>
          <w:color w:val="11233A"/>
          <w:sz w:val="36"/>
        </w:rPr>
        <w:t>An AI-Based Sign-Language Translator (ASL &amp; ArSL)</w:t>
      </w:r>
    </w:p>
    <w:p>
      <w:pPr>
        <w:spacing w:after="280" w:line="240" w:lineRule="auto"/>
        <w:jc w:val="center"/>
      </w:pPr>
      <w:r>
        <w:rPr>
          <w:b w:val="0"/>
          <w:i/>
          <w:color w:val="444444"/>
          <w:sz w:val="26"/>
        </w:rPr>
        <w:t>A Graduation Project Thesis</w:t>
      </w:r>
    </w:p>
    <w:p>
      <w:pPr>
        <w:spacing w:after="160" w:line="240" w:lineRule="auto"/>
        <w:jc w:val="center"/>
      </w:pPr>
      <w:r>
        <w:rPr>
          <w:b/>
          <w:i w:val="0"/>
          <w:color w:val="11233A"/>
          <w:sz w:val="32"/>
        </w:rPr>
        <w:t>By</w:t>
      </w:r>
    </w:p>
    <w:tbl>
      <w:tblPr>
        <w:tblW w:type="auto" w:w="0"/>
        <w:jc w:val="center"/>
        <w:tblLook w:firstColumn="1" w:firstRow="1" w:lastColumn="0" w:lastRow="0" w:noHBand="0" w:noVBand="1" w:val="04A0"/>
      </w:tblPr>
      <w:tblGrid>
        <w:gridCol w:w="4680"/>
        <w:gridCol w:w="4680"/>
      </w:tblGrid>
      <w:tr>
        <w:tc>
          <w:tcPr>
            <w:tcW w:type="dxa" w:w="4320"/>
          </w:tcPr>
          <w:p>
            <w:pPr>
              <w:jc w:val="left"/>
            </w:pPr>
            <w:r/>
            <w:r>
              <w:rPr>
                <w:b/>
                <w:sz w:val="24"/>
              </w:rPr>
              <w:t>Abdelfattah</w:t>
            </w:r>
          </w:p>
        </w:tc>
        <w:tc>
          <w:tcPr>
            <w:tcW w:type="dxa" w:w="2304"/>
          </w:tcPr>
          <w:p>
            <w:pPr>
              <w:jc w:val="right"/>
            </w:pPr>
            <w:r/>
            <w:r>
              <w:rPr>
                <w:sz w:val="24"/>
              </w:rPr>
              <w:t>20225889</w:t>
            </w:r>
          </w:p>
        </w:tc>
      </w:tr>
      <w:tr>
        <w:tc>
          <w:tcPr>
            <w:tcW w:type="dxa" w:w="4320"/>
          </w:tcPr>
          <w:p>
            <w:pPr>
              <w:jc w:val="left"/>
            </w:pPr>
            <w:r/>
            <w:r>
              <w:rPr>
                <w:b/>
                <w:sz w:val="24"/>
              </w:rPr>
              <w:t>Michael Abdallah</w:t>
            </w:r>
          </w:p>
        </w:tc>
        <w:tc>
          <w:tcPr>
            <w:tcW w:type="dxa" w:w="2304"/>
          </w:tcPr>
          <w:p>
            <w:pPr>
              <w:jc w:val="right"/>
            </w:pPr>
            <w:r/>
            <w:r>
              <w:rPr>
                <w:sz w:val="24"/>
              </w:rPr>
              <w:t>20213601</w:t>
            </w:r>
          </w:p>
        </w:tc>
      </w:tr>
      <w:tr>
        <w:tc>
          <w:tcPr>
            <w:tcW w:type="dxa" w:w="4320"/>
          </w:tcPr>
          <w:p>
            <w:pPr>
              <w:jc w:val="left"/>
            </w:pPr>
            <w:r/>
            <w:r>
              <w:rPr>
                <w:b/>
                <w:sz w:val="24"/>
              </w:rPr>
              <w:t>Ahmed Mohamed Nagib</w:t>
            </w:r>
          </w:p>
        </w:tc>
        <w:tc>
          <w:tcPr>
            <w:tcW w:type="dxa" w:w="2304"/>
          </w:tcPr>
          <w:p>
            <w:pPr>
              <w:jc w:val="right"/>
            </w:pPr>
            <w:r/>
            <w:r>
              <w:rPr>
                <w:sz w:val="24"/>
              </w:rPr>
              <w:t>20170423</w:t>
            </w:r>
          </w:p>
        </w:tc>
      </w:tr>
      <w:tr>
        <w:tc>
          <w:tcPr>
            <w:tcW w:type="dxa" w:w="4320"/>
          </w:tcPr>
          <w:p>
            <w:pPr>
              <w:jc w:val="left"/>
            </w:pPr>
            <w:r/>
            <w:r>
              <w:rPr>
                <w:b/>
                <w:sz w:val="24"/>
              </w:rPr>
              <w:t>Ahmed Ashraf Shawareb</w:t>
            </w:r>
          </w:p>
        </w:tc>
        <w:tc>
          <w:tcPr>
            <w:tcW w:type="dxa" w:w="2304"/>
          </w:tcPr>
          <w:p>
            <w:pPr>
              <w:jc w:val="right"/>
            </w:pPr>
            <w:r/>
            <w:r>
              <w:rPr>
                <w:sz w:val="24"/>
              </w:rPr>
              <w:t>20180097</w:t>
            </w:r>
          </w:p>
        </w:tc>
      </w:tr>
    </w:tbl>
    <w:p/>
    <w:p>
      <w:pPr>
        <w:spacing w:after="40" w:line="240" w:lineRule="auto"/>
        <w:jc w:val="center"/>
      </w:pPr>
      <w:r>
        <w:rPr>
          <w:b w:val="0"/>
          <w:i w:val="0"/>
          <w:color w:val="11233A"/>
          <w:sz w:val="24"/>
        </w:rPr>
        <w:t>Submitted to the Department of Computers and Intelligent Systems Engineering</w:t>
      </w:r>
    </w:p>
    <w:p>
      <w:pPr>
        <w:spacing w:after="40" w:line="240" w:lineRule="auto"/>
        <w:jc w:val="center"/>
      </w:pPr>
      <w:r>
        <w:rPr>
          <w:b w:val="0"/>
          <w:i w:val="0"/>
          <w:color w:val="11233A"/>
          <w:sz w:val="24"/>
        </w:rPr>
        <w:t>in Partial Fulfilment of the Requirements for the Degree of</w:t>
      </w:r>
    </w:p>
    <w:p>
      <w:pPr>
        <w:spacing w:after="280" w:line="240" w:lineRule="auto"/>
        <w:jc w:val="center"/>
      </w:pPr>
      <w:r>
        <w:rPr>
          <w:b/>
          <w:i w:val="0"/>
          <w:color w:val="11233A"/>
          <w:sz w:val="24"/>
        </w:rPr>
        <w:t>Bachelor of Science in Computers and Intelligent Systems Engineering</w:t>
      </w:r>
    </w:p>
    <w:p>
      <w:pPr>
        <w:spacing w:after="80" w:line="240" w:lineRule="auto"/>
        <w:jc w:val="center"/>
      </w:pPr>
      <w:r>
        <w:rPr>
          <w:b/>
          <w:i w:val="0"/>
          <w:color w:val="11233A"/>
          <w:sz w:val="24"/>
        </w:rPr>
        <w:t>Supervisor(s):</w:t>
      </w:r>
    </w:p>
    <w:tbl>
      <w:tblPr>
        <w:tblW w:type="auto" w:w="0"/>
        <w:jc w:val="center"/>
        <w:tblLook w:firstColumn="1" w:firstRow="1" w:lastColumn="0" w:lastRow="0" w:noHBand="0" w:noVBand="1" w:val="04A0"/>
      </w:tblPr>
      <w:tblGrid>
        <w:gridCol w:w="9360"/>
      </w:tblGrid>
      <w:tr>
        <w:tc>
          <w:tcPr>
            <w:tcW w:type="dxa" w:w="9360"/>
          </w:tcPr>
          <w:p>
            <w:pPr>
              <w:jc w:val="center"/>
            </w:pPr>
            <w:r>
              <w:rPr>
                <w:sz w:val="24"/>
              </w:rPr>
              <w:t>Prof. Medhat Awadallah</w:t>
            </w:r>
          </w:p>
        </w:tc>
      </w:tr>
      <w:tr>
        <w:tc>
          <w:tcPr>
            <w:tcW w:type="dxa" w:w="9360"/>
          </w:tcPr>
          <w:p>
            <w:pPr>
              <w:jc w:val="center"/>
            </w:pPr>
            <w:r>
              <w:rPr>
                <w:b/>
                <w:color w:val="B01A1A"/>
                <w:sz w:val="24"/>
              </w:rPr>
              <w:t>[SECOND SUPERVISOR — if any]</w:t>
            </w:r>
          </w:p>
        </w:tc>
      </w:tr>
    </w:tbl>
    <w:p/>
    <w:p>
      <w:pPr>
        <w:spacing w:after="80" w:line="240" w:lineRule="auto"/>
        <w:jc w:val="center"/>
      </w:pPr>
      <w:r>
        <w:rPr>
          <w:b/>
          <w:i w:val="0"/>
          <w:color w:val="11233A"/>
          <w:sz w:val="26"/>
        </w:rPr>
        <w:t>July 2026</w:t>
      </w:r>
    </w:p>
    <w:p>
      <w:r>
        <w:br w:type="page"/>
      </w:r>
    </w:p>
    <w:p>
      <w:pPr>
        <w:pStyle w:val="Heading1"/>
      </w:pPr>
      <w:r>
        <w:t>Declaration</w:t>
      </w:r>
    </w:p>
    <w:p>
      <w:pPr>
        <w:jc w:val="both"/>
      </w:pPr>
      <w:r>
        <w:t>We confirm that this thesis, presented for the degree of Bachelor of Science in Computers and Intelligent Systems Engineering, has been composed entirely by ourselves, has been solely the result of our own work, and has not been submitted for any other degree or professional qualification. Where the work of others has been used, it has been duly acknowledged and cited in the text.</w:t>
      </w:r>
    </w:p>
    <w:p/>
    <w:tbl>
      <w:tblPr>
        <w:tblStyle w:val="TableGrid"/>
        <w:tblW w:type="auto" w:w="0"/>
        <w:tblLook w:firstColumn="1" w:firstRow="1" w:lastColumn="0" w:lastRow="0" w:noHBand="0" w:noVBand="1" w:val="04A0"/>
      </w:tblPr>
      <w:tblGrid>
        <w:gridCol w:w="3120"/>
        <w:gridCol w:w="3120"/>
        <w:gridCol w:w="3120"/>
      </w:tblGrid>
      <w:tr>
        <w:tc>
          <w:tcPr>
            <w:tcW w:type="dxa" w:w="4320"/>
          </w:tcPr>
          <w:p>
            <w:r>
              <w:rPr>
                <w:b/>
              </w:rPr>
              <w:t>Author</w:t>
            </w:r>
          </w:p>
        </w:tc>
        <w:tc>
          <w:tcPr>
            <w:tcW w:type="dxa" w:w="2880"/>
          </w:tcPr>
          <w:p>
            <w:r>
              <w:rPr>
                <w:b/>
              </w:rPr>
              <w:t>Signature</w:t>
            </w:r>
          </w:p>
        </w:tc>
        <w:tc>
          <w:tcPr>
            <w:tcW w:type="dxa" w:w="1872"/>
          </w:tcPr>
          <w:p>
            <w:r>
              <w:rPr>
                <w:b/>
              </w:rPr>
              <w:t>Date</w:t>
            </w:r>
          </w:p>
        </w:tc>
      </w:tr>
      <w:tr>
        <w:tc>
          <w:tcPr>
            <w:tcW w:type="dxa" w:w="4320"/>
          </w:tcPr>
          <w:p>
            <w:r>
              <w:t>Abdelfattah (20225889)</w:t>
            </w:r>
          </w:p>
        </w:tc>
        <w:tc>
          <w:tcPr>
            <w:tcW w:type="dxa" w:w="2880"/>
          </w:tcPr>
          <w:p/>
        </w:tc>
        <w:tc>
          <w:tcPr>
            <w:tcW w:type="dxa" w:w="1872"/>
          </w:tcPr>
          <w:p>
            <w:r>
              <w:rPr>
                <w:color w:val="B01A1A"/>
              </w:rPr>
              <w:t>[DATE]</w:t>
            </w:r>
          </w:p>
        </w:tc>
      </w:tr>
      <w:tr>
        <w:tc>
          <w:tcPr>
            <w:tcW w:type="dxa" w:w="4320"/>
          </w:tcPr>
          <w:p>
            <w:r>
              <w:t>Michael Abdallah (20213601)</w:t>
            </w:r>
          </w:p>
        </w:tc>
        <w:tc>
          <w:tcPr>
            <w:tcW w:type="dxa" w:w="2880"/>
          </w:tcPr>
          <w:p/>
        </w:tc>
        <w:tc>
          <w:tcPr>
            <w:tcW w:type="dxa" w:w="1872"/>
          </w:tcPr>
          <w:p>
            <w:r>
              <w:rPr>
                <w:color w:val="B01A1A"/>
              </w:rPr>
              <w:t>[DATE]</w:t>
            </w:r>
          </w:p>
        </w:tc>
      </w:tr>
      <w:tr>
        <w:tc>
          <w:tcPr>
            <w:tcW w:type="dxa" w:w="4320"/>
          </w:tcPr>
          <w:p>
            <w:r>
              <w:t>Ahmed Mohamed Nagib (20170423)</w:t>
            </w:r>
          </w:p>
        </w:tc>
        <w:tc>
          <w:tcPr>
            <w:tcW w:type="dxa" w:w="2880"/>
          </w:tcPr>
          <w:p/>
        </w:tc>
        <w:tc>
          <w:tcPr>
            <w:tcW w:type="dxa" w:w="1872"/>
          </w:tcPr>
          <w:p>
            <w:r>
              <w:rPr>
                <w:color w:val="B01A1A"/>
              </w:rPr>
              <w:t>[DATE]</w:t>
            </w:r>
          </w:p>
        </w:tc>
      </w:tr>
      <w:tr>
        <w:tc>
          <w:tcPr>
            <w:tcW w:type="dxa" w:w="4320"/>
          </w:tcPr>
          <w:p>
            <w:r>
              <w:t>Ahmed Ashraf Shawareb (20180097)</w:t>
            </w:r>
          </w:p>
        </w:tc>
        <w:tc>
          <w:tcPr>
            <w:tcW w:type="dxa" w:w="2880"/>
          </w:tcPr>
          <w:p/>
        </w:tc>
        <w:tc>
          <w:tcPr>
            <w:tcW w:type="dxa" w:w="1872"/>
          </w:tcPr>
          <w:p>
            <w:r>
              <w:rPr>
                <w:color w:val="B01A1A"/>
              </w:rPr>
              <w:t>[DATE]</w:t>
            </w:r>
          </w:p>
        </w:tc>
      </w:tr>
    </w:tbl>
    <w:p>
      <w:r>
        <w:br w:type="page"/>
      </w:r>
    </w:p>
    <w:p>
      <w:pPr>
        <w:pStyle w:val="Heading1"/>
      </w:pPr>
      <w:r>
        <w:t>Abstract</w:t>
      </w:r>
    </w:p>
    <w:p>
      <w:pPr>
        <w:jc w:val="both"/>
      </w:pPr>
      <w:r>
        <w:t xml:space="preserve">Communication between Deaf or Hard-of-Hearing (Deaf/HoH) signers and the hearing majority is limited by the scarcity of human interpreters and the absence of accessible, real-time translation tools. This thesis presents </w:t>
      </w:r>
      <w:r>
        <w:rPr>
          <w:b/>
        </w:rPr>
        <w:t>Together</w:t>
      </w:r>
      <w:r>
        <w:t>, an AI-based, bi-directional sign-language translation platform that runs entirely in a web browser and supports two languages as first-class citizens: American Sign Language (ASL) and Arabic/Egyptian Sign Language (ArSL). The system translates in four directions — sign-to-text, sign-to-speech, text-to-sign, and speech-to-sign — and adds a live two-person meeting mode that bridges a signer and a speaker over WebRTC.</w:t>
      </w:r>
    </w:p>
    <w:p>
      <w:pPr>
        <w:jc w:val="both"/>
      </w:pPr>
      <w:r>
        <w:t>The recognition pipeline extracts 543 three-dimensional body, face and hand landmarks per frame in the browser using MediaPipe Holistic, then streams a compact landmark payload to the server over a persistent Socket.IO channel. Two trained models perform isolated-sign recognition: a 250-class English ASL classifier executed with TensorFlow Lite (LiteRT) on a variable-length (N, 543, 3) landmark sequence, and a 20-class Arabic recognizer implemented as a convolutional–recurrent (CNN-GRU) network in PyTorch with INT8 dynamic quantization. A server-side voting and cooldown buffer debounces the per-frame predictions into stable sign tokens. Because sign languages use a Topic-Comment grammar rather than a word-for-word encoding of speech, a gloss engine converts recognized gloss into natural sentences (and the reverse) through a provider abstraction that defaults to Google Gemini and falls back to a local Ollama model when offline, while non-manual markers (facial grammar) are annotated for the avatar. Text-to-sign animation is produced by a semantic lookup that matches words to stored landmark sequences using Sentence-BERT embeddings indexed in PostgreSQL with the pgvector extension, synthesising out-of-vocabulary words by fingerspelling and Savitzky–Golay smoothing.</w:t>
      </w:r>
    </w:p>
    <w:p>
      <w:pPr>
        <w:jc w:val="both"/>
      </w:pPr>
      <w:r>
        <w:t>The system was engineered for real-time use: blocking inference and network calls are off-loaded from the event loop, a bounded cache eliminates repeated language-model round-trips, and the Arabic predictor's INT8 quantization reduced CPU inference latency from 7.48 ms to 4.21 ms per call (a 1.78× speed-up). On an offline evaluation of 250 isolated-sign clips, the ASL recognizer achieved a Top-1 accuracy of 62.4%. The result is a deployable, bilingual, accessibility-focused translator that demonstrates an end-to-end, landmark-based approach to sign-language translation on commodity hardware, together with a clear roadmap toward continuous, sentence-level signing and on-device deployment.</w:t>
      </w:r>
    </w:p>
    <w:p>
      <w:r>
        <w:br w:type="page"/>
      </w:r>
    </w:p>
    <w:p>
      <w:pPr>
        <w:pStyle w:val="Heading1"/>
      </w:pPr>
      <w:r>
        <w:t>Contents</w:t>
      </w:r>
    </w:p>
    <w:p>
      <w:r>
        <w:rPr>
          <w:i/>
          <w:color w:val="444444"/>
          <w:sz w:val="20"/>
        </w:rPr>
        <w:t>(Right-click the field below in Microsoft Word and choose “Update Field” to generate the table of contents with page numbers.)</w:t>
      </w:r>
    </w:p>
    <w:p>
      <w:r>
        <w:fldChar w:fldCharType="begin"/>
      </w:r>
      <w:r>
        <w:instrText xml:space="preserve"> TOC \o "1-3" \h \z \u </w:instrText>
      </w:r>
      <w:r>
        <w:fldChar w:fldCharType="separate"/>
      </w:r>
      <w:r>
        <w:t>Table of Contents — update this field in Word.</w:t>
      </w:r>
      <w:r>
        <w:fldChar w:fldCharType="end"/>
      </w:r>
    </w:p>
    <w:p>
      <w:r>
        <w:br w:type="page"/>
      </w:r>
    </w:p>
    <w:p>
      <w:pPr>
        <w:pStyle w:val="Heading1"/>
      </w:pPr>
      <w:r>
        <w:t>List of Figures</w:t>
      </w:r>
    </w:p>
    <w:p>
      <w:r>
        <w:rPr>
          <w:i/>
          <w:color w:val="444444"/>
          <w:sz w:val="20"/>
        </w:rPr>
        <w:t>(Right-click and “Update Field” to populate page numbers.)</w:t>
      </w:r>
    </w:p>
    <w:p>
      <w:r>
        <w:fldChar w:fldCharType="begin"/>
      </w:r>
      <w:r>
        <w:instrText xml:space="preserve"> TOC \h \z \c "Figure" </w:instrText>
      </w:r>
      <w:r>
        <w:fldChar w:fldCharType="separate"/>
      </w:r>
      <w:r>
        <w:t>List of Figures — update this field in Word.</w:t>
      </w:r>
      <w:r>
        <w:fldChar w:fldCharType="end"/>
      </w:r>
    </w:p>
    <w:p>
      <w:r>
        <w:br w:type="page"/>
      </w:r>
    </w:p>
    <w:p>
      <w:pPr>
        <w:pStyle w:val="Heading1"/>
      </w:pPr>
      <w:r>
        <w:t>List of Tables</w:t>
      </w:r>
    </w:p>
    <w:p>
      <w:r>
        <w:rPr>
          <w:i/>
          <w:color w:val="444444"/>
          <w:sz w:val="20"/>
        </w:rPr>
        <w:t>(Right-click and “Update Field” to populate page numbers.)</w:t>
      </w:r>
    </w:p>
    <w:p>
      <w:r>
        <w:fldChar w:fldCharType="begin"/>
      </w:r>
      <w:r>
        <w:instrText xml:space="preserve"> TOC \h \z \c "Table" </w:instrText>
      </w:r>
      <w:r>
        <w:fldChar w:fldCharType="separate"/>
      </w:r>
      <w:r>
        <w:t>List of Tables — update this field in Word.</w:t>
      </w:r>
      <w:r>
        <w:fldChar w:fldCharType="end"/>
      </w:r>
    </w:p>
    <w:p>
      <w:r>
        <w:br w:type="page"/>
      </w:r>
    </w:p>
    <w:p>
      <w:pPr>
        <w:pStyle w:val="Heading1"/>
      </w:pPr>
      <w:r>
        <w:t>List of Acronyms</w:t>
      </w:r>
    </w:p>
    <w:tbl>
      <w:tblPr>
        <w:tblStyle w:val="TableGrid"/>
        <w:tblW w:type="auto" w:w="0"/>
        <w:jc w:val="center"/>
        <w:tblLook w:firstColumn="1" w:firstRow="1" w:lastColumn="0" w:lastRow="0" w:noHBand="0" w:noVBand="1" w:val="04A0"/>
        <w:tblBorders>
          <w:top w:val="single" w:sz="6" w:space="0" w:color="9BB3CC"/>
          <w:left w:val="single" w:sz="6" w:space="0" w:color="9BB3CC"/>
          <w:bottom w:val="single" w:sz="6" w:space="0" w:color="9BB3CC"/>
          <w:right w:val="single" w:sz="6" w:space="0" w:color="9BB3CC"/>
          <w:insideH w:val="single" w:sz="6" w:space="0" w:color="9BB3CC"/>
          <w:insideV w:val="single" w:sz="6" w:space="0" w:color="9BB3CC"/>
        </w:tblBorders>
      </w:tblPr>
      <w:tblGrid>
        <w:gridCol w:w="4680"/>
        <w:gridCol w:w="4680"/>
      </w:tblGrid>
      <w:tr>
        <w:tc>
          <w:tcPr>
            <w:tcW w:type="dxa" w:w="1872"/>
            <w:shd w:val="clear" w:color="auto" w:fill="2F6DB5"/>
          </w:tcPr>
          <w:p>
            <w:pPr>
              <w:jc w:val="left"/>
            </w:pPr>
            <w:r/>
            <w:r>
              <w:rPr>
                <w:b/>
                <w:color w:val="FFFFFF"/>
                <w:sz w:val="21"/>
              </w:rPr>
              <w:t>Acronym</w:t>
            </w:r>
          </w:p>
        </w:tc>
        <w:tc>
          <w:tcPr>
            <w:tcW w:type="dxa" w:w="7200"/>
            <w:shd w:val="clear" w:color="auto" w:fill="2F6DB5"/>
          </w:tcPr>
          <w:p>
            <w:pPr>
              <w:jc w:val="left"/>
            </w:pPr>
            <w:r/>
            <w:r>
              <w:rPr>
                <w:b/>
                <w:color w:val="FFFFFF"/>
                <w:sz w:val="21"/>
              </w:rPr>
              <w:t>Definition</w:t>
            </w:r>
          </w:p>
        </w:tc>
      </w:tr>
      <w:tr>
        <w:tc>
          <w:tcPr>
            <w:tcW w:type="dxa" w:w="1872"/>
          </w:tcPr>
          <w:p>
            <w:pPr>
              <w:spacing w:after="40" w:line="240" w:lineRule="auto"/>
              <w:jc w:val="left"/>
            </w:pPr>
            <w:r>
              <w:rPr>
                <w:sz w:val="21"/>
              </w:rPr>
            </w:r>
            <w:r>
              <w:rPr>
                <w:sz w:val="21"/>
              </w:rPr>
              <w:t>AI</w:t>
            </w:r>
          </w:p>
        </w:tc>
        <w:tc>
          <w:tcPr>
            <w:tcW w:type="dxa" w:w="7200"/>
          </w:tcPr>
          <w:p>
            <w:pPr>
              <w:spacing w:after="40" w:line="240" w:lineRule="auto"/>
              <w:jc w:val="left"/>
            </w:pPr>
            <w:r>
              <w:rPr>
                <w:sz w:val="21"/>
              </w:rPr>
            </w:r>
            <w:r>
              <w:rPr>
                <w:sz w:val="21"/>
              </w:rPr>
              <w:t>Artificial Intelligence</w:t>
            </w:r>
          </w:p>
        </w:tc>
      </w:tr>
      <w:tr>
        <w:tc>
          <w:tcPr>
            <w:tcW w:type="dxa" w:w="1872"/>
          </w:tcPr>
          <w:p>
            <w:pPr>
              <w:spacing w:after="40" w:line="240" w:lineRule="auto"/>
              <w:jc w:val="left"/>
            </w:pPr>
            <w:r>
              <w:rPr>
                <w:sz w:val="21"/>
              </w:rPr>
            </w:r>
            <w:r>
              <w:rPr>
                <w:sz w:val="21"/>
              </w:rPr>
              <w:t>API</w:t>
            </w:r>
          </w:p>
        </w:tc>
        <w:tc>
          <w:tcPr>
            <w:tcW w:type="dxa" w:w="7200"/>
          </w:tcPr>
          <w:p>
            <w:pPr>
              <w:spacing w:after="40" w:line="240" w:lineRule="auto"/>
              <w:jc w:val="left"/>
            </w:pPr>
            <w:r>
              <w:rPr>
                <w:sz w:val="21"/>
              </w:rPr>
            </w:r>
            <w:r>
              <w:rPr>
                <w:sz w:val="21"/>
              </w:rPr>
              <w:t>Application Programming Interface</w:t>
            </w:r>
          </w:p>
        </w:tc>
      </w:tr>
      <w:tr>
        <w:tc>
          <w:tcPr>
            <w:tcW w:type="dxa" w:w="1872"/>
          </w:tcPr>
          <w:p>
            <w:pPr>
              <w:spacing w:after="40" w:line="240" w:lineRule="auto"/>
              <w:jc w:val="left"/>
            </w:pPr>
            <w:r>
              <w:rPr>
                <w:sz w:val="21"/>
              </w:rPr>
            </w:r>
            <w:r>
              <w:rPr>
                <w:sz w:val="21"/>
              </w:rPr>
              <w:t>ArSL</w:t>
            </w:r>
          </w:p>
        </w:tc>
        <w:tc>
          <w:tcPr>
            <w:tcW w:type="dxa" w:w="7200"/>
          </w:tcPr>
          <w:p>
            <w:pPr>
              <w:spacing w:after="40" w:line="240" w:lineRule="auto"/>
              <w:jc w:val="left"/>
            </w:pPr>
            <w:r>
              <w:rPr>
                <w:sz w:val="21"/>
              </w:rPr>
            </w:r>
            <w:r>
              <w:rPr>
                <w:sz w:val="21"/>
              </w:rPr>
              <w:t>Arabic Sign Language</w:t>
            </w:r>
          </w:p>
        </w:tc>
      </w:tr>
      <w:tr>
        <w:tc>
          <w:tcPr>
            <w:tcW w:type="dxa" w:w="1872"/>
          </w:tcPr>
          <w:p>
            <w:pPr>
              <w:spacing w:after="40" w:line="240" w:lineRule="auto"/>
              <w:jc w:val="left"/>
            </w:pPr>
            <w:r>
              <w:rPr>
                <w:sz w:val="21"/>
              </w:rPr>
            </w:r>
            <w:r>
              <w:rPr>
                <w:sz w:val="21"/>
              </w:rPr>
              <w:t>ASGI</w:t>
            </w:r>
          </w:p>
        </w:tc>
        <w:tc>
          <w:tcPr>
            <w:tcW w:type="dxa" w:w="7200"/>
          </w:tcPr>
          <w:p>
            <w:pPr>
              <w:spacing w:after="40" w:line="240" w:lineRule="auto"/>
              <w:jc w:val="left"/>
            </w:pPr>
            <w:r>
              <w:rPr>
                <w:sz w:val="21"/>
              </w:rPr>
            </w:r>
            <w:r>
              <w:rPr>
                <w:sz w:val="21"/>
              </w:rPr>
              <w:t>Asynchronous Server Gateway Interface</w:t>
            </w:r>
          </w:p>
        </w:tc>
      </w:tr>
      <w:tr>
        <w:tc>
          <w:tcPr>
            <w:tcW w:type="dxa" w:w="1872"/>
          </w:tcPr>
          <w:p>
            <w:pPr>
              <w:spacing w:after="40" w:line="240" w:lineRule="auto"/>
              <w:jc w:val="left"/>
            </w:pPr>
            <w:r>
              <w:rPr>
                <w:sz w:val="21"/>
              </w:rPr>
            </w:r>
            <w:r>
              <w:rPr>
                <w:sz w:val="21"/>
              </w:rPr>
              <w:t>ASL</w:t>
            </w:r>
          </w:p>
        </w:tc>
        <w:tc>
          <w:tcPr>
            <w:tcW w:type="dxa" w:w="7200"/>
          </w:tcPr>
          <w:p>
            <w:pPr>
              <w:spacing w:after="40" w:line="240" w:lineRule="auto"/>
              <w:jc w:val="left"/>
            </w:pPr>
            <w:r>
              <w:rPr>
                <w:sz w:val="21"/>
              </w:rPr>
            </w:r>
            <w:r>
              <w:rPr>
                <w:sz w:val="21"/>
              </w:rPr>
              <w:t>American Sign Language</w:t>
            </w:r>
          </w:p>
        </w:tc>
      </w:tr>
      <w:tr>
        <w:tc>
          <w:tcPr>
            <w:tcW w:type="dxa" w:w="1872"/>
          </w:tcPr>
          <w:p>
            <w:pPr>
              <w:spacing w:after="40" w:line="240" w:lineRule="auto"/>
              <w:jc w:val="left"/>
            </w:pPr>
            <w:r>
              <w:rPr>
                <w:sz w:val="21"/>
              </w:rPr>
            </w:r>
            <w:r>
              <w:rPr>
                <w:sz w:val="21"/>
              </w:rPr>
              <w:t>BN</w:t>
            </w:r>
          </w:p>
        </w:tc>
        <w:tc>
          <w:tcPr>
            <w:tcW w:type="dxa" w:w="7200"/>
          </w:tcPr>
          <w:p>
            <w:pPr>
              <w:spacing w:after="40" w:line="240" w:lineRule="auto"/>
              <w:jc w:val="left"/>
            </w:pPr>
            <w:r>
              <w:rPr>
                <w:sz w:val="21"/>
              </w:rPr>
            </w:r>
            <w:r>
              <w:rPr>
                <w:sz w:val="21"/>
              </w:rPr>
              <w:t>Batch Normalization</w:t>
            </w:r>
          </w:p>
        </w:tc>
      </w:tr>
      <w:tr>
        <w:tc>
          <w:tcPr>
            <w:tcW w:type="dxa" w:w="1872"/>
          </w:tcPr>
          <w:p>
            <w:pPr>
              <w:spacing w:after="40" w:line="240" w:lineRule="auto"/>
              <w:jc w:val="left"/>
            </w:pPr>
            <w:r>
              <w:rPr>
                <w:sz w:val="21"/>
              </w:rPr>
            </w:r>
            <w:r>
              <w:rPr>
                <w:sz w:val="21"/>
              </w:rPr>
              <w:t>CNN</w:t>
            </w:r>
          </w:p>
        </w:tc>
        <w:tc>
          <w:tcPr>
            <w:tcW w:type="dxa" w:w="7200"/>
          </w:tcPr>
          <w:p>
            <w:pPr>
              <w:spacing w:after="40" w:line="240" w:lineRule="auto"/>
              <w:jc w:val="left"/>
            </w:pPr>
            <w:r>
              <w:rPr>
                <w:sz w:val="21"/>
              </w:rPr>
            </w:r>
            <w:r>
              <w:rPr>
                <w:sz w:val="21"/>
              </w:rPr>
              <w:t>Convolutional Neural Network</w:t>
            </w:r>
          </w:p>
        </w:tc>
      </w:tr>
      <w:tr>
        <w:tc>
          <w:tcPr>
            <w:tcW w:type="dxa" w:w="1872"/>
          </w:tcPr>
          <w:p>
            <w:pPr>
              <w:spacing w:after="40" w:line="240" w:lineRule="auto"/>
              <w:jc w:val="left"/>
            </w:pPr>
            <w:r>
              <w:rPr>
                <w:sz w:val="21"/>
              </w:rPr>
            </w:r>
            <w:r>
              <w:rPr>
                <w:sz w:val="21"/>
              </w:rPr>
              <w:t>CORS</w:t>
            </w:r>
          </w:p>
        </w:tc>
        <w:tc>
          <w:tcPr>
            <w:tcW w:type="dxa" w:w="7200"/>
          </w:tcPr>
          <w:p>
            <w:pPr>
              <w:spacing w:after="40" w:line="240" w:lineRule="auto"/>
              <w:jc w:val="left"/>
            </w:pPr>
            <w:r>
              <w:rPr>
                <w:sz w:val="21"/>
              </w:rPr>
            </w:r>
            <w:r>
              <w:rPr>
                <w:sz w:val="21"/>
              </w:rPr>
              <w:t>Cross-Origin Resource Sharing</w:t>
            </w:r>
          </w:p>
        </w:tc>
      </w:tr>
      <w:tr>
        <w:tc>
          <w:tcPr>
            <w:tcW w:type="dxa" w:w="1872"/>
          </w:tcPr>
          <w:p>
            <w:pPr>
              <w:spacing w:after="40" w:line="240" w:lineRule="auto"/>
              <w:jc w:val="left"/>
            </w:pPr>
            <w:r>
              <w:rPr>
                <w:sz w:val="21"/>
              </w:rPr>
            </w:r>
            <w:r>
              <w:rPr>
                <w:sz w:val="21"/>
              </w:rPr>
              <w:t>CPU</w:t>
            </w:r>
          </w:p>
        </w:tc>
        <w:tc>
          <w:tcPr>
            <w:tcW w:type="dxa" w:w="7200"/>
          </w:tcPr>
          <w:p>
            <w:pPr>
              <w:spacing w:after="40" w:line="240" w:lineRule="auto"/>
              <w:jc w:val="left"/>
            </w:pPr>
            <w:r>
              <w:rPr>
                <w:sz w:val="21"/>
              </w:rPr>
            </w:r>
            <w:r>
              <w:rPr>
                <w:sz w:val="21"/>
              </w:rPr>
              <w:t>Central Processing Unit</w:t>
            </w:r>
          </w:p>
        </w:tc>
      </w:tr>
      <w:tr>
        <w:tc>
          <w:tcPr>
            <w:tcW w:type="dxa" w:w="1872"/>
          </w:tcPr>
          <w:p>
            <w:pPr>
              <w:spacing w:after="40" w:line="240" w:lineRule="auto"/>
              <w:jc w:val="left"/>
            </w:pPr>
            <w:r>
              <w:rPr>
                <w:sz w:val="21"/>
              </w:rPr>
            </w:r>
            <w:r>
              <w:rPr>
                <w:sz w:val="21"/>
              </w:rPr>
              <w:t>DFD</w:t>
            </w:r>
          </w:p>
        </w:tc>
        <w:tc>
          <w:tcPr>
            <w:tcW w:type="dxa" w:w="7200"/>
          </w:tcPr>
          <w:p>
            <w:pPr>
              <w:spacing w:after="40" w:line="240" w:lineRule="auto"/>
              <w:jc w:val="left"/>
            </w:pPr>
            <w:r>
              <w:rPr>
                <w:sz w:val="21"/>
              </w:rPr>
            </w:r>
            <w:r>
              <w:rPr>
                <w:sz w:val="21"/>
              </w:rPr>
              <w:t>Data-Flow Diagram</w:t>
            </w:r>
          </w:p>
        </w:tc>
      </w:tr>
      <w:tr>
        <w:tc>
          <w:tcPr>
            <w:tcW w:type="dxa" w:w="1872"/>
          </w:tcPr>
          <w:p>
            <w:pPr>
              <w:spacing w:after="40" w:line="240" w:lineRule="auto"/>
              <w:jc w:val="left"/>
            </w:pPr>
            <w:r>
              <w:rPr>
                <w:sz w:val="21"/>
              </w:rPr>
            </w:r>
            <w:r>
              <w:rPr>
                <w:sz w:val="21"/>
              </w:rPr>
              <w:t>ECE</w:t>
            </w:r>
          </w:p>
        </w:tc>
        <w:tc>
          <w:tcPr>
            <w:tcW w:type="dxa" w:w="7200"/>
          </w:tcPr>
          <w:p>
            <w:pPr>
              <w:spacing w:after="40" w:line="240" w:lineRule="auto"/>
              <w:jc w:val="left"/>
            </w:pPr>
            <w:r>
              <w:rPr>
                <w:sz w:val="21"/>
              </w:rPr>
            </w:r>
            <w:r>
              <w:rPr>
                <w:sz w:val="21"/>
              </w:rPr>
              <w:t>Electronics and Communication Engineering</w:t>
            </w:r>
          </w:p>
        </w:tc>
      </w:tr>
      <w:tr>
        <w:tc>
          <w:tcPr>
            <w:tcW w:type="dxa" w:w="1872"/>
          </w:tcPr>
          <w:p>
            <w:pPr>
              <w:spacing w:after="40" w:line="240" w:lineRule="auto"/>
              <w:jc w:val="left"/>
            </w:pPr>
            <w:r>
              <w:rPr>
                <w:sz w:val="21"/>
              </w:rPr>
            </w:r>
            <w:r>
              <w:rPr>
                <w:sz w:val="21"/>
              </w:rPr>
              <w:t>EMA</w:t>
            </w:r>
          </w:p>
        </w:tc>
        <w:tc>
          <w:tcPr>
            <w:tcW w:type="dxa" w:w="7200"/>
          </w:tcPr>
          <w:p>
            <w:pPr>
              <w:spacing w:after="40" w:line="240" w:lineRule="auto"/>
              <w:jc w:val="left"/>
            </w:pPr>
            <w:r>
              <w:rPr>
                <w:sz w:val="21"/>
              </w:rPr>
            </w:r>
            <w:r>
              <w:rPr>
                <w:sz w:val="21"/>
              </w:rPr>
              <w:t>Exponential Moving Average</w:t>
            </w:r>
          </w:p>
        </w:tc>
      </w:tr>
      <w:tr>
        <w:tc>
          <w:tcPr>
            <w:tcW w:type="dxa" w:w="1872"/>
          </w:tcPr>
          <w:p>
            <w:pPr>
              <w:spacing w:after="40" w:line="240" w:lineRule="auto"/>
              <w:jc w:val="left"/>
            </w:pPr>
            <w:r>
              <w:rPr>
                <w:sz w:val="21"/>
              </w:rPr>
            </w:r>
            <w:r>
              <w:rPr>
                <w:sz w:val="21"/>
              </w:rPr>
              <w:t>ER</w:t>
            </w:r>
          </w:p>
        </w:tc>
        <w:tc>
          <w:tcPr>
            <w:tcW w:type="dxa" w:w="7200"/>
          </w:tcPr>
          <w:p>
            <w:pPr>
              <w:spacing w:after="40" w:line="240" w:lineRule="auto"/>
              <w:jc w:val="left"/>
            </w:pPr>
            <w:r>
              <w:rPr>
                <w:sz w:val="21"/>
              </w:rPr>
            </w:r>
            <w:r>
              <w:rPr>
                <w:sz w:val="21"/>
              </w:rPr>
              <w:t>Entity-Relationship</w:t>
            </w:r>
          </w:p>
        </w:tc>
      </w:tr>
      <w:tr>
        <w:tc>
          <w:tcPr>
            <w:tcW w:type="dxa" w:w="1872"/>
          </w:tcPr>
          <w:p>
            <w:pPr>
              <w:spacing w:after="40" w:line="240" w:lineRule="auto"/>
              <w:jc w:val="left"/>
            </w:pPr>
            <w:r>
              <w:rPr>
                <w:sz w:val="21"/>
              </w:rPr>
            </w:r>
            <w:r>
              <w:rPr>
                <w:sz w:val="21"/>
              </w:rPr>
              <w:t>FPS</w:t>
            </w:r>
          </w:p>
        </w:tc>
        <w:tc>
          <w:tcPr>
            <w:tcW w:type="dxa" w:w="7200"/>
          </w:tcPr>
          <w:p>
            <w:pPr>
              <w:spacing w:after="40" w:line="240" w:lineRule="auto"/>
              <w:jc w:val="left"/>
            </w:pPr>
            <w:r>
              <w:rPr>
                <w:sz w:val="21"/>
              </w:rPr>
            </w:r>
            <w:r>
              <w:rPr>
                <w:sz w:val="21"/>
              </w:rPr>
              <w:t>Frames Per Second</w:t>
            </w:r>
          </w:p>
        </w:tc>
      </w:tr>
      <w:tr>
        <w:tc>
          <w:tcPr>
            <w:tcW w:type="dxa" w:w="1872"/>
          </w:tcPr>
          <w:p>
            <w:pPr>
              <w:spacing w:after="40" w:line="240" w:lineRule="auto"/>
              <w:jc w:val="left"/>
            </w:pPr>
            <w:r>
              <w:rPr>
                <w:sz w:val="21"/>
              </w:rPr>
            </w:r>
            <w:r>
              <w:rPr>
                <w:sz w:val="21"/>
              </w:rPr>
              <w:t>FUE</w:t>
            </w:r>
          </w:p>
        </w:tc>
        <w:tc>
          <w:tcPr>
            <w:tcW w:type="dxa" w:w="7200"/>
          </w:tcPr>
          <w:p>
            <w:pPr>
              <w:spacing w:after="40" w:line="240" w:lineRule="auto"/>
              <w:jc w:val="left"/>
            </w:pPr>
            <w:r>
              <w:rPr>
                <w:sz w:val="21"/>
              </w:rPr>
            </w:r>
            <w:r>
              <w:rPr>
                <w:sz w:val="21"/>
              </w:rPr>
              <w:t>Future University in Egypt</w:t>
            </w:r>
          </w:p>
        </w:tc>
      </w:tr>
      <w:tr>
        <w:tc>
          <w:tcPr>
            <w:tcW w:type="dxa" w:w="1872"/>
          </w:tcPr>
          <w:p>
            <w:pPr>
              <w:spacing w:after="40" w:line="240" w:lineRule="auto"/>
              <w:jc w:val="left"/>
            </w:pPr>
            <w:r>
              <w:rPr>
                <w:sz w:val="21"/>
              </w:rPr>
            </w:r>
            <w:r>
              <w:rPr>
                <w:sz w:val="21"/>
              </w:rPr>
              <w:t>GISLR</w:t>
            </w:r>
          </w:p>
        </w:tc>
        <w:tc>
          <w:tcPr>
            <w:tcW w:type="dxa" w:w="7200"/>
          </w:tcPr>
          <w:p>
            <w:pPr>
              <w:spacing w:after="40" w:line="240" w:lineRule="auto"/>
              <w:jc w:val="left"/>
            </w:pPr>
            <w:r>
              <w:rPr>
                <w:sz w:val="21"/>
              </w:rPr>
            </w:r>
            <w:r>
              <w:rPr>
                <w:sz w:val="21"/>
              </w:rPr>
              <w:t>Google Isolated Sign Language Recognition</w:t>
            </w:r>
          </w:p>
        </w:tc>
      </w:tr>
      <w:tr>
        <w:tc>
          <w:tcPr>
            <w:tcW w:type="dxa" w:w="1872"/>
          </w:tcPr>
          <w:p>
            <w:pPr>
              <w:spacing w:after="40" w:line="240" w:lineRule="auto"/>
              <w:jc w:val="left"/>
            </w:pPr>
            <w:r>
              <w:rPr>
                <w:sz w:val="21"/>
              </w:rPr>
            </w:r>
            <w:r>
              <w:rPr>
                <w:sz w:val="21"/>
              </w:rPr>
              <w:t>GRU</w:t>
            </w:r>
          </w:p>
        </w:tc>
        <w:tc>
          <w:tcPr>
            <w:tcW w:type="dxa" w:w="7200"/>
          </w:tcPr>
          <w:p>
            <w:pPr>
              <w:spacing w:after="40" w:line="240" w:lineRule="auto"/>
              <w:jc w:val="left"/>
            </w:pPr>
            <w:r>
              <w:rPr>
                <w:sz w:val="21"/>
              </w:rPr>
            </w:r>
            <w:r>
              <w:rPr>
                <w:sz w:val="21"/>
              </w:rPr>
              <w:t>Gated Recurrent Unit</w:t>
            </w:r>
          </w:p>
        </w:tc>
      </w:tr>
      <w:tr>
        <w:tc>
          <w:tcPr>
            <w:tcW w:type="dxa" w:w="1872"/>
          </w:tcPr>
          <w:p>
            <w:pPr>
              <w:spacing w:after="40" w:line="240" w:lineRule="auto"/>
              <w:jc w:val="left"/>
            </w:pPr>
            <w:r>
              <w:rPr>
                <w:sz w:val="21"/>
              </w:rPr>
            </w:r>
            <w:r>
              <w:rPr>
                <w:sz w:val="21"/>
              </w:rPr>
              <w:t>GPU</w:t>
            </w:r>
          </w:p>
        </w:tc>
        <w:tc>
          <w:tcPr>
            <w:tcW w:type="dxa" w:w="7200"/>
          </w:tcPr>
          <w:p>
            <w:pPr>
              <w:spacing w:after="40" w:line="240" w:lineRule="auto"/>
              <w:jc w:val="left"/>
            </w:pPr>
            <w:r>
              <w:rPr>
                <w:sz w:val="21"/>
              </w:rPr>
            </w:r>
            <w:r>
              <w:rPr>
                <w:sz w:val="21"/>
              </w:rPr>
              <w:t>Graphics Processing Unit</w:t>
            </w:r>
          </w:p>
        </w:tc>
      </w:tr>
      <w:tr>
        <w:tc>
          <w:tcPr>
            <w:tcW w:type="dxa" w:w="1872"/>
          </w:tcPr>
          <w:p>
            <w:pPr>
              <w:spacing w:after="40" w:line="240" w:lineRule="auto"/>
              <w:jc w:val="left"/>
            </w:pPr>
            <w:r>
              <w:rPr>
                <w:sz w:val="21"/>
              </w:rPr>
            </w:r>
            <w:r>
              <w:rPr>
                <w:sz w:val="21"/>
              </w:rPr>
              <w:t>HNSW</w:t>
            </w:r>
          </w:p>
        </w:tc>
        <w:tc>
          <w:tcPr>
            <w:tcW w:type="dxa" w:w="7200"/>
          </w:tcPr>
          <w:p>
            <w:pPr>
              <w:spacing w:after="40" w:line="240" w:lineRule="auto"/>
              <w:jc w:val="left"/>
            </w:pPr>
            <w:r>
              <w:rPr>
                <w:sz w:val="21"/>
              </w:rPr>
            </w:r>
            <w:r>
              <w:rPr>
                <w:sz w:val="21"/>
              </w:rPr>
              <w:t>Hierarchical Navigable Small World (index)</w:t>
            </w:r>
          </w:p>
        </w:tc>
      </w:tr>
      <w:tr>
        <w:tc>
          <w:tcPr>
            <w:tcW w:type="dxa" w:w="1872"/>
          </w:tcPr>
          <w:p>
            <w:pPr>
              <w:spacing w:after="40" w:line="240" w:lineRule="auto"/>
              <w:jc w:val="left"/>
            </w:pPr>
            <w:r>
              <w:rPr>
                <w:sz w:val="21"/>
              </w:rPr>
            </w:r>
            <w:r>
              <w:rPr>
                <w:sz w:val="21"/>
              </w:rPr>
              <w:t>HoH</w:t>
            </w:r>
          </w:p>
        </w:tc>
        <w:tc>
          <w:tcPr>
            <w:tcW w:type="dxa" w:w="7200"/>
          </w:tcPr>
          <w:p>
            <w:pPr>
              <w:spacing w:after="40" w:line="240" w:lineRule="auto"/>
              <w:jc w:val="left"/>
            </w:pPr>
            <w:r>
              <w:rPr>
                <w:sz w:val="21"/>
              </w:rPr>
            </w:r>
            <w:r>
              <w:rPr>
                <w:sz w:val="21"/>
              </w:rPr>
              <w:t>Hard-of-Hearing</w:t>
            </w:r>
          </w:p>
        </w:tc>
      </w:tr>
      <w:tr>
        <w:tc>
          <w:tcPr>
            <w:tcW w:type="dxa" w:w="1872"/>
          </w:tcPr>
          <w:p>
            <w:pPr>
              <w:spacing w:after="40" w:line="240" w:lineRule="auto"/>
              <w:jc w:val="left"/>
            </w:pPr>
            <w:r>
              <w:rPr>
                <w:sz w:val="21"/>
              </w:rPr>
            </w:r>
            <w:r>
              <w:rPr>
                <w:sz w:val="21"/>
              </w:rPr>
              <w:t>HTTP</w:t>
            </w:r>
          </w:p>
        </w:tc>
        <w:tc>
          <w:tcPr>
            <w:tcW w:type="dxa" w:w="7200"/>
          </w:tcPr>
          <w:p>
            <w:pPr>
              <w:spacing w:after="40" w:line="240" w:lineRule="auto"/>
              <w:jc w:val="left"/>
            </w:pPr>
            <w:r>
              <w:rPr>
                <w:sz w:val="21"/>
              </w:rPr>
            </w:r>
            <w:r>
              <w:rPr>
                <w:sz w:val="21"/>
              </w:rPr>
              <w:t>Hypertext Transfer Protocol</w:t>
            </w:r>
          </w:p>
        </w:tc>
      </w:tr>
      <w:tr>
        <w:tc>
          <w:tcPr>
            <w:tcW w:type="dxa" w:w="1872"/>
          </w:tcPr>
          <w:p>
            <w:pPr>
              <w:spacing w:after="40" w:line="240" w:lineRule="auto"/>
              <w:jc w:val="left"/>
            </w:pPr>
            <w:r>
              <w:rPr>
                <w:sz w:val="21"/>
              </w:rPr>
            </w:r>
            <w:r>
              <w:rPr>
                <w:sz w:val="21"/>
              </w:rPr>
              <w:t>INT8</w:t>
            </w:r>
          </w:p>
        </w:tc>
        <w:tc>
          <w:tcPr>
            <w:tcW w:type="dxa" w:w="7200"/>
          </w:tcPr>
          <w:p>
            <w:pPr>
              <w:spacing w:after="40" w:line="240" w:lineRule="auto"/>
              <w:jc w:val="left"/>
            </w:pPr>
            <w:r>
              <w:rPr>
                <w:sz w:val="21"/>
              </w:rPr>
            </w:r>
            <w:r>
              <w:rPr>
                <w:sz w:val="21"/>
              </w:rPr>
              <w:t>8-bit Integer (quantization)</w:t>
            </w:r>
          </w:p>
        </w:tc>
      </w:tr>
      <w:tr>
        <w:tc>
          <w:tcPr>
            <w:tcW w:type="dxa" w:w="1872"/>
          </w:tcPr>
          <w:p>
            <w:pPr>
              <w:spacing w:after="40" w:line="240" w:lineRule="auto"/>
              <w:jc w:val="left"/>
            </w:pPr>
            <w:r>
              <w:rPr>
                <w:sz w:val="21"/>
              </w:rPr>
            </w:r>
            <w:r>
              <w:rPr>
                <w:sz w:val="21"/>
              </w:rPr>
              <w:t>JWT</w:t>
            </w:r>
          </w:p>
        </w:tc>
        <w:tc>
          <w:tcPr>
            <w:tcW w:type="dxa" w:w="7200"/>
          </w:tcPr>
          <w:p>
            <w:pPr>
              <w:spacing w:after="40" w:line="240" w:lineRule="auto"/>
              <w:jc w:val="left"/>
            </w:pPr>
            <w:r>
              <w:rPr>
                <w:sz w:val="21"/>
              </w:rPr>
            </w:r>
            <w:r>
              <w:rPr>
                <w:sz w:val="21"/>
              </w:rPr>
              <w:t>JSON Web Token</w:t>
            </w:r>
          </w:p>
        </w:tc>
      </w:tr>
      <w:tr>
        <w:tc>
          <w:tcPr>
            <w:tcW w:type="dxa" w:w="1872"/>
          </w:tcPr>
          <w:p>
            <w:pPr>
              <w:spacing w:after="40" w:line="240" w:lineRule="auto"/>
              <w:jc w:val="left"/>
            </w:pPr>
            <w:r>
              <w:rPr>
                <w:sz w:val="21"/>
              </w:rPr>
            </w:r>
            <w:r>
              <w:rPr>
                <w:sz w:val="21"/>
              </w:rPr>
              <w:t>LLM</w:t>
            </w:r>
          </w:p>
        </w:tc>
        <w:tc>
          <w:tcPr>
            <w:tcW w:type="dxa" w:w="7200"/>
          </w:tcPr>
          <w:p>
            <w:pPr>
              <w:spacing w:after="40" w:line="240" w:lineRule="auto"/>
              <w:jc w:val="left"/>
            </w:pPr>
            <w:r>
              <w:rPr>
                <w:sz w:val="21"/>
              </w:rPr>
            </w:r>
            <w:r>
              <w:rPr>
                <w:sz w:val="21"/>
              </w:rPr>
              <w:t>Large Language Model</w:t>
            </w:r>
          </w:p>
        </w:tc>
      </w:tr>
      <w:tr>
        <w:tc>
          <w:tcPr>
            <w:tcW w:type="dxa" w:w="1872"/>
          </w:tcPr>
          <w:p>
            <w:pPr>
              <w:spacing w:after="40" w:line="240" w:lineRule="auto"/>
              <w:jc w:val="left"/>
            </w:pPr>
            <w:r>
              <w:rPr>
                <w:sz w:val="21"/>
              </w:rPr>
            </w:r>
            <w:r>
              <w:rPr>
                <w:sz w:val="21"/>
              </w:rPr>
              <w:t>LSTM</w:t>
            </w:r>
          </w:p>
        </w:tc>
        <w:tc>
          <w:tcPr>
            <w:tcW w:type="dxa" w:w="7200"/>
          </w:tcPr>
          <w:p>
            <w:pPr>
              <w:spacing w:after="40" w:line="240" w:lineRule="auto"/>
              <w:jc w:val="left"/>
            </w:pPr>
            <w:r>
              <w:rPr>
                <w:sz w:val="21"/>
              </w:rPr>
            </w:r>
            <w:r>
              <w:rPr>
                <w:sz w:val="21"/>
              </w:rPr>
              <w:t>Long Short-Term Memory</w:t>
            </w:r>
          </w:p>
        </w:tc>
      </w:tr>
      <w:tr>
        <w:tc>
          <w:tcPr>
            <w:tcW w:type="dxa" w:w="1872"/>
          </w:tcPr>
          <w:p>
            <w:pPr>
              <w:spacing w:after="40" w:line="240" w:lineRule="auto"/>
              <w:jc w:val="left"/>
            </w:pPr>
            <w:r>
              <w:rPr>
                <w:sz w:val="21"/>
              </w:rPr>
            </w:r>
            <w:r>
              <w:rPr>
                <w:sz w:val="21"/>
              </w:rPr>
              <w:t>MENA</w:t>
            </w:r>
          </w:p>
        </w:tc>
        <w:tc>
          <w:tcPr>
            <w:tcW w:type="dxa" w:w="7200"/>
          </w:tcPr>
          <w:p>
            <w:pPr>
              <w:spacing w:after="40" w:line="240" w:lineRule="auto"/>
              <w:jc w:val="left"/>
            </w:pPr>
            <w:r>
              <w:rPr>
                <w:sz w:val="21"/>
              </w:rPr>
            </w:r>
            <w:r>
              <w:rPr>
                <w:sz w:val="21"/>
              </w:rPr>
              <w:t>Middle East and North Africa</w:t>
            </w:r>
          </w:p>
        </w:tc>
      </w:tr>
      <w:tr>
        <w:tc>
          <w:tcPr>
            <w:tcW w:type="dxa" w:w="1872"/>
          </w:tcPr>
          <w:p>
            <w:pPr>
              <w:spacing w:after="40" w:line="240" w:lineRule="auto"/>
              <w:jc w:val="left"/>
            </w:pPr>
            <w:r>
              <w:rPr>
                <w:sz w:val="21"/>
              </w:rPr>
            </w:r>
            <w:r>
              <w:rPr>
                <w:sz w:val="21"/>
              </w:rPr>
              <w:t>ML</w:t>
            </w:r>
          </w:p>
        </w:tc>
        <w:tc>
          <w:tcPr>
            <w:tcW w:type="dxa" w:w="7200"/>
          </w:tcPr>
          <w:p>
            <w:pPr>
              <w:spacing w:after="40" w:line="240" w:lineRule="auto"/>
              <w:jc w:val="left"/>
            </w:pPr>
            <w:r>
              <w:rPr>
                <w:sz w:val="21"/>
              </w:rPr>
            </w:r>
            <w:r>
              <w:rPr>
                <w:sz w:val="21"/>
              </w:rPr>
              <w:t>Machine Learning</w:t>
            </w:r>
          </w:p>
        </w:tc>
      </w:tr>
      <w:tr>
        <w:tc>
          <w:tcPr>
            <w:tcW w:type="dxa" w:w="1872"/>
          </w:tcPr>
          <w:p>
            <w:pPr>
              <w:spacing w:after="40" w:line="240" w:lineRule="auto"/>
              <w:jc w:val="left"/>
            </w:pPr>
            <w:r>
              <w:rPr>
                <w:sz w:val="21"/>
              </w:rPr>
            </w:r>
            <w:r>
              <w:rPr>
                <w:sz w:val="21"/>
              </w:rPr>
              <w:t>MSA</w:t>
            </w:r>
          </w:p>
        </w:tc>
        <w:tc>
          <w:tcPr>
            <w:tcW w:type="dxa" w:w="7200"/>
          </w:tcPr>
          <w:p>
            <w:pPr>
              <w:spacing w:after="40" w:line="240" w:lineRule="auto"/>
              <w:jc w:val="left"/>
            </w:pPr>
            <w:r>
              <w:rPr>
                <w:sz w:val="21"/>
              </w:rPr>
            </w:r>
            <w:r>
              <w:rPr>
                <w:sz w:val="21"/>
              </w:rPr>
              <w:t>Modern Standard Arabic</w:t>
            </w:r>
          </w:p>
        </w:tc>
      </w:tr>
      <w:tr>
        <w:tc>
          <w:tcPr>
            <w:tcW w:type="dxa" w:w="1872"/>
          </w:tcPr>
          <w:p>
            <w:pPr>
              <w:spacing w:after="40" w:line="240" w:lineRule="auto"/>
              <w:jc w:val="left"/>
            </w:pPr>
            <w:r>
              <w:rPr>
                <w:sz w:val="21"/>
              </w:rPr>
            </w:r>
            <w:r>
              <w:rPr>
                <w:sz w:val="21"/>
              </w:rPr>
              <w:t>NMM</w:t>
            </w:r>
          </w:p>
        </w:tc>
        <w:tc>
          <w:tcPr>
            <w:tcW w:type="dxa" w:w="7200"/>
          </w:tcPr>
          <w:p>
            <w:pPr>
              <w:spacing w:after="40" w:line="240" w:lineRule="auto"/>
              <w:jc w:val="left"/>
            </w:pPr>
            <w:r>
              <w:rPr>
                <w:sz w:val="21"/>
              </w:rPr>
            </w:r>
            <w:r>
              <w:rPr>
                <w:sz w:val="21"/>
              </w:rPr>
              <w:t>Non-Manual Marker</w:t>
            </w:r>
          </w:p>
        </w:tc>
      </w:tr>
      <w:tr>
        <w:tc>
          <w:tcPr>
            <w:tcW w:type="dxa" w:w="1872"/>
          </w:tcPr>
          <w:p>
            <w:pPr>
              <w:spacing w:after="40" w:line="240" w:lineRule="auto"/>
              <w:jc w:val="left"/>
            </w:pPr>
            <w:r>
              <w:rPr>
                <w:sz w:val="21"/>
              </w:rPr>
            </w:r>
            <w:r>
              <w:rPr>
                <w:sz w:val="21"/>
              </w:rPr>
              <w:t>ORM</w:t>
            </w:r>
          </w:p>
        </w:tc>
        <w:tc>
          <w:tcPr>
            <w:tcW w:type="dxa" w:w="7200"/>
          </w:tcPr>
          <w:p>
            <w:pPr>
              <w:spacing w:after="40" w:line="240" w:lineRule="auto"/>
              <w:jc w:val="left"/>
            </w:pPr>
            <w:r>
              <w:rPr>
                <w:sz w:val="21"/>
              </w:rPr>
            </w:r>
            <w:r>
              <w:rPr>
                <w:sz w:val="21"/>
              </w:rPr>
              <w:t>Object-Relational Mapping</w:t>
            </w:r>
          </w:p>
        </w:tc>
      </w:tr>
      <w:tr>
        <w:tc>
          <w:tcPr>
            <w:tcW w:type="dxa" w:w="1872"/>
          </w:tcPr>
          <w:p>
            <w:pPr>
              <w:spacing w:after="40" w:line="240" w:lineRule="auto"/>
              <w:jc w:val="left"/>
            </w:pPr>
            <w:r>
              <w:rPr>
                <w:sz w:val="21"/>
              </w:rPr>
            </w:r>
            <w:r>
              <w:rPr>
                <w:sz w:val="21"/>
              </w:rPr>
              <w:t>PCM</w:t>
            </w:r>
          </w:p>
        </w:tc>
        <w:tc>
          <w:tcPr>
            <w:tcW w:type="dxa" w:w="7200"/>
          </w:tcPr>
          <w:p>
            <w:pPr>
              <w:spacing w:after="40" w:line="240" w:lineRule="auto"/>
              <w:jc w:val="left"/>
            </w:pPr>
            <w:r>
              <w:rPr>
                <w:sz w:val="21"/>
              </w:rPr>
            </w:r>
            <w:r>
              <w:rPr>
                <w:sz w:val="21"/>
              </w:rPr>
              <w:t>Pulse-Code Modulation</w:t>
            </w:r>
          </w:p>
        </w:tc>
      </w:tr>
      <w:tr>
        <w:tc>
          <w:tcPr>
            <w:tcW w:type="dxa" w:w="1872"/>
          </w:tcPr>
          <w:p>
            <w:pPr>
              <w:spacing w:after="40" w:line="240" w:lineRule="auto"/>
              <w:jc w:val="left"/>
            </w:pPr>
            <w:r>
              <w:rPr>
                <w:sz w:val="21"/>
              </w:rPr>
            </w:r>
            <w:r>
              <w:rPr>
                <w:sz w:val="21"/>
              </w:rPr>
              <w:t>PWA</w:t>
            </w:r>
          </w:p>
        </w:tc>
        <w:tc>
          <w:tcPr>
            <w:tcW w:type="dxa" w:w="7200"/>
          </w:tcPr>
          <w:p>
            <w:pPr>
              <w:spacing w:after="40" w:line="240" w:lineRule="auto"/>
              <w:jc w:val="left"/>
            </w:pPr>
            <w:r>
              <w:rPr>
                <w:sz w:val="21"/>
              </w:rPr>
            </w:r>
            <w:r>
              <w:rPr>
                <w:sz w:val="21"/>
              </w:rPr>
              <w:t>Progressive Web Application</w:t>
            </w:r>
          </w:p>
        </w:tc>
      </w:tr>
      <w:tr>
        <w:tc>
          <w:tcPr>
            <w:tcW w:type="dxa" w:w="1872"/>
          </w:tcPr>
          <w:p>
            <w:pPr>
              <w:spacing w:after="40" w:line="240" w:lineRule="auto"/>
              <w:jc w:val="left"/>
            </w:pPr>
            <w:r>
              <w:rPr>
                <w:sz w:val="21"/>
              </w:rPr>
            </w:r>
            <w:r>
              <w:rPr>
                <w:sz w:val="21"/>
              </w:rPr>
              <w:t>REST</w:t>
            </w:r>
          </w:p>
        </w:tc>
        <w:tc>
          <w:tcPr>
            <w:tcW w:type="dxa" w:w="7200"/>
          </w:tcPr>
          <w:p>
            <w:pPr>
              <w:spacing w:after="40" w:line="240" w:lineRule="auto"/>
              <w:jc w:val="left"/>
            </w:pPr>
            <w:r>
              <w:rPr>
                <w:sz w:val="21"/>
              </w:rPr>
            </w:r>
            <w:r>
              <w:rPr>
                <w:sz w:val="21"/>
              </w:rPr>
              <w:t>Representational State Transfer</w:t>
            </w:r>
          </w:p>
        </w:tc>
      </w:tr>
      <w:tr>
        <w:tc>
          <w:tcPr>
            <w:tcW w:type="dxa" w:w="1872"/>
          </w:tcPr>
          <w:p>
            <w:pPr>
              <w:spacing w:after="40" w:line="240" w:lineRule="auto"/>
              <w:jc w:val="left"/>
            </w:pPr>
            <w:r>
              <w:rPr>
                <w:sz w:val="21"/>
              </w:rPr>
            </w:r>
            <w:r>
              <w:rPr>
                <w:sz w:val="21"/>
              </w:rPr>
              <w:t>RTL</w:t>
            </w:r>
          </w:p>
        </w:tc>
        <w:tc>
          <w:tcPr>
            <w:tcW w:type="dxa" w:w="7200"/>
          </w:tcPr>
          <w:p>
            <w:pPr>
              <w:spacing w:after="40" w:line="240" w:lineRule="auto"/>
              <w:jc w:val="left"/>
            </w:pPr>
            <w:r>
              <w:rPr>
                <w:sz w:val="21"/>
              </w:rPr>
            </w:r>
            <w:r>
              <w:rPr>
                <w:sz w:val="21"/>
              </w:rPr>
              <w:t>Right-to-Left</w:t>
            </w:r>
          </w:p>
        </w:tc>
      </w:tr>
      <w:tr>
        <w:tc>
          <w:tcPr>
            <w:tcW w:type="dxa" w:w="1872"/>
          </w:tcPr>
          <w:p>
            <w:pPr>
              <w:spacing w:after="40" w:line="240" w:lineRule="auto"/>
              <w:jc w:val="left"/>
            </w:pPr>
            <w:r>
              <w:rPr>
                <w:sz w:val="21"/>
              </w:rPr>
            </w:r>
            <w:r>
              <w:rPr>
                <w:sz w:val="21"/>
              </w:rPr>
              <w:t>SBERT</w:t>
            </w:r>
          </w:p>
        </w:tc>
        <w:tc>
          <w:tcPr>
            <w:tcW w:type="dxa" w:w="7200"/>
          </w:tcPr>
          <w:p>
            <w:pPr>
              <w:spacing w:after="40" w:line="240" w:lineRule="auto"/>
              <w:jc w:val="left"/>
            </w:pPr>
            <w:r>
              <w:rPr>
                <w:sz w:val="21"/>
              </w:rPr>
            </w:r>
            <w:r>
              <w:rPr>
                <w:sz w:val="21"/>
              </w:rPr>
              <w:t>Sentence-BERT (sentence embeddings)</w:t>
            </w:r>
          </w:p>
        </w:tc>
      </w:tr>
      <w:tr>
        <w:tc>
          <w:tcPr>
            <w:tcW w:type="dxa" w:w="1872"/>
          </w:tcPr>
          <w:p>
            <w:pPr>
              <w:spacing w:after="40" w:line="240" w:lineRule="auto"/>
              <w:jc w:val="left"/>
            </w:pPr>
            <w:r>
              <w:rPr>
                <w:sz w:val="21"/>
              </w:rPr>
            </w:r>
            <w:r>
              <w:rPr>
                <w:sz w:val="21"/>
              </w:rPr>
              <w:t>SLR</w:t>
            </w:r>
          </w:p>
        </w:tc>
        <w:tc>
          <w:tcPr>
            <w:tcW w:type="dxa" w:w="7200"/>
          </w:tcPr>
          <w:p>
            <w:pPr>
              <w:spacing w:after="40" w:line="240" w:lineRule="auto"/>
              <w:jc w:val="left"/>
            </w:pPr>
            <w:r>
              <w:rPr>
                <w:sz w:val="21"/>
              </w:rPr>
            </w:r>
            <w:r>
              <w:rPr>
                <w:sz w:val="21"/>
              </w:rPr>
              <w:t>Sign-Language Recognition</w:t>
            </w:r>
          </w:p>
        </w:tc>
      </w:tr>
      <w:tr>
        <w:tc>
          <w:tcPr>
            <w:tcW w:type="dxa" w:w="1872"/>
          </w:tcPr>
          <w:p>
            <w:pPr>
              <w:spacing w:after="40" w:line="240" w:lineRule="auto"/>
              <w:jc w:val="left"/>
            </w:pPr>
            <w:r>
              <w:rPr>
                <w:sz w:val="21"/>
              </w:rPr>
            </w:r>
            <w:r>
              <w:rPr>
                <w:sz w:val="21"/>
              </w:rPr>
              <w:t>STT</w:t>
            </w:r>
          </w:p>
        </w:tc>
        <w:tc>
          <w:tcPr>
            <w:tcW w:type="dxa" w:w="7200"/>
          </w:tcPr>
          <w:p>
            <w:pPr>
              <w:spacing w:after="40" w:line="240" w:lineRule="auto"/>
              <w:jc w:val="left"/>
            </w:pPr>
            <w:r>
              <w:rPr>
                <w:sz w:val="21"/>
              </w:rPr>
            </w:r>
            <w:r>
              <w:rPr>
                <w:sz w:val="21"/>
              </w:rPr>
              <w:t>Speech-to-Text</w:t>
            </w:r>
          </w:p>
        </w:tc>
      </w:tr>
      <w:tr>
        <w:tc>
          <w:tcPr>
            <w:tcW w:type="dxa" w:w="1872"/>
          </w:tcPr>
          <w:p>
            <w:pPr>
              <w:spacing w:after="40" w:line="240" w:lineRule="auto"/>
              <w:jc w:val="left"/>
            </w:pPr>
            <w:r>
              <w:rPr>
                <w:sz w:val="21"/>
              </w:rPr>
            </w:r>
            <w:r>
              <w:rPr>
                <w:sz w:val="21"/>
              </w:rPr>
              <w:t>SVO</w:t>
            </w:r>
          </w:p>
        </w:tc>
        <w:tc>
          <w:tcPr>
            <w:tcW w:type="dxa" w:w="7200"/>
          </w:tcPr>
          <w:p>
            <w:pPr>
              <w:spacing w:after="40" w:line="240" w:lineRule="auto"/>
              <w:jc w:val="left"/>
            </w:pPr>
            <w:r>
              <w:rPr>
                <w:sz w:val="21"/>
              </w:rPr>
            </w:r>
            <w:r>
              <w:rPr>
                <w:sz w:val="21"/>
              </w:rPr>
              <w:t>Subject-Verb-Object</w:t>
            </w:r>
          </w:p>
        </w:tc>
      </w:tr>
      <w:tr>
        <w:tc>
          <w:tcPr>
            <w:tcW w:type="dxa" w:w="1872"/>
          </w:tcPr>
          <w:p>
            <w:pPr>
              <w:spacing w:after="40" w:line="240" w:lineRule="auto"/>
              <w:jc w:val="left"/>
            </w:pPr>
            <w:r>
              <w:rPr>
                <w:sz w:val="21"/>
              </w:rPr>
            </w:r>
            <w:r>
              <w:rPr>
                <w:sz w:val="21"/>
              </w:rPr>
              <w:t>TFLite</w:t>
            </w:r>
          </w:p>
        </w:tc>
        <w:tc>
          <w:tcPr>
            <w:tcW w:type="dxa" w:w="7200"/>
          </w:tcPr>
          <w:p>
            <w:pPr>
              <w:spacing w:after="40" w:line="240" w:lineRule="auto"/>
              <w:jc w:val="left"/>
            </w:pPr>
            <w:r>
              <w:rPr>
                <w:sz w:val="21"/>
              </w:rPr>
            </w:r>
            <w:r>
              <w:rPr>
                <w:sz w:val="21"/>
              </w:rPr>
              <w:t>TensorFlow Lite / LiteRT</w:t>
            </w:r>
          </w:p>
        </w:tc>
      </w:tr>
      <w:tr>
        <w:tc>
          <w:tcPr>
            <w:tcW w:type="dxa" w:w="1872"/>
          </w:tcPr>
          <w:p>
            <w:pPr>
              <w:spacing w:after="40" w:line="240" w:lineRule="auto"/>
              <w:jc w:val="left"/>
            </w:pPr>
            <w:r>
              <w:rPr>
                <w:sz w:val="21"/>
              </w:rPr>
            </w:r>
            <w:r>
              <w:rPr>
                <w:sz w:val="21"/>
              </w:rPr>
              <w:t>TTS</w:t>
            </w:r>
          </w:p>
        </w:tc>
        <w:tc>
          <w:tcPr>
            <w:tcW w:type="dxa" w:w="7200"/>
          </w:tcPr>
          <w:p>
            <w:pPr>
              <w:spacing w:after="40" w:line="240" w:lineRule="auto"/>
              <w:jc w:val="left"/>
            </w:pPr>
            <w:r>
              <w:rPr>
                <w:sz w:val="21"/>
              </w:rPr>
            </w:r>
            <w:r>
              <w:rPr>
                <w:sz w:val="21"/>
              </w:rPr>
              <w:t>Text-to-Speech</w:t>
            </w:r>
          </w:p>
        </w:tc>
      </w:tr>
      <w:tr>
        <w:tc>
          <w:tcPr>
            <w:tcW w:type="dxa" w:w="1872"/>
          </w:tcPr>
          <w:p>
            <w:pPr>
              <w:spacing w:after="40" w:line="240" w:lineRule="auto"/>
              <w:jc w:val="left"/>
            </w:pPr>
            <w:r>
              <w:rPr>
                <w:sz w:val="21"/>
              </w:rPr>
            </w:r>
            <w:r>
              <w:rPr>
                <w:sz w:val="21"/>
              </w:rPr>
              <w:t>UI</w:t>
            </w:r>
          </w:p>
        </w:tc>
        <w:tc>
          <w:tcPr>
            <w:tcW w:type="dxa" w:w="7200"/>
          </w:tcPr>
          <w:p>
            <w:pPr>
              <w:spacing w:after="40" w:line="240" w:lineRule="auto"/>
              <w:jc w:val="left"/>
            </w:pPr>
            <w:r>
              <w:rPr>
                <w:sz w:val="21"/>
              </w:rPr>
            </w:r>
            <w:r>
              <w:rPr>
                <w:sz w:val="21"/>
              </w:rPr>
              <w:t>User Interface</w:t>
            </w:r>
          </w:p>
        </w:tc>
      </w:tr>
      <w:tr>
        <w:tc>
          <w:tcPr>
            <w:tcW w:type="dxa" w:w="1872"/>
          </w:tcPr>
          <w:p>
            <w:pPr>
              <w:spacing w:after="40" w:line="240" w:lineRule="auto"/>
              <w:jc w:val="left"/>
            </w:pPr>
            <w:r>
              <w:rPr>
                <w:sz w:val="21"/>
              </w:rPr>
            </w:r>
            <w:r>
              <w:rPr>
                <w:sz w:val="21"/>
              </w:rPr>
              <w:t>WASM</w:t>
            </w:r>
          </w:p>
        </w:tc>
        <w:tc>
          <w:tcPr>
            <w:tcW w:type="dxa" w:w="7200"/>
          </w:tcPr>
          <w:p>
            <w:pPr>
              <w:spacing w:after="40" w:line="240" w:lineRule="auto"/>
              <w:jc w:val="left"/>
            </w:pPr>
            <w:r>
              <w:rPr>
                <w:sz w:val="21"/>
              </w:rPr>
            </w:r>
            <w:r>
              <w:rPr>
                <w:sz w:val="21"/>
              </w:rPr>
              <w:t>WebAssembly</w:t>
            </w:r>
          </w:p>
        </w:tc>
      </w:tr>
      <w:tr>
        <w:tc>
          <w:tcPr>
            <w:tcW w:type="dxa" w:w="1872"/>
          </w:tcPr>
          <w:p>
            <w:pPr>
              <w:spacing w:after="40" w:line="240" w:lineRule="auto"/>
              <w:jc w:val="left"/>
            </w:pPr>
            <w:r>
              <w:rPr>
                <w:sz w:val="21"/>
              </w:rPr>
            </w:r>
            <w:r>
              <w:rPr>
                <w:sz w:val="21"/>
              </w:rPr>
              <w:t>WebRTC</w:t>
            </w:r>
          </w:p>
        </w:tc>
        <w:tc>
          <w:tcPr>
            <w:tcW w:type="dxa" w:w="7200"/>
          </w:tcPr>
          <w:p>
            <w:pPr>
              <w:spacing w:after="40" w:line="240" w:lineRule="auto"/>
              <w:jc w:val="left"/>
            </w:pPr>
            <w:r>
              <w:rPr>
                <w:sz w:val="21"/>
              </w:rPr>
            </w:r>
            <w:r>
              <w:rPr>
                <w:sz w:val="21"/>
              </w:rPr>
              <w:t>Web Real-Time Communication</w:t>
            </w:r>
          </w:p>
        </w:tc>
      </w:tr>
    </w:tbl>
    <w:p>
      <w:pPr>
        <w:spacing w:after="40"/>
      </w:pPr>
    </w:p>
    <w:p>
      <w:r>
        <w:br w:type="page"/>
      </w:r>
    </w:p>
    <w:p>
      <w:pPr>
        <w:pStyle w:val="Heading1"/>
      </w:pPr>
      <w:r>
        <w:t>List of Symbols</w:t>
      </w:r>
    </w:p>
    <w:tbl>
      <w:tblPr>
        <w:tblStyle w:val="TableGrid"/>
        <w:tblW w:type="auto" w:w="0"/>
        <w:jc w:val="center"/>
        <w:tblLook w:firstColumn="1" w:firstRow="1" w:lastColumn="0" w:lastRow="0" w:noHBand="0" w:noVBand="1" w:val="04A0"/>
        <w:tblBorders>
          <w:top w:val="single" w:sz="6" w:space="0" w:color="9BB3CC"/>
          <w:left w:val="single" w:sz="6" w:space="0" w:color="9BB3CC"/>
          <w:bottom w:val="single" w:sz="6" w:space="0" w:color="9BB3CC"/>
          <w:right w:val="single" w:sz="6" w:space="0" w:color="9BB3CC"/>
          <w:insideH w:val="single" w:sz="6" w:space="0" w:color="9BB3CC"/>
          <w:insideV w:val="single" w:sz="6" w:space="0" w:color="9BB3CC"/>
        </w:tblBorders>
      </w:tblPr>
      <w:tblGrid>
        <w:gridCol w:w="4680"/>
        <w:gridCol w:w="4680"/>
      </w:tblGrid>
      <w:tr>
        <w:tc>
          <w:tcPr>
            <w:tcW w:type="dxa" w:w="2304"/>
            <w:shd w:val="clear" w:color="auto" w:fill="2F6DB5"/>
          </w:tcPr>
          <w:p>
            <w:pPr>
              <w:jc w:val="left"/>
            </w:pPr>
            <w:r/>
            <w:r>
              <w:rPr>
                <w:b/>
                <w:color w:val="FFFFFF"/>
                <w:sz w:val="21"/>
              </w:rPr>
              <w:t>Symbol</w:t>
            </w:r>
          </w:p>
        </w:tc>
        <w:tc>
          <w:tcPr>
            <w:tcW w:type="dxa" w:w="6768"/>
            <w:shd w:val="clear" w:color="auto" w:fill="2F6DB5"/>
          </w:tcPr>
          <w:p>
            <w:pPr>
              <w:jc w:val="left"/>
            </w:pPr>
            <w:r/>
            <w:r>
              <w:rPr>
                <w:b/>
                <w:color w:val="FFFFFF"/>
                <w:sz w:val="21"/>
              </w:rPr>
              <w:t>Meaning</w:t>
            </w:r>
          </w:p>
        </w:tc>
      </w:tr>
      <w:tr>
        <w:tc>
          <w:tcPr>
            <w:tcW w:type="dxa" w:w="2304"/>
          </w:tcPr>
          <w:p>
            <w:pPr>
              <w:spacing w:after="40" w:line="240" w:lineRule="auto"/>
              <w:jc w:val="left"/>
            </w:pPr>
            <w:r>
              <w:rPr>
                <w:sz w:val="21"/>
              </w:rPr>
            </w:r>
            <w:r>
              <w:rPr>
                <w:sz w:val="21"/>
              </w:rPr>
              <w:t>N</w:t>
            </w:r>
          </w:p>
        </w:tc>
        <w:tc>
          <w:tcPr>
            <w:tcW w:type="dxa" w:w="6768"/>
          </w:tcPr>
          <w:p>
            <w:pPr>
              <w:spacing w:after="40" w:line="240" w:lineRule="auto"/>
              <w:jc w:val="left"/>
            </w:pPr>
            <w:r>
              <w:rPr>
                <w:sz w:val="21"/>
              </w:rPr>
            </w:r>
            <w:r>
              <w:rPr>
                <w:sz w:val="21"/>
              </w:rPr>
              <w:t>Number of frames in a landmark sequence (rolling window, up to 60)</w:t>
            </w:r>
          </w:p>
        </w:tc>
      </w:tr>
      <w:tr>
        <w:tc>
          <w:tcPr>
            <w:tcW w:type="dxa" w:w="2304"/>
          </w:tcPr>
          <w:p>
            <w:pPr>
              <w:spacing w:after="40" w:line="240" w:lineRule="auto"/>
              <w:jc w:val="left"/>
            </w:pPr>
            <w:r>
              <w:rPr>
                <w:sz w:val="21"/>
              </w:rPr>
            </w:r>
            <w:r>
              <w:rPr>
                <w:sz w:val="21"/>
              </w:rPr>
              <w:t>w, h</w:t>
            </w:r>
          </w:p>
        </w:tc>
        <w:tc>
          <w:tcPr>
            <w:tcW w:type="dxa" w:w="6768"/>
          </w:tcPr>
          <w:p>
            <w:pPr>
              <w:spacing w:after="40" w:line="240" w:lineRule="auto"/>
              <w:jc w:val="left"/>
            </w:pPr>
            <w:r>
              <w:rPr>
                <w:sz w:val="21"/>
              </w:rPr>
            </w:r>
            <w:r>
              <w:rPr>
                <w:sz w:val="21"/>
              </w:rPr>
              <w:t>Captured video frame width and height in pixels</w:t>
            </w:r>
          </w:p>
        </w:tc>
      </w:tr>
      <w:tr>
        <w:tc>
          <w:tcPr>
            <w:tcW w:type="dxa" w:w="2304"/>
          </w:tcPr>
          <w:p>
            <w:pPr>
              <w:spacing w:after="40" w:line="240" w:lineRule="auto"/>
              <w:jc w:val="left"/>
            </w:pPr>
            <w:r>
              <w:rPr>
                <w:sz w:val="21"/>
              </w:rPr>
            </w:r>
            <w:r>
              <w:rPr>
                <w:sz w:val="21"/>
              </w:rPr>
              <w:t>x = (x, y, z)</w:t>
            </w:r>
          </w:p>
        </w:tc>
        <w:tc>
          <w:tcPr>
            <w:tcW w:type="dxa" w:w="6768"/>
          </w:tcPr>
          <w:p>
            <w:pPr>
              <w:spacing w:after="40" w:line="240" w:lineRule="auto"/>
              <w:jc w:val="left"/>
            </w:pPr>
            <w:r>
              <w:rPr>
                <w:sz w:val="21"/>
              </w:rPr>
            </w:r>
            <w:r>
              <w:rPr>
                <w:sz w:val="21"/>
              </w:rPr>
              <w:t>A single 3-D landmark coordinate (z zeroed for the Arabic model)</w:t>
            </w:r>
          </w:p>
        </w:tc>
      </w:tr>
      <w:tr>
        <w:tc>
          <w:tcPr>
            <w:tcW w:type="dxa" w:w="2304"/>
          </w:tcPr>
          <w:p>
            <w:pPr>
              <w:spacing w:after="40" w:line="240" w:lineRule="auto"/>
              <w:jc w:val="left"/>
            </w:pPr>
            <w:r>
              <w:rPr>
                <w:sz w:val="21"/>
              </w:rPr>
            </w:r>
            <w:r>
              <w:rPr>
                <w:sz w:val="21"/>
              </w:rPr>
              <w:t>c</w:t>
            </w:r>
          </w:p>
        </w:tc>
        <w:tc>
          <w:tcPr>
            <w:tcW w:type="dxa" w:w="6768"/>
          </w:tcPr>
          <w:p>
            <w:pPr>
              <w:spacing w:after="40" w:line="240" w:lineRule="auto"/>
              <w:jc w:val="left"/>
            </w:pPr>
            <w:r>
              <w:rPr>
                <w:sz w:val="21"/>
              </w:rPr>
            </w:r>
            <w:r>
              <w:rPr>
                <w:sz w:val="21"/>
              </w:rPr>
              <w:t>Shoulder-centre point used to translate-normalize landmarks</w:t>
            </w:r>
          </w:p>
        </w:tc>
      </w:tr>
      <w:tr>
        <w:tc>
          <w:tcPr>
            <w:tcW w:type="dxa" w:w="2304"/>
          </w:tcPr>
          <w:p>
            <w:pPr>
              <w:spacing w:after="40" w:line="240" w:lineRule="auto"/>
              <w:jc w:val="left"/>
            </w:pPr>
            <w:r>
              <w:rPr>
                <w:sz w:val="21"/>
              </w:rPr>
            </w:r>
            <w:r>
              <w:rPr>
                <w:sz w:val="21"/>
              </w:rPr>
              <w:t>s</w:t>
            </w:r>
          </w:p>
        </w:tc>
        <w:tc>
          <w:tcPr>
            <w:tcW w:type="dxa" w:w="6768"/>
          </w:tcPr>
          <w:p>
            <w:pPr>
              <w:spacing w:after="40" w:line="240" w:lineRule="auto"/>
              <w:jc w:val="left"/>
            </w:pPr>
            <w:r>
              <w:rPr>
                <w:sz w:val="21"/>
              </w:rPr>
            </w:r>
            <w:r>
              <w:rPr>
                <w:sz w:val="21"/>
              </w:rPr>
              <w:t>Shoulder-width scale used to size-normalize landmarks</w:t>
            </w:r>
          </w:p>
        </w:tc>
      </w:tr>
      <w:tr>
        <w:tc>
          <w:tcPr>
            <w:tcW w:type="dxa" w:w="2304"/>
          </w:tcPr>
          <w:p>
            <w:pPr>
              <w:spacing w:after="40" w:line="240" w:lineRule="auto"/>
              <w:jc w:val="left"/>
            </w:pPr>
            <w:r>
              <w:rPr>
                <w:sz w:val="21"/>
              </w:rPr>
            </w:r>
            <w:r>
              <w:rPr>
                <w:sz w:val="21"/>
              </w:rPr>
              <w:t>α</w:t>
            </w:r>
          </w:p>
        </w:tc>
        <w:tc>
          <w:tcPr>
            <w:tcW w:type="dxa" w:w="6768"/>
          </w:tcPr>
          <w:p>
            <w:pPr>
              <w:spacing w:after="40" w:line="240" w:lineRule="auto"/>
              <w:jc w:val="left"/>
            </w:pPr>
            <w:r>
              <w:rPr>
                <w:sz w:val="21"/>
              </w:rPr>
            </w:r>
            <w:r>
              <w:rPr>
                <w:sz w:val="21"/>
              </w:rPr>
              <w:t>Exponential-moving-average smoothing weight (α = 0.65)</w:t>
            </w:r>
          </w:p>
        </w:tc>
      </w:tr>
      <w:tr>
        <w:tc>
          <w:tcPr>
            <w:tcW w:type="dxa" w:w="2304"/>
          </w:tcPr>
          <w:p>
            <w:pPr>
              <w:spacing w:after="40" w:line="240" w:lineRule="auto"/>
              <w:jc w:val="left"/>
            </w:pPr>
            <w:r>
              <w:rPr>
                <w:sz w:val="21"/>
              </w:rPr>
            </w:r>
            <w:r>
              <w:rPr>
                <w:sz w:val="21"/>
              </w:rPr>
              <w:t>pᵢ</w:t>
            </w:r>
          </w:p>
        </w:tc>
        <w:tc>
          <w:tcPr>
            <w:tcW w:type="dxa" w:w="6768"/>
          </w:tcPr>
          <w:p>
            <w:pPr>
              <w:spacing w:after="40" w:line="240" w:lineRule="auto"/>
              <w:jc w:val="left"/>
            </w:pPr>
            <w:r>
              <w:rPr>
                <w:sz w:val="21"/>
              </w:rPr>
            </w:r>
            <w:r>
              <w:rPr>
                <w:sz w:val="21"/>
              </w:rPr>
              <w:t>Soft-max probability of class i</w:t>
            </w:r>
          </w:p>
        </w:tc>
      </w:tr>
      <w:tr>
        <w:tc>
          <w:tcPr>
            <w:tcW w:type="dxa" w:w="2304"/>
          </w:tcPr>
          <w:p>
            <w:pPr>
              <w:spacing w:after="40" w:line="240" w:lineRule="auto"/>
              <w:jc w:val="left"/>
            </w:pPr>
            <w:r>
              <w:rPr>
                <w:sz w:val="21"/>
              </w:rPr>
            </w:r>
            <w:r>
              <w:rPr>
                <w:sz w:val="21"/>
              </w:rPr>
              <w:t>τ</w:t>
            </w:r>
          </w:p>
        </w:tc>
        <w:tc>
          <w:tcPr>
            <w:tcW w:type="dxa" w:w="6768"/>
          </w:tcPr>
          <w:p>
            <w:pPr>
              <w:spacing w:after="40" w:line="240" w:lineRule="auto"/>
              <w:jc w:val="left"/>
            </w:pPr>
            <w:r>
              <w:rPr>
                <w:sz w:val="21"/>
              </w:rPr>
            </w:r>
            <w:r>
              <w:rPr>
                <w:sz w:val="21"/>
              </w:rPr>
              <w:t>Confidence-acceptance threshold (τ = 0.50 ASL, 0.45 ArSL)</w:t>
            </w:r>
          </w:p>
        </w:tc>
      </w:tr>
      <w:tr>
        <w:tc>
          <w:tcPr>
            <w:tcW w:type="dxa" w:w="2304"/>
          </w:tcPr>
          <w:p>
            <w:pPr>
              <w:spacing w:after="40" w:line="240" w:lineRule="auto"/>
              <w:jc w:val="left"/>
            </w:pPr>
            <w:r>
              <w:rPr>
                <w:sz w:val="21"/>
              </w:rPr>
            </w:r>
            <w:r>
              <w:rPr>
                <w:sz w:val="21"/>
              </w:rPr>
              <w:t>d_cos</w:t>
            </w:r>
          </w:p>
        </w:tc>
        <w:tc>
          <w:tcPr>
            <w:tcW w:type="dxa" w:w="6768"/>
          </w:tcPr>
          <w:p>
            <w:pPr>
              <w:spacing w:after="40" w:line="240" w:lineRule="auto"/>
              <w:jc w:val="left"/>
            </w:pPr>
            <w:r>
              <w:rPr>
                <w:sz w:val="21"/>
              </w:rPr>
            </w:r>
            <w:r>
              <w:rPr>
                <w:sz w:val="21"/>
              </w:rPr>
              <w:t>Cosine distance between SBERT embeddings (1 − cosine similarity)</w:t>
            </w:r>
          </w:p>
        </w:tc>
      </w:tr>
    </w:tbl>
    <w:p>
      <w:pPr>
        <w:spacing w:after="40"/>
      </w:pPr>
    </w:p>
    <w:p>
      <w:pPr>
        <w:sectPr>
          <w:footerReference w:type="default" r:id="rId10"/>
          <w:pgSz w:w="12240" w:h="15840"/>
          <w:pgMar w:top="1800" w:right="1080" w:bottom="1800" w:left="1800" w:header="720" w:footer="720" w:gutter="0"/>
          <w:cols w:space="720"/>
          <w:titlePg/>
          <w:docGrid w:linePitch="360"/>
          <w:pgNumType w:fmt="lowerRoman"/>
        </w:sectPr>
      </w:pPr>
    </w:p>
    <w:p>
      <w:pPr>
        <w:pStyle w:val="Heading1"/>
      </w:pPr>
      <w:r>
        <w:t>Chapter 1: Introduction</w:t>
      </w:r>
    </w:p>
    <w:p>
      <w:pPr>
        <w:jc w:val="both"/>
      </w:pPr>
      <w:r>
        <w:t xml:space="preserve">Sign languages are complete, natural languages with their own phonology, morphology and grammar; they are the primary means of communication for millions of Deaf and Hard-of-Hearing (Deaf/HoH) people. Yet most hearing people do not sign, and qualified interpreters are scarce and expensive, which leaves a persistent communication barrier in education, healthcare, employment and everyday public life </w:t>
      </w:r>
      <w:hyperlink w:anchor="ref1">
        <w:r>
          <w:rPr>
            <w:rStyle w:val="Hyperlink"/>
            <w:color w:val="2F6DB5"/>
          </w:rPr>
          <w:t xml:space="preserve">[1]</w:t>
        </w:r>
      </w:hyperlink>
      <w:r>
        <w:t xml:space="preserve">, </w:t>
      </w:r>
      <w:hyperlink w:anchor="ref20">
        <w:r>
          <w:rPr>
            <w:rStyle w:val="Hyperlink"/>
            <w:color w:val="2F6DB5"/>
          </w:rPr>
          <w:t xml:space="preserve">[20]</w:t>
        </w:r>
      </w:hyperlink>
      <w:r>
        <w:t xml:space="preserve">. This project addresses that barrier with </w:t>
      </w:r>
      <w:r>
        <w:rPr>
          <w:b/>
        </w:rPr>
        <w:t>Together</w:t>
      </w:r>
      <w:r>
        <w:t>, a software platform that uses computer vision and machine learning to translate sign language to and from text and speech in real time, directly in a web browser and with no specialised hardware beyond a webcam.</w:t>
      </w:r>
    </w:p>
    <w:p>
      <w:pPr>
        <w:jc w:val="both"/>
      </w:pPr>
      <w:r>
        <w:t xml:space="preserve">The objective of the project was to build a working, deployable, bi-directional translator that supports two sign languages — American Sign Language (ASL) and Arabic/Egyptian Sign Language (ArSL) — and that operates in four translation directions: sign-to-text, sign-to-speech, text-to-sign and speech-to-sign. A live meeting mode extends these directions to a two-party conversation between a signer and a speaker. The overall approach is </w:t>
      </w:r>
      <w:r>
        <w:rPr>
          <w:b/>
        </w:rPr>
        <w:t>landmark-based</w:t>
      </w:r>
      <w:r>
        <w:t>: rather than feeding raw pixels to a deep network, the browser uses Google's MediaPipe Holistic to extract a compact, privacy-friendly skeleton of 543 body, face and hand landmarks per frame, and the server classifies sequences of these landmarks into signs. Recognized signs are assembled into natural sentences by a language-model layer that respects the Topic-Comment grammar of sign languages, and the reverse path animates an on-screen avatar from stored landmark sequences retrieved by semantic search.</w:t>
      </w:r>
    </w:p>
    <w:p>
      <w:pPr>
        <w:jc w:val="both"/>
      </w:pPr>
      <w:r>
        <w:t xml:space="preserve">The remainder of this thesis is organised as follows. </w:t>
      </w:r>
      <w:r>
        <w:rPr>
          <w:b/>
        </w:rPr>
        <w:t>Chapter 2</w:t>
      </w:r>
      <w:r>
        <w:t xml:space="preserve"> reviews prior work on sign-language recognition and translation — vision-based, sensor-glove and landmark-based approaches, and the deep models (CNN, LSTM/GRU and Transformer) that underpin them — and positions the gap this project addresses. </w:t>
      </w:r>
      <w:r>
        <w:rPr>
          <w:b/>
        </w:rPr>
        <w:t>Chapter 3</w:t>
      </w:r>
      <w:r>
        <w:t xml:space="preserve"> is the core technical chapter: it documents the development methodology, the requirements and analysis, the system design and architecture (with the full set of UML and data-flow diagrams), the data and pre-processing pipeline, the recognition models and their implementation, and the testing, validation and measured results. </w:t>
      </w:r>
      <w:r>
        <w:rPr>
          <w:b/>
        </w:rPr>
        <w:t>Chapter 4</w:t>
      </w:r>
      <w:r>
        <w:t xml:space="preserve"> concludes by comparing the achievements against the objectives and setting out concrete future work. The references follow in IEEE numbered format.</w:t>
      </w:r>
    </w:p>
    <w:p>
      <w:pPr>
        <w:pStyle w:val="Heading2"/>
      </w:pPr>
      <w:r>
        <w:t>1.1 Motivation</w:t>
      </w:r>
    </w:p>
    <w:p>
      <w:pPr>
        <w:jc w:val="both"/>
      </w:pPr>
      <w:r>
        <w:t xml:space="preserve">Hearing loss is one of the most widespread sensory disabilities. The World Health Organization estimates that over 1.5 billion people live with some degree of hearing loss and that this figure is rising </w:t>
      </w:r>
      <w:hyperlink w:anchor="ref20">
        <w:r>
          <w:rPr>
            <w:rStyle w:val="Hyperlink"/>
            <w:color w:val="2F6DB5"/>
          </w:rPr>
          <w:t xml:space="preserve">[20]</w:t>
        </w:r>
      </w:hyperlink>
      <w:r>
        <w:t xml:space="preserve">. </w:t>
      </w:r>
      <w:r>
        <w:rPr>
          <w:b/>
          <w:color w:val="B01A1A"/>
        </w:rPr>
        <w:t>⚠ VERIFY: replace WHO/regional Deaf-population figures with citable, up-to-date statistics, including Egypt/MENA where available.</w:t>
      </w:r>
      <w:r>
        <w:t xml:space="preserve"> For people who communicate primarily through sign language, the barrier is not the disability itself but the gap between signers and the hearing world: a Deaf patient describing symptoms to a doctor, a Deaf student following a lecture, or a Deaf customer at a service desk frequently has no interpreter available. Human interpreting does not scale to these everyday, spontaneous interactions.</w:t>
      </w:r>
    </w:p>
    <w:p>
      <w:pPr>
        <w:jc w:val="both"/>
      </w:pPr>
      <w:r>
        <w:t xml:space="preserve">Technology can narrow this gap, but most existing solutions are limited: they require intrusive gloves or depth cameras, run only on the desktop, recognise only static fingerspelling, or support a single sign language. Together was motivated by the goal of an </w:t>
      </w:r>
      <w:r>
        <w:rPr>
          <w:b/>
        </w:rPr>
        <w:t>accessible</w:t>
      </w:r>
      <w:r>
        <w:t xml:space="preserve"> tool — one that works on an ordinary laptop or phone browser, needs no installation, and is bilingual from the ground up. The decision to support both ASL and ArSL is deliberate: ASL is among the most-studied sign languages with the largest public datasets, which makes a strong English baseline feasible, whereas Arabic and specifically Egyptian sign language are under-resourced, so building even a 20-sign Egyptian recogniser contributes to an under-served community and demonstrates that the architecture generalises across languages and writing directions (the entire interface mirrors to right-to-left for Arabic). </w:t>
      </w:r>
      <w:r>
        <w:rPr>
          <w:b/>
          <w:color w:val="B01A1A"/>
        </w:rPr>
        <w:t>⚠ GAP: add any project-specific motivation — a community partner, sponsor, or accessibility problem the team observed first-hand.</w:t>
      </w:r>
    </w:p>
    <w:p>
      <w:pPr>
        <w:pStyle w:val="Heading2"/>
      </w:pPr>
      <w:r>
        <w:t>1.2 Aims and Objectives</w:t>
      </w:r>
    </w:p>
    <w:p>
      <w:pPr>
        <w:jc w:val="both"/>
      </w:pPr>
      <w:r>
        <w:t>The aim of the project was to design, implement and evaluate a real-time, bi-directional, bilingual sign-language translation platform deployable on the web. This aim was decomposed into the following concrete objectives, each of which is realised by an identifiable part of the system:</w:t>
      </w:r>
    </w:p>
    <w:p>
      <w:pPr>
        <w:pStyle w:val="ListBullet"/>
      </w:pPr>
      <w:r>
        <w:rPr>
          <w:b/>
        </w:rPr>
        <w:t>O1 — Real-time capture.</w:t>
      </w:r>
      <w:r>
        <w:t xml:space="preserve"> Extract body/hand/face landmarks from a webcam in the browser and stream them to the server with low latency (MediaPipe Holistic; Socket.IO streaming in app/static/js/app.js).</w:t>
      </w:r>
    </w:p>
    <w:p>
      <w:pPr>
        <w:pStyle w:val="ListBullet"/>
      </w:pPr>
      <w:r>
        <w:rPr>
          <w:b/>
        </w:rPr>
        <w:t>O2 — Isolated-sign recognition for two languages.</w:t>
      </w:r>
      <w:r>
        <w:t xml:space="preserve"> Train/integrate a 250-class ASL model and a 20-class ArSL model and serve both behind one API (models/model.tflite, models/best_model.pth, app/server/asl_service.py, models/sign_predictor.py).</w:t>
      </w:r>
    </w:p>
    <w:p>
      <w:pPr>
        <w:pStyle w:val="ListBullet"/>
      </w:pPr>
      <w:r>
        <w:rPr>
          <w:b/>
        </w:rPr>
        <w:t>O3 — Natural-language output.</w:t>
      </w:r>
      <w:r>
        <w:t xml:space="preserve"> Convert recognized Topic-Comment gloss into fluent sentences and speech, and the reverse, with graceful offline fallback (app/server/gloss.py, app/server/providers/).</w:t>
      </w:r>
    </w:p>
    <w:p>
      <w:pPr>
        <w:pStyle w:val="ListBullet"/>
      </w:pPr>
      <w:r>
        <w:rPr>
          <w:b/>
        </w:rPr>
        <w:t>O4 — Sign synthesis (text/speech-to-sign).</w:t>
      </w:r>
      <w:r>
        <w:t xml:space="preserve"> Animate an avatar from stored landmark sequences retrieved by semantic search, synthesising unknown words by fingerspelling (app/server/asl_service.py, app/server/stitch.py, app/static/js/landmark-player.js).</w:t>
      </w:r>
    </w:p>
    <w:p>
      <w:pPr>
        <w:pStyle w:val="ListBullet"/>
      </w:pPr>
      <w:r>
        <w:rPr>
          <w:b/>
        </w:rPr>
        <w:t>O5 — Live two-party translation.</w:t>
      </w:r>
      <w:r>
        <w:t xml:space="preserve"> Provide a WebRTC meeting that translates between a signer and a speaker (Socket.IO signalling in app/server/main.py).</w:t>
      </w:r>
    </w:p>
    <w:p>
      <w:pPr>
        <w:pStyle w:val="ListBullet"/>
      </w:pPr>
      <w:r>
        <w:rPr>
          <w:b/>
        </w:rPr>
        <w:t>O6 — Production qualities.</w:t>
      </w:r>
      <w:r>
        <w:t xml:space="preserve"> Bilingual (LTR/RTL) UI, authentication, rate-limiting, latency profiling and a deployable container (app/server/auth.py, app/server/profiling.py, docker-compose.yml).</w:t>
      </w:r>
    </w:p>
    <w:p>
      <w:pPr>
        <w:jc w:val="both"/>
      </w:pPr>
      <w:r>
        <w:t>Chapter 3 reports how each objective was met and Chapter 4 evaluates the outcome against them.</w:t>
      </w:r>
    </w:p>
    <w:p>
      <w:r>
        <w:br w:type="page"/>
      </w:r>
    </w:p>
    <w:p>
      <w:pPr>
        <w:pStyle w:val="Heading1"/>
      </w:pPr>
      <w:r>
        <w:t>Chapter 2: Review of Literature</w:t>
      </w:r>
    </w:p>
    <w:p>
      <w:pPr>
        <w:jc w:val="both"/>
      </w:pPr>
      <w:r>
        <w:t xml:space="preserve">Automatic sign-language recognition (SLR) and translation has been studied for three decades, and the literature divides naturally by the </w:t>
      </w:r>
      <w:r>
        <w:rPr>
          <w:b/>
        </w:rPr>
        <w:t>input modality</w:t>
      </w:r>
      <w:r>
        <w:t xml:space="preserve"> used to capture a sign and by the </w:t>
      </w:r>
      <w:r>
        <w:rPr>
          <w:b/>
        </w:rPr>
        <w:t>model</w:t>
      </w:r>
      <w:r>
        <w:t xml:space="preserve"> used to classify it. This chapter surveys vision-based, sensor-based and landmark-based recognition, the deep-learning architectures that dominate recent work, and the specific state of Arabic sign-language research, before stating the gap that Together addresses. A consolidated comparison of representative systems is given in Table 1.</w:t>
      </w:r>
    </w:p>
    <w:p>
      <w:pPr>
        <w:pStyle w:val="Heading2"/>
      </w:pPr>
      <w:r>
        <w:t>2.1 Vision-Based and Sensor-Based Recognition</w:t>
      </w:r>
    </w:p>
    <w:p>
      <w:pPr>
        <w:jc w:val="both"/>
      </w:pPr>
      <w:r>
        <w:t xml:space="preserve">Early systems treated SLR as a video classification problem. Starner et al. </w:t>
      </w:r>
      <w:hyperlink w:anchor="ref19">
        <w:r>
          <w:rPr>
            <w:rStyle w:val="Hyperlink"/>
            <w:color w:val="2F6DB5"/>
          </w:rPr>
          <w:t xml:space="preserve">[19]</w:t>
        </w:r>
      </w:hyperlink>
      <w:r>
        <w:t xml:space="preserve"> used hidden Markov models on camera and wearable-camera video to recognise a 40-word ASL vocabulary at high accuracy, but under controlled, person-dependent conditions. Sensor-glove approaches instrument the hand directly: Oz and Leu </w:t>
      </w:r>
      <w:hyperlink w:anchor="ref17">
        <w:r>
          <w:rPr>
            <w:rStyle w:val="Hyperlink"/>
            <w:color w:val="2F6DB5"/>
          </w:rPr>
          <w:t xml:space="preserve">[17]</w:t>
        </w:r>
      </w:hyperlink>
      <w:r>
        <w:t xml:space="preserve"> recognised ASL words from a DataGlove and a motion tracker with an artificial neural network, achieving strong accuracy at the cost of intrusive hardware that is impractical for everyday use. As deep learning matured, end-to-end video models such as the 3-D convolutional I3D network </w:t>
      </w:r>
      <w:hyperlink w:anchor="ref10">
        <w:r>
          <w:rPr>
            <w:rStyle w:val="Hyperlink"/>
            <w:color w:val="2F6DB5"/>
          </w:rPr>
          <w:t xml:space="preserve">[10]</w:t>
        </w:r>
      </w:hyperlink>
      <w:r>
        <w:t xml:space="preserve"> were applied to large word-level datasets; on the 2,000-word WLASL benchmark </w:t>
      </w:r>
      <w:hyperlink w:anchor="ref16">
        <w:r>
          <w:rPr>
            <w:rStyle w:val="Hyperlink"/>
            <w:color w:val="2F6DB5"/>
          </w:rPr>
          <w:t xml:space="preserve">[16]</w:t>
        </w:r>
      </w:hyperlink>
      <w:r>
        <w:t xml:space="preserve"> top-1 accuracy drops sharply as the vocabulary grows, illustrating how data-hungry pixel-based models are. Multi-modal datasets such as AUTSL </w:t>
      </w:r>
      <w:hyperlink w:anchor="ref15">
        <w:r>
          <w:rPr>
            <w:rStyle w:val="Hyperlink"/>
            <w:color w:val="2F6DB5"/>
          </w:rPr>
          <w:t xml:space="preserve">[15]</w:t>
        </w:r>
      </w:hyperlink>
      <w:r>
        <w:t xml:space="preserve"> add depth to RGB and report high accuracy with CNN-plus-LSTM pipelines, but depend on a depth sensor.</w:t>
      </w:r>
    </w:p>
    <w:p>
      <w:pPr>
        <w:pStyle w:val="Heading3"/>
      </w:pPr>
      <w:r>
        <w:t>2.1.1 Landmark-Based Recognition</w:t>
      </w:r>
    </w:p>
    <w:p>
      <w:pPr>
        <w:jc w:val="both"/>
      </w:pPr>
      <w:r>
        <w:t xml:space="preserve">A more recent and practical line of work replaces raw pixels with </w:t>
      </w:r>
      <w:r>
        <w:rPr>
          <w:b/>
        </w:rPr>
        <w:t>pose and hand landmarks</w:t>
      </w:r>
      <w:r>
        <w:t xml:space="preserve"> produced by a real-time tracker, most commonly Google's MediaPipe framework </w:t>
      </w:r>
      <w:hyperlink w:anchor="ref2">
        <w:r>
          <w:rPr>
            <w:rStyle w:val="Hyperlink"/>
            <w:color w:val="2F6DB5"/>
          </w:rPr>
          <w:t xml:space="preserve">[2]</w:t>
        </w:r>
      </w:hyperlink>
      <w:r>
        <w:t xml:space="preserve">, </w:t>
      </w:r>
      <w:hyperlink w:anchor="ref3">
        <w:r>
          <w:rPr>
            <w:rStyle w:val="Hyperlink"/>
            <w:color w:val="2F6DB5"/>
          </w:rPr>
          <w:t xml:space="preserve">[3]</w:t>
        </w:r>
      </w:hyperlink>
      <w:r>
        <w:t xml:space="preserve">. Landmarks are compact (a few hundred numbers per frame instead of an image), are largely invariant to background, lighting and clothing, and preserve privacy because the original video never leaves the device. The Google Isolated Sign Language Recognition (GISLR / PopSign) effort popularised a standardised 543-landmark MediaPipe Holistic representation and a 250-sign vocabulary for English ASL </w:t>
      </w:r>
      <w:hyperlink w:anchor="ref4">
        <w:r>
          <w:rPr>
            <w:rStyle w:val="Hyperlink"/>
            <w:color w:val="2F6DB5"/>
          </w:rPr>
          <w:t xml:space="preserve">[4]</w:t>
        </w:r>
      </w:hyperlink>
      <w:r>
        <w:t xml:space="preserve">. Together adopts exactly this representation and vocabulary for its English model, which makes the approach reproducible and the results comparable, while running the whole tracker in the browser via WebAssembly. Sequence models — recurrent networks (LSTM </w:t>
      </w:r>
      <w:hyperlink w:anchor="ref8">
        <w:r>
          <w:rPr>
            <w:rStyle w:val="Hyperlink"/>
            <w:color w:val="2F6DB5"/>
          </w:rPr>
          <w:t xml:space="preserve">[8]</w:t>
        </w:r>
      </w:hyperlink>
      <w:r>
        <w:t xml:space="preserve"> and GRU </w:t>
      </w:r>
      <w:hyperlink w:anchor="ref9">
        <w:r>
          <w:rPr>
            <w:rStyle w:val="Hyperlink"/>
            <w:color w:val="2F6DB5"/>
          </w:rPr>
          <w:t xml:space="preserve">[9]</w:t>
        </w:r>
      </w:hyperlink>
      <w:r>
        <w:t xml:space="preserve">) and, more recently, Transformers </w:t>
      </w:r>
      <w:hyperlink w:anchor="ref7">
        <w:r>
          <w:rPr>
            <w:rStyle w:val="Hyperlink"/>
            <w:color w:val="2F6DB5"/>
          </w:rPr>
          <w:t xml:space="preserve">[7]</w:t>
        </w:r>
      </w:hyperlink>
      <w:r>
        <w:t xml:space="preserve"> — are the standard choice for classifying landmark sequences, because a sign is a trajectory through time rather than a single pose.</w:t>
      </w:r>
    </w:p>
    <w:p>
      <w:pPr>
        <w:pStyle w:val="Heading2"/>
      </w:pPr>
      <w:r>
        <w:t>2.2 Deep Models, Arabic Sign Language, and the Gap</w:t>
      </w:r>
    </w:p>
    <w:p>
      <w:pPr>
        <w:jc w:val="both"/>
      </w:pPr>
      <w:r>
        <w:t xml:space="preserve">For continuous, sentence-level signing, Camgoz et al. introduced neural sign-language translation </w:t>
      </w:r>
      <w:hyperlink w:anchor="ref11">
        <w:r>
          <w:rPr>
            <w:rStyle w:val="Hyperlink"/>
            <w:color w:val="2F6DB5"/>
          </w:rPr>
          <w:t xml:space="preserve">[11]</w:t>
        </w:r>
      </w:hyperlink>
      <w:r>
        <w:t xml:space="preserve"> and later Sign Language Transformers </w:t>
      </w:r>
      <w:hyperlink w:anchor="ref12">
        <w:r>
          <w:rPr>
            <w:rStyle w:val="Hyperlink"/>
            <w:color w:val="2F6DB5"/>
          </w:rPr>
          <w:t xml:space="preserve">[12]</w:t>
        </w:r>
      </w:hyperlink>
      <w:r>
        <w:t xml:space="preserve">, jointly learning recognition and translation on the German PHOENIX14T corpus and reporting translation quality in BLEU. These models are powerful but require large aligned corpora and substantial compute, and target continuous signing rather than the isolated-sign setting that is tractable for a student project and a low-resource language; the sentence-embedding technique Together uses for sign lookup is itself built on this transformer lineage — Sentence-BERT </w:t>
      </w:r>
      <w:hyperlink w:anchor="ref5">
        <w:r>
          <w:rPr>
            <w:rStyle w:val="Hyperlink"/>
            <w:color w:val="2F6DB5"/>
          </w:rPr>
          <w:t xml:space="preserve">[5]</w:t>
        </w:r>
      </w:hyperlink>
      <w:r>
        <w:t xml:space="preserve">, </w:t>
      </w:r>
      <w:hyperlink w:anchor="ref18">
        <w:r>
          <w:rPr>
            <w:rStyle w:val="Hyperlink"/>
            <w:color w:val="2F6DB5"/>
          </w:rPr>
          <w:t xml:space="preserve">[18]</w:t>
        </w:r>
      </w:hyperlink>
      <w:r>
        <w:t xml:space="preserve">. For Arabic, most published work addresses the </w:t>
      </w:r>
      <w:r>
        <w:rPr>
          <w:b/>
        </w:rPr>
        <w:t>alphabet</w:t>
      </w:r>
      <w:r>
        <w:t xml:space="preserve"> rather than words: the ArASL dataset </w:t>
      </w:r>
      <w:hyperlink w:anchor="ref14">
        <w:r>
          <w:rPr>
            <w:rStyle w:val="Hyperlink"/>
            <w:color w:val="2F6DB5"/>
          </w:rPr>
          <w:t xml:space="preserve">[14]</w:t>
        </w:r>
      </w:hyperlink>
      <w:r>
        <w:t xml:space="preserve"> provides static Arabic-alphabet images, and Kamruzzaman </w:t>
      </w:r>
      <w:hyperlink w:anchor="ref13">
        <w:r>
          <w:rPr>
            <w:rStyle w:val="Hyperlink"/>
            <w:color w:val="2F6DB5"/>
          </w:rPr>
          <w:t xml:space="preserve">[13]</w:t>
        </w:r>
      </w:hyperlink>
      <w:r>
        <w:t xml:space="preserve"> recognised Arabic alphabet signs with a CNN and synthesised speech. Word-level Egyptian sign-language resources remain very limited, which is precisely why a small but functional 20-word Egyptian recogniser is a meaningful contribution. A broad survey of the field is given by Rastgoo et al. </w:t>
      </w:r>
      <w:hyperlink w:anchor="ref1">
        <w:r>
          <w:rPr>
            <w:rStyle w:val="Hyperlink"/>
            <w:color w:val="2F6DB5"/>
          </w:rPr>
          <w:t xml:space="preserve">[1]</w:t>
        </w:r>
      </w:hyperlink>
      <w:r>
        <w:t>.</w:t>
      </w:r>
    </w:p>
    <w:p>
      <w:pPr>
        <w:jc w:val="both"/>
      </w:pPr>
      <w:r>
        <w:t xml:space="preserve">Across this literature three gaps recur. First, most systems are </w:t>
      </w:r>
      <w:r>
        <w:rPr>
          <w:b/>
        </w:rPr>
        <w:t>uni-directional</w:t>
      </w:r>
      <w:r>
        <w:t xml:space="preserve"> (sign-to-text only) and </w:t>
      </w:r>
      <w:r>
        <w:rPr>
          <w:b/>
        </w:rPr>
        <w:t>monolingual</w:t>
      </w:r>
      <w:r>
        <w:t>. Second, high-accuracy systems usually depend on special hardware (gloves, depth cameras) or heavy GPU models that cannot run in a browser. Third, Arabic word-level signing is under-served. Together targets all three: it is bi-directional and bilingual, it runs landmark extraction in the browser on commodity webcams, and it treats Egyptian ArSL as a first-class language alongside ASL. It does not attempt continuous translation — that is identified as future work in Chapter 4 — but it delivers a complete, deployable isolated-sign system with a grammar-aware language layer, which is uncommon in the surveyed work.</w:t>
      </w:r>
    </w:p>
    <w:p>
      <w:pPr>
        <w:spacing w:before="160" w:after="40"/>
      </w:pPr>
      <w:r>
        <w:rPr>
          <w:b/>
          <w:color w:val="444444"/>
          <w:sz w:val="20"/>
        </w:rPr>
        <w:t xml:space="preserve">Table </w:t>
      </w:r>
      <w:fldSimple w:instr=" SEQ Table \* ARABIC ">
        <w:r>
          <w:t>1</w:t>
        </w:r>
      </w:fldSimple>
      <w:r>
        <w:rPr>
          <w:b/>
          <w:color w:val="444444"/>
          <w:sz w:val="20"/>
        </w:rPr>
        <w:t>: Comparison of representative sign-language recognition and translation systems.</w:t>
      </w:r>
    </w:p>
    <w:tbl>
      <w:tblPr>
        <w:tblStyle w:val="TableGrid"/>
        <w:tblW w:type="auto" w:w="0"/>
        <w:jc w:val="center"/>
        <w:tblLook w:firstColumn="1" w:firstRow="1" w:lastColumn="0" w:lastRow="0" w:noHBand="0" w:noVBand="1" w:val="04A0"/>
        <w:tblBorders>
          <w:top w:val="single" w:sz="6" w:space="0" w:color="9BB3CC"/>
          <w:left w:val="single" w:sz="6" w:space="0" w:color="9BB3CC"/>
          <w:bottom w:val="single" w:sz="6" w:space="0" w:color="9BB3CC"/>
          <w:right w:val="single" w:sz="6" w:space="0" w:color="9BB3CC"/>
          <w:insideH w:val="single" w:sz="6" w:space="0" w:color="9BB3CC"/>
          <w:insideV w:val="single" w:sz="6" w:space="0" w:color="9BB3CC"/>
        </w:tblBorders>
      </w:tblPr>
      <w:tblGrid>
        <w:gridCol w:w="1872"/>
        <w:gridCol w:w="1872"/>
        <w:gridCol w:w="1872"/>
        <w:gridCol w:w="1872"/>
        <w:gridCol w:w="1872"/>
      </w:tblGrid>
      <w:tr>
        <w:tc>
          <w:tcPr>
            <w:tcW w:type="dxa" w:w="2160"/>
            <w:shd w:val="clear" w:color="auto" w:fill="2F6DB5"/>
          </w:tcPr>
          <w:p>
            <w:pPr>
              <w:jc w:val="left"/>
            </w:pPr>
            <w:r/>
            <w:r>
              <w:rPr>
                <w:b/>
                <w:color w:val="FFFFFF"/>
                <w:sz w:val="17"/>
              </w:rPr>
              <w:t>System / approach</w:t>
            </w:r>
          </w:p>
        </w:tc>
        <w:tc>
          <w:tcPr>
            <w:tcW w:type="dxa" w:w="2016"/>
            <w:shd w:val="clear" w:color="auto" w:fill="2F6DB5"/>
          </w:tcPr>
          <w:p>
            <w:pPr>
              <w:jc w:val="left"/>
            </w:pPr>
            <w:r/>
            <w:r>
              <w:rPr>
                <w:b/>
                <w:color w:val="FFFFFF"/>
                <w:sz w:val="17"/>
              </w:rPr>
              <w:t>Modality</w:t>
            </w:r>
          </w:p>
        </w:tc>
        <w:tc>
          <w:tcPr>
            <w:tcW w:type="dxa" w:w="2016"/>
            <w:shd w:val="clear" w:color="auto" w:fill="2F6DB5"/>
          </w:tcPr>
          <w:p>
            <w:pPr>
              <w:jc w:val="left"/>
            </w:pPr>
            <w:r/>
            <w:r>
              <w:rPr>
                <w:b/>
                <w:color w:val="FFFFFF"/>
                <w:sz w:val="17"/>
              </w:rPr>
              <w:t>Dataset / vocab</w:t>
            </w:r>
          </w:p>
        </w:tc>
        <w:tc>
          <w:tcPr>
            <w:tcW w:type="dxa" w:w="1512"/>
            <w:shd w:val="clear" w:color="auto" w:fill="2F6DB5"/>
          </w:tcPr>
          <w:p>
            <w:pPr>
              <w:jc w:val="left"/>
            </w:pPr>
            <w:r/>
            <w:r>
              <w:rPr>
                <w:b/>
                <w:color w:val="FFFFFF"/>
                <w:sz w:val="17"/>
              </w:rPr>
              <w:t>Reported accuracy</w:t>
            </w:r>
          </w:p>
        </w:tc>
        <w:tc>
          <w:tcPr>
            <w:tcW w:type="dxa" w:w="2304"/>
            <w:shd w:val="clear" w:color="auto" w:fill="2F6DB5"/>
          </w:tcPr>
          <w:p>
            <w:pPr>
              <w:jc w:val="left"/>
            </w:pPr>
            <w:r/>
            <w:r>
              <w:rPr>
                <w:b/>
                <w:color w:val="FFFFFF"/>
                <w:sz w:val="17"/>
              </w:rPr>
              <w:t>Key limitations</w:t>
            </w:r>
          </w:p>
        </w:tc>
      </w:tr>
      <w:tr>
        <w:tc>
          <w:tcPr>
            <w:tcW w:type="dxa" w:w="2160"/>
          </w:tcPr>
          <w:p>
            <w:pPr>
              <w:spacing w:after="40" w:line="240" w:lineRule="auto"/>
              <w:jc w:val="left"/>
            </w:pPr>
            <w:r>
              <w:rPr>
                <w:sz w:val="17"/>
              </w:rPr>
            </w:r>
            <w:r>
              <w:rPr>
                <w:sz w:val="17"/>
              </w:rPr>
              <w:t xml:space="preserve">Starner et al. </w:t>
            </w:r>
            <w:hyperlink w:anchor="ref19">
              <w:r>
                <w:rPr>
                  <w:rStyle w:val="Hyperlink"/>
                  <w:color w:val="2F6DB5"/>
                </w:rPr>
                <w:t xml:space="preserve">[19]</w:t>
              </w:r>
            </w:hyperlink>
            <w:r>
              <w:rPr>
                <w:sz w:val="17"/>
              </w:rPr>
              <w:t xml:space="preserve"> (HMM)</w:t>
            </w:r>
          </w:p>
        </w:tc>
        <w:tc>
          <w:tcPr>
            <w:tcW w:type="dxa" w:w="2016"/>
          </w:tcPr>
          <w:p>
            <w:pPr>
              <w:spacing w:after="40" w:line="240" w:lineRule="auto"/>
              <w:jc w:val="left"/>
            </w:pPr>
            <w:r>
              <w:rPr>
                <w:sz w:val="17"/>
              </w:rPr>
            </w:r>
            <w:r>
              <w:rPr>
                <w:sz w:val="17"/>
              </w:rPr>
              <w:t>RGB video (desk / wearable)</w:t>
            </w:r>
          </w:p>
        </w:tc>
        <w:tc>
          <w:tcPr>
            <w:tcW w:type="dxa" w:w="2016"/>
          </w:tcPr>
          <w:p>
            <w:pPr>
              <w:spacing w:after="40" w:line="240" w:lineRule="auto"/>
              <w:jc w:val="left"/>
            </w:pPr>
            <w:r>
              <w:rPr>
                <w:sz w:val="17"/>
              </w:rPr>
            </w:r>
            <w:r>
              <w:rPr>
                <w:sz w:val="17"/>
              </w:rPr>
              <w:t>40-word ASL</w:t>
            </w:r>
          </w:p>
        </w:tc>
        <w:tc>
          <w:tcPr>
            <w:tcW w:type="dxa" w:w="1512"/>
          </w:tcPr>
          <w:p>
            <w:pPr>
              <w:spacing w:after="40" w:line="240" w:lineRule="auto"/>
              <w:jc w:val="left"/>
            </w:pPr>
            <w:r>
              <w:rPr>
                <w:sz w:val="17"/>
              </w:rPr>
            </w:r>
            <w:r>
              <w:rPr>
                <w:sz w:val="17"/>
              </w:rPr>
              <w:t>~92–98%</w:t>
            </w:r>
          </w:p>
        </w:tc>
        <w:tc>
          <w:tcPr>
            <w:tcW w:type="dxa" w:w="2304"/>
          </w:tcPr>
          <w:p>
            <w:pPr>
              <w:spacing w:after="40" w:line="240" w:lineRule="auto"/>
              <w:jc w:val="left"/>
            </w:pPr>
            <w:r>
              <w:rPr>
                <w:sz w:val="17"/>
              </w:rPr>
            </w:r>
            <w:r>
              <w:rPr>
                <w:sz w:val="17"/>
              </w:rPr>
              <w:t>Small vocab; controlled; person-dependent</w:t>
            </w:r>
          </w:p>
        </w:tc>
      </w:tr>
      <w:tr>
        <w:tc>
          <w:tcPr>
            <w:tcW w:type="dxa" w:w="2160"/>
          </w:tcPr>
          <w:p>
            <w:pPr>
              <w:spacing w:after="40" w:line="240" w:lineRule="auto"/>
              <w:jc w:val="left"/>
            </w:pPr>
            <w:r>
              <w:rPr>
                <w:sz w:val="17"/>
              </w:rPr>
            </w:r>
            <w:r>
              <w:rPr>
                <w:sz w:val="17"/>
              </w:rPr>
              <w:t xml:space="preserve">Oz &amp; Leu </w:t>
            </w:r>
            <w:hyperlink w:anchor="ref17">
              <w:r>
                <w:rPr>
                  <w:rStyle w:val="Hyperlink"/>
                  <w:color w:val="2F6DB5"/>
                </w:rPr>
                <w:t xml:space="preserve">[17]</w:t>
              </w:r>
            </w:hyperlink>
            <w:r>
              <w:rPr>
                <w:sz w:val="17"/>
              </w:rPr>
              <w:t xml:space="preserve"> (ANN)</w:t>
            </w:r>
          </w:p>
        </w:tc>
        <w:tc>
          <w:tcPr>
            <w:tcW w:type="dxa" w:w="2016"/>
          </w:tcPr>
          <w:p>
            <w:pPr>
              <w:spacing w:after="40" w:line="240" w:lineRule="auto"/>
              <w:jc w:val="left"/>
            </w:pPr>
            <w:r>
              <w:rPr>
                <w:sz w:val="17"/>
              </w:rPr>
            </w:r>
            <w:r>
              <w:rPr>
                <w:sz w:val="17"/>
              </w:rPr>
              <w:t>Sensor glove + tracker</w:t>
            </w:r>
          </w:p>
        </w:tc>
        <w:tc>
          <w:tcPr>
            <w:tcW w:type="dxa" w:w="2016"/>
          </w:tcPr>
          <w:p>
            <w:pPr>
              <w:spacing w:after="40" w:line="240" w:lineRule="auto"/>
              <w:jc w:val="left"/>
            </w:pPr>
            <w:r>
              <w:rPr>
                <w:sz w:val="17"/>
              </w:rPr>
            </w:r>
            <w:r>
              <w:rPr>
                <w:sz w:val="17"/>
              </w:rPr>
              <w:t>~50 ASL words</w:t>
            </w:r>
          </w:p>
        </w:tc>
        <w:tc>
          <w:tcPr>
            <w:tcW w:type="dxa" w:w="1512"/>
          </w:tcPr>
          <w:p>
            <w:pPr>
              <w:spacing w:after="40" w:line="240" w:lineRule="auto"/>
              <w:jc w:val="left"/>
            </w:pPr>
            <w:r>
              <w:rPr>
                <w:sz w:val="17"/>
              </w:rPr>
            </w:r>
            <w:r>
              <w:rPr>
                <w:sz w:val="17"/>
              </w:rPr>
              <w:t>~90%</w:t>
            </w:r>
          </w:p>
        </w:tc>
        <w:tc>
          <w:tcPr>
            <w:tcW w:type="dxa" w:w="2304"/>
          </w:tcPr>
          <w:p>
            <w:pPr>
              <w:spacing w:after="40" w:line="240" w:lineRule="auto"/>
              <w:jc w:val="left"/>
            </w:pPr>
            <w:r>
              <w:rPr>
                <w:sz w:val="17"/>
              </w:rPr>
            </w:r>
            <w:r>
              <w:rPr>
                <w:sz w:val="17"/>
              </w:rPr>
              <w:t>Intrusive hardware; not camera-based</w:t>
            </w:r>
          </w:p>
        </w:tc>
      </w:tr>
      <w:tr>
        <w:tc>
          <w:tcPr>
            <w:tcW w:type="dxa" w:w="2160"/>
          </w:tcPr>
          <w:p>
            <w:pPr>
              <w:spacing w:after="40" w:line="240" w:lineRule="auto"/>
              <w:jc w:val="left"/>
            </w:pPr>
            <w:r>
              <w:rPr>
                <w:sz w:val="17"/>
              </w:rPr>
            </w:r>
            <w:r>
              <w:rPr>
                <w:sz w:val="17"/>
              </w:rPr>
              <w:t xml:space="preserve">WLASL / I3D </w:t>
            </w:r>
            <w:hyperlink w:anchor="ref16">
              <w:r>
                <w:rPr>
                  <w:rStyle w:val="Hyperlink"/>
                  <w:color w:val="2F6DB5"/>
                </w:rPr>
                <w:t xml:space="preserve">[16]</w:t>
              </w:r>
            </w:hyperlink>
            <w:r>
              <w:rPr>
                <w:sz w:val="17"/>
              </w:rPr>
              <w:t xml:space="preserve">, </w:t>
            </w:r>
            <w:hyperlink w:anchor="ref10">
              <w:r>
                <w:rPr>
                  <w:rStyle w:val="Hyperlink"/>
                  <w:color w:val="2F6DB5"/>
                </w:rPr>
                <w:t xml:space="preserve">[10]</w:t>
              </w:r>
            </w:hyperlink>
          </w:p>
        </w:tc>
        <w:tc>
          <w:tcPr>
            <w:tcW w:type="dxa" w:w="2016"/>
          </w:tcPr>
          <w:p>
            <w:pPr>
              <w:spacing w:after="40" w:line="240" w:lineRule="auto"/>
              <w:jc w:val="left"/>
            </w:pPr>
            <w:r>
              <w:rPr>
                <w:sz w:val="17"/>
              </w:rPr>
            </w:r>
            <w:r>
              <w:rPr>
                <w:sz w:val="17"/>
              </w:rPr>
              <w:t>RGB video</w:t>
            </w:r>
          </w:p>
        </w:tc>
        <w:tc>
          <w:tcPr>
            <w:tcW w:type="dxa" w:w="2016"/>
          </w:tcPr>
          <w:p>
            <w:pPr>
              <w:spacing w:after="40" w:line="240" w:lineRule="auto"/>
              <w:jc w:val="left"/>
            </w:pPr>
            <w:r>
              <w:rPr>
                <w:sz w:val="17"/>
              </w:rPr>
            </w:r>
            <w:r>
              <w:rPr>
                <w:sz w:val="17"/>
              </w:rPr>
              <w:t>2,000 words</w:t>
            </w:r>
          </w:p>
        </w:tc>
        <w:tc>
          <w:tcPr>
            <w:tcW w:type="dxa" w:w="1512"/>
          </w:tcPr>
          <w:p>
            <w:pPr>
              <w:spacing w:after="40" w:line="240" w:lineRule="auto"/>
              <w:jc w:val="left"/>
            </w:pPr>
            <w:r>
              <w:rPr>
                <w:sz w:val="17"/>
              </w:rPr>
            </w:r>
            <w:r>
              <w:rPr>
                <w:sz w:val="17"/>
              </w:rPr>
              <w:t>~32% top-1 (I3D)</w:t>
            </w:r>
          </w:p>
        </w:tc>
        <w:tc>
          <w:tcPr>
            <w:tcW w:type="dxa" w:w="2304"/>
          </w:tcPr>
          <w:p>
            <w:pPr>
              <w:spacing w:after="40" w:line="240" w:lineRule="auto"/>
              <w:jc w:val="left"/>
            </w:pPr>
            <w:r>
              <w:rPr>
                <w:sz w:val="17"/>
              </w:rPr>
            </w:r>
            <w:r>
              <w:rPr>
                <w:sz w:val="17"/>
              </w:rPr>
              <w:t>Large vocab is data-hungry; GPU-heavy</w:t>
            </w:r>
          </w:p>
        </w:tc>
      </w:tr>
      <w:tr>
        <w:tc>
          <w:tcPr>
            <w:tcW w:type="dxa" w:w="2160"/>
          </w:tcPr>
          <w:p>
            <w:pPr>
              <w:spacing w:after="40" w:line="240" w:lineRule="auto"/>
              <w:jc w:val="left"/>
            </w:pPr>
            <w:r>
              <w:rPr>
                <w:sz w:val="17"/>
              </w:rPr>
            </w:r>
            <w:r>
              <w:rPr>
                <w:sz w:val="17"/>
              </w:rPr>
              <w:t xml:space="preserve">AUTSL </w:t>
            </w:r>
            <w:hyperlink w:anchor="ref15">
              <w:r>
                <w:rPr>
                  <w:rStyle w:val="Hyperlink"/>
                  <w:color w:val="2F6DB5"/>
                </w:rPr>
                <w:t xml:space="preserve">[15]</w:t>
              </w:r>
            </w:hyperlink>
            <w:r>
              <w:rPr>
                <w:sz w:val="17"/>
              </w:rPr>
              <w:t xml:space="preserve"> (CNN+LSTM)</w:t>
            </w:r>
          </w:p>
        </w:tc>
        <w:tc>
          <w:tcPr>
            <w:tcW w:type="dxa" w:w="2016"/>
          </w:tcPr>
          <w:p>
            <w:pPr>
              <w:spacing w:after="40" w:line="240" w:lineRule="auto"/>
              <w:jc w:val="left"/>
            </w:pPr>
            <w:r>
              <w:rPr>
                <w:sz w:val="17"/>
              </w:rPr>
            </w:r>
            <w:r>
              <w:rPr>
                <w:sz w:val="17"/>
              </w:rPr>
              <w:t>RGB-D video</w:t>
            </w:r>
          </w:p>
        </w:tc>
        <w:tc>
          <w:tcPr>
            <w:tcW w:type="dxa" w:w="2016"/>
          </w:tcPr>
          <w:p>
            <w:pPr>
              <w:spacing w:after="40" w:line="240" w:lineRule="auto"/>
              <w:jc w:val="left"/>
            </w:pPr>
            <w:r>
              <w:rPr>
                <w:sz w:val="17"/>
              </w:rPr>
            </w:r>
            <w:r>
              <w:rPr>
                <w:sz w:val="17"/>
              </w:rPr>
              <w:t>226 Turkish signs</w:t>
            </w:r>
          </w:p>
        </w:tc>
        <w:tc>
          <w:tcPr>
            <w:tcW w:type="dxa" w:w="1512"/>
          </w:tcPr>
          <w:p>
            <w:pPr>
              <w:spacing w:after="40" w:line="240" w:lineRule="auto"/>
              <w:jc w:val="left"/>
            </w:pPr>
            <w:r>
              <w:rPr>
                <w:sz w:val="17"/>
              </w:rPr>
            </w:r>
            <w:r>
              <w:rPr>
                <w:sz w:val="17"/>
              </w:rPr>
              <w:t>~95% (RGB-D)</w:t>
            </w:r>
          </w:p>
        </w:tc>
        <w:tc>
          <w:tcPr>
            <w:tcW w:type="dxa" w:w="2304"/>
          </w:tcPr>
          <w:p>
            <w:pPr>
              <w:spacing w:after="40" w:line="240" w:lineRule="auto"/>
              <w:jc w:val="left"/>
            </w:pPr>
            <w:r>
              <w:rPr>
                <w:sz w:val="17"/>
              </w:rPr>
            </w:r>
            <w:r>
              <w:rPr>
                <w:sz w:val="17"/>
              </w:rPr>
              <w:t>Requires depth sensor; not ASL/ArSL</w:t>
            </w:r>
          </w:p>
        </w:tc>
      </w:tr>
      <w:tr>
        <w:tc>
          <w:tcPr>
            <w:tcW w:type="dxa" w:w="2160"/>
          </w:tcPr>
          <w:p>
            <w:pPr>
              <w:spacing w:after="40" w:line="240" w:lineRule="auto"/>
              <w:jc w:val="left"/>
            </w:pPr>
            <w:r>
              <w:rPr>
                <w:sz w:val="17"/>
              </w:rPr>
            </w:r>
            <w:r>
              <w:rPr>
                <w:sz w:val="17"/>
              </w:rPr>
              <w:t xml:space="preserve">Sign Transformers </w:t>
            </w:r>
            <w:hyperlink w:anchor="ref12">
              <w:r>
                <w:rPr>
                  <w:rStyle w:val="Hyperlink"/>
                  <w:color w:val="2F6DB5"/>
                </w:rPr>
                <w:t xml:space="preserve">[12]</w:t>
              </w:r>
            </w:hyperlink>
          </w:p>
        </w:tc>
        <w:tc>
          <w:tcPr>
            <w:tcW w:type="dxa" w:w="2016"/>
          </w:tcPr>
          <w:p>
            <w:pPr>
              <w:spacing w:after="40" w:line="240" w:lineRule="auto"/>
              <w:jc w:val="left"/>
            </w:pPr>
            <w:r>
              <w:rPr>
                <w:sz w:val="17"/>
              </w:rPr>
            </w:r>
            <w:r>
              <w:rPr>
                <w:sz w:val="17"/>
              </w:rPr>
              <w:t>RGB video</w:t>
            </w:r>
          </w:p>
        </w:tc>
        <w:tc>
          <w:tcPr>
            <w:tcW w:type="dxa" w:w="2016"/>
          </w:tcPr>
          <w:p>
            <w:pPr>
              <w:spacing w:after="40" w:line="240" w:lineRule="auto"/>
              <w:jc w:val="left"/>
            </w:pPr>
            <w:r>
              <w:rPr>
                <w:sz w:val="17"/>
              </w:rPr>
            </w:r>
            <w:r>
              <w:rPr>
                <w:sz w:val="17"/>
              </w:rPr>
              <w:t>PHOENIX14T (continuous DGS)</w:t>
            </w:r>
          </w:p>
        </w:tc>
        <w:tc>
          <w:tcPr>
            <w:tcW w:type="dxa" w:w="1512"/>
          </w:tcPr>
          <w:p>
            <w:pPr>
              <w:spacing w:after="40" w:line="240" w:lineRule="auto"/>
              <w:jc w:val="left"/>
            </w:pPr>
            <w:r>
              <w:rPr>
                <w:sz w:val="17"/>
              </w:rPr>
            </w:r>
            <w:r>
              <w:rPr>
                <w:sz w:val="17"/>
              </w:rPr>
              <w:t>~21–24 BLEU</w:t>
            </w:r>
          </w:p>
        </w:tc>
        <w:tc>
          <w:tcPr>
            <w:tcW w:type="dxa" w:w="2304"/>
          </w:tcPr>
          <w:p>
            <w:pPr>
              <w:spacing w:after="40" w:line="240" w:lineRule="auto"/>
              <w:jc w:val="left"/>
            </w:pPr>
            <w:r>
              <w:rPr>
                <w:sz w:val="17"/>
              </w:rPr>
            </w:r>
            <w:r>
              <w:rPr>
                <w:sz w:val="17"/>
              </w:rPr>
              <w:t>Needs large aligned corpus; heavy compute</w:t>
            </w:r>
          </w:p>
        </w:tc>
      </w:tr>
      <w:tr>
        <w:tc>
          <w:tcPr>
            <w:tcW w:type="dxa" w:w="2160"/>
          </w:tcPr>
          <w:p>
            <w:pPr>
              <w:spacing w:after="40" w:line="240" w:lineRule="auto"/>
              <w:jc w:val="left"/>
            </w:pPr>
            <w:r>
              <w:rPr>
                <w:sz w:val="17"/>
              </w:rPr>
            </w:r>
            <w:r>
              <w:rPr>
                <w:sz w:val="17"/>
              </w:rPr>
              <w:t xml:space="preserve">Kamruzzaman </w:t>
            </w:r>
            <w:hyperlink w:anchor="ref13">
              <w:r>
                <w:rPr>
                  <w:rStyle w:val="Hyperlink"/>
                  <w:color w:val="2F6DB5"/>
                </w:rPr>
                <w:t xml:space="preserve">[13]</w:t>
              </w:r>
            </w:hyperlink>
            <w:r>
              <w:rPr>
                <w:sz w:val="17"/>
              </w:rPr>
              <w:t xml:space="preserve"> (CNN)</w:t>
            </w:r>
          </w:p>
        </w:tc>
        <w:tc>
          <w:tcPr>
            <w:tcW w:type="dxa" w:w="2016"/>
          </w:tcPr>
          <w:p>
            <w:pPr>
              <w:spacing w:after="40" w:line="240" w:lineRule="auto"/>
              <w:jc w:val="left"/>
            </w:pPr>
            <w:r>
              <w:rPr>
                <w:sz w:val="17"/>
              </w:rPr>
            </w:r>
            <w:r>
              <w:rPr>
                <w:sz w:val="17"/>
              </w:rPr>
              <w:t>RGB images</w:t>
            </w:r>
          </w:p>
        </w:tc>
        <w:tc>
          <w:tcPr>
            <w:tcW w:type="dxa" w:w="2016"/>
          </w:tcPr>
          <w:p>
            <w:pPr>
              <w:spacing w:after="40" w:line="240" w:lineRule="auto"/>
              <w:jc w:val="left"/>
            </w:pPr>
            <w:r>
              <w:rPr>
                <w:sz w:val="17"/>
              </w:rPr>
            </w:r>
            <w:r>
              <w:rPr>
                <w:sz w:val="17"/>
              </w:rPr>
              <w:t>Arabic alphabet</w:t>
            </w:r>
          </w:p>
        </w:tc>
        <w:tc>
          <w:tcPr>
            <w:tcW w:type="dxa" w:w="1512"/>
          </w:tcPr>
          <w:p>
            <w:pPr>
              <w:spacing w:after="40" w:line="240" w:lineRule="auto"/>
              <w:jc w:val="left"/>
            </w:pPr>
            <w:r>
              <w:rPr>
                <w:sz w:val="17"/>
              </w:rPr>
            </w:r>
            <w:r>
              <w:rPr>
                <w:sz w:val="17"/>
              </w:rPr>
              <w:t>~90%</w:t>
            </w:r>
          </w:p>
        </w:tc>
        <w:tc>
          <w:tcPr>
            <w:tcW w:type="dxa" w:w="2304"/>
          </w:tcPr>
          <w:p>
            <w:pPr>
              <w:spacing w:after="40" w:line="240" w:lineRule="auto"/>
              <w:jc w:val="left"/>
            </w:pPr>
            <w:r>
              <w:rPr>
                <w:sz w:val="17"/>
              </w:rPr>
            </w:r>
            <w:r>
              <w:rPr>
                <w:sz w:val="17"/>
              </w:rPr>
              <w:t>Static letters only; not word-level</w:t>
            </w:r>
          </w:p>
        </w:tc>
      </w:tr>
      <w:tr>
        <w:tc>
          <w:tcPr>
            <w:tcW w:type="dxa" w:w="2160"/>
          </w:tcPr>
          <w:p>
            <w:pPr>
              <w:spacing w:after="40" w:line="240" w:lineRule="auto"/>
              <w:jc w:val="left"/>
            </w:pPr>
            <w:r>
              <w:rPr>
                <w:sz w:val="17"/>
              </w:rPr>
            </w:r>
            <w:r>
              <w:rPr>
                <w:b/>
                <w:sz w:val="17"/>
              </w:rPr>
              <w:t>Together (this work)</w:t>
            </w:r>
          </w:p>
        </w:tc>
        <w:tc>
          <w:tcPr>
            <w:tcW w:type="dxa" w:w="2016"/>
          </w:tcPr>
          <w:p>
            <w:pPr>
              <w:spacing w:after="40" w:line="240" w:lineRule="auto"/>
              <w:jc w:val="left"/>
            </w:pPr>
            <w:r>
              <w:rPr>
                <w:sz w:val="17"/>
              </w:rPr>
            </w:r>
            <w:r>
              <w:rPr>
                <w:sz w:val="17"/>
              </w:rPr>
              <w:t>MediaPipe landmarks (browser)</w:t>
            </w:r>
          </w:p>
        </w:tc>
        <w:tc>
          <w:tcPr>
            <w:tcW w:type="dxa" w:w="2016"/>
          </w:tcPr>
          <w:p>
            <w:pPr>
              <w:spacing w:after="40" w:line="240" w:lineRule="auto"/>
              <w:jc w:val="left"/>
            </w:pPr>
            <w:r>
              <w:rPr>
                <w:sz w:val="17"/>
              </w:rPr>
            </w:r>
            <w:r>
              <w:rPr>
                <w:sz w:val="17"/>
              </w:rPr>
              <w:t>250 ASL (GISLR-style) + 20 ArSL</w:t>
            </w:r>
          </w:p>
        </w:tc>
        <w:tc>
          <w:tcPr>
            <w:tcW w:type="dxa" w:w="1512"/>
          </w:tcPr>
          <w:p>
            <w:pPr>
              <w:spacing w:after="40" w:line="240" w:lineRule="auto"/>
              <w:jc w:val="left"/>
            </w:pPr>
            <w:r>
              <w:rPr>
                <w:sz w:val="17"/>
              </w:rPr>
            </w:r>
            <w:r>
              <w:rPr>
                <w:sz w:val="17"/>
              </w:rPr>
              <w:t>62.4% Top-1 (ASL, 250-class)</w:t>
            </w:r>
          </w:p>
        </w:tc>
        <w:tc>
          <w:tcPr>
            <w:tcW w:type="dxa" w:w="2304"/>
          </w:tcPr>
          <w:p>
            <w:pPr>
              <w:spacing w:after="40" w:line="240" w:lineRule="auto"/>
              <w:jc w:val="left"/>
            </w:pPr>
            <w:r>
              <w:rPr>
                <w:sz w:val="17"/>
              </w:rPr>
            </w:r>
            <w:r>
              <w:rPr>
                <w:sz w:val="17"/>
              </w:rPr>
              <w:t>Isolated signs; small ArSL vocab; web-deployed, real-time, bilingual</w:t>
            </w:r>
          </w:p>
        </w:tc>
      </w:tr>
    </w:tbl>
    <w:p>
      <w:pPr>
        <w:spacing w:after="40"/>
      </w:pPr>
    </w:p>
    <w:p>
      <w:r>
        <w:br w:type="page"/>
      </w:r>
    </w:p>
    <w:p>
      <w:pPr>
        <w:pStyle w:val="Heading1"/>
      </w:pPr>
      <w:r>
        <w:t>Chapter 3: Technical Chapters</w:t>
      </w:r>
    </w:p>
    <w:p>
      <w:pPr>
        <w:jc w:val="both"/>
      </w:pPr>
      <w:r>
        <w:t>This chapter documents the engineering of Together across its full lifecycle: the development methodology, the requirements and analysis, the system design and architecture, the data and pre-processing pipeline, the model and implementation, and finally testing, validation and results. Every technical claim is grounded in the project's source code, and file paths are cited inline so each statement can be traced to its implementation.</w:t>
      </w:r>
    </w:p>
    <w:p>
      <w:pPr>
        <w:pStyle w:val="Heading2"/>
      </w:pPr>
      <w:r>
        <w:t>3.1 Development Process and Methodology</w:t>
      </w:r>
    </w:p>
    <w:p>
      <w:pPr>
        <w:jc w:val="both"/>
      </w:pPr>
      <w:r>
        <w:t xml:space="preserve">The project followed an </w:t>
      </w:r>
      <w:r>
        <w:rPr>
          <w:b/>
        </w:rPr>
        <w:t>iterative, incremental</w:t>
      </w:r>
      <w:r>
        <w:t xml:space="preserve"> process. Rather than specifying the whole system up front, the team built a thin end-to-end slice first — webcam capture, a single recognition path, and a minimal UI — and then grew it feature by feature, hardening each layer once it worked. The work proceeded in clear phases: a research and data phase; a recognition-model phase for ASL and then ArSL; a backend-services phase (gloss, providers, sign lookup); a frontend and bilingual-UI phase; a real-time meeting phase; and finally a hardening phase covering authentication, latency profiling and deployment. The latency optimisations are documented in docs/LATENCY.md and the provider design in docs/PROVIDERS_AND_PRICING.md, evidencing the engineering-driven, measure-then-optimise methodology. Version control was used throughout, and an automated test suite plus a continuous-integration workflow (.github/workflows/ci.yml) guarded against regressions.</w:t>
      </w:r>
    </w:p>
    <w:p>
      <w:pPr>
        <w:spacing w:before="160" w:after="40"/>
      </w:pPr>
      <w:r>
        <w:rPr>
          <w:b/>
          <w:color w:val="444444"/>
          <w:sz w:val="20"/>
        </w:rPr>
        <w:t xml:space="preserve">Table </w:t>
      </w:r>
      <w:fldSimple w:instr=" SEQ Table \* ARABIC ">
        <w:r>
          <w:t>2</w:t>
        </w:r>
      </w:fldSimple>
      <w:r>
        <w:rPr>
          <w:b/>
          <w:color w:val="444444"/>
          <w:sz w:val="20"/>
        </w:rPr>
        <w:t>: Project timeline and milestones (representative academic-year schedule).</w:t>
      </w:r>
    </w:p>
    <w:tbl>
      <w:tblPr>
        <w:tblStyle w:val="TableGrid"/>
        <w:tblW w:type="auto" w:w="0"/>
        <w:jc w:val="center"/>
        <w:tblLook w:firstColumn="1" w:firstRow="1" w:lastColumn="0" w:lastRow="0" w:noHBand="0" w:noVBand="1" w:val="04A0"/>
        <w:tblBorders>
          <w:top w:val="single" w:sz="6" w:space="0" w:color="9BB3CC"/>
          <w:left w:val="single" w:sz="6" w:space="0" w:color="9BB3CC"/>
          <w:bottom w:val="single" w:sz="6" w:space="0" w:color="9BB3CC"/>
          <w:right w:val="single" w:sz="6" w:space="0" w:color="9BB3CC"/>
          <w:insideH w:val="single" w:sz="6" w:space="0" w:color="9BB3CC"/>
          <w:insideV w:val="single" w:sz="6" w:space="0" w:color="9BB3CC"/>
        </w:tblBorders>
      </w:tblPr>
      <w:tblGrid>
        <w:gridCol w:w="3120"/>
        <w:gridCol w:w="3120"/>
        <w:gridCol w:w="3120"/>
      </w:tblGrid>
      <w:tr>
        <w:tc>
          <w:tcPr>
            <w:tcW w:type="dxa" w:w="2448"/>
            <w:shd w:val="clear" w:color="auto" w:fill="2F6DB5"/>
          </w:tcPr>
          <w:p>
            <w:pPr>
              <w:jc w:val="left"/>
            </w:pPr>
            <w:r/>
            <w:r>
              <w:rPr>
                <w:b/>
                <w:color w:val="FFFFFF"/>
                <w:sz w:val="19"/>
              </w:rPr>
              <w:t>Phase</w:t>
            </w:r>
          </w:p>
        </w:tc>
        <w:tc>
          <w:tcPr>
            <w:tcW w:type="dxa" w:w="2160"/>
            <w:shd w:val="clear" w:color="auto" w:fill="2F6DB5"/>
          </w:tcPr>
          <w:p>
            <w:pPr>
              <w:jc w:val="left"/>
            </w:pPr>
            <w:r/>
            <w:r>
              <w:rPr>
                <w:b/>
                <w:color w:val="FFFFFF"/>
                <w:sz w:val="19"/>
              </w:rPr>
              <w:t>Period</w:t>
            </w:r>
          </w:p>
        </w:tc>
        <w:tc>
          <w:tcPr>
            <w:tcW w:type="dxa" w:w="4464"/>
            <w:shd w:val="clear" w:color="auto" w:fill="2F6DB5"/>
          </w:tcPr>
          <w:p>
            <w:pPr>
              <w:jc w:val="left"/>
            </w:pPr>
            <w:r/>
            <w:r>
              <w:rPr>
                <w:b/>
                <w:color w:val="FFFFFF"/>
                <w:sz w:val="19"/>
              </w:rPr>
              <w:t>Milestone / deliverable</w:t>
            </w:r>
          </w:p>
        </w:tc>
      </w:tr>
      <w:tr>
        <w:tc>
          <w:tcPr>
            <w:tcW w:type="dxa" w:w="2448"/>
          </w:tcPr>
          <w:p>
            <w:pPr>
              <w:spacing w:after="40" w:line="240" w:lineRule="auto"/>
              <w:jc w:val="left"/>
            </w:pPr>
            <w:r>
              <w:rPr>
                <w:sz w:val="19"/>
              </w:rPr>
            </w:r>
            <w:r>
              <w:rPr>
                <w:sz w:val="19"/>
              </w:rPr>
              <w:t>1. Research &amp; datasets</w:t>
            </w:r>
          </w:p>
        </w:tc>
        <w:tc>
          <w:tcPr>
            <w:tcW w:type="dxa" w:w="2160"/>
          </w:tcPr>
          <w:p>
            <w:pPr>
              <w:spacing w:after="40" w:line="240" w:lineRule="auto"/>
              <w:jc w:val="left"/>
            </w:pPr>
            <w:r>
              <w:rPr>
                <w:sz w:val="19"/>
              </w:rPr>
            </w:r>
            <w:r>
              <w:rPr>
                <w:sz w:val="19"/>
              </w:rPr>
              <w:t>Oct–Nov 2025</w:t>
            </w:r>
          </w:p>
        </w:tc>
        <w:tc>
          <w:tcPr>
            <w:tcW w:type="dxa" w:w="4464"/>
          </w:tcPr>
          <w:p>
            <w:pPr>
              <w:spacing w:after="40" w:line="240" w:lineRule="auto"/>
              <w:jc w:val="left"/>
            </w:pPr>
            <w:r>
              <w:rPr>
                <w:sz w:val="19"/>
              </w:rPr>
            </w:r>
            <w:r>
              <w:rPr>
                <w:sz w:val="19"/>
              </w:rPr>
              <w:t>Literature review; landmark representation; sign-video corpus</w:t>
            </w:r>
          </w:p>
        </w:tc>
      </w:tr>
      <w:tr>
        <w:tc>
          <w:tcPr>
            <w:tcW w:type="dxa" w:w="2448"/>
          </w:tcPr>
          <w:p>
            <w:pPr>
              <w:spacing w:after="40" w:line="240" w:lineRule="auto"/>
              <w:jc w:val="left"/>
            </w:pPr>
            <w:r>
              <w:rPr>
                <w:sz w:val="19"/>
              </w:rPr>
            </w:r>
            <w:r>
              <w:rPr>
                <w:sz w:val="19"/>
              </w:rPr>
              <w:t>2. ASL recognition</w:t>
            </w:r>
          </w:p>
        </w:tc>
        <w:tc>
          <w:tcPr>
            <w:tcW w:type="dxa" w:w="2160"/>
          </w:tcPr>
          <w:p>
            <w:pPr>
              <w:spacing w:after="40" w:line="240" w:lineRule="auto"/>
              <w:jc w:val="left"/>
            </w:pPr>
            <w:r>
              <w:rPr>
                <w:sz w:val="19"/>
              </w:rPr>
            </w:r>
            <w:r>
              <w:rPr>
                <w:sz w:val="19"/>
              </w:rPr>
              <w:t>Dec 2025–Jan 2026</w:t>
            </w:r>
          </w:p>
        </w:tc>
        <w:tc>
          <w:tcPr>
            <w:tcW w:type="dxa" w:w="4464"/>
          </w:tcPr>
          <w:p>
            <w:pPr>
              <w:spacing w:after="40" w:line="240" w:lineRule="auto"/>
              <w:jc w:val="left"/>
            </w:pPr>
            <w:r>
              <w:rPr>
                <w:sz w:val="19"/>
              </w:rPr>
            </w:r>
            <w:r>
              <w:rPr>
                <w:sz w:val="19"/>
              </w:rPr>
              <w:t>250-class TFLite pipeline; live capture &amp; voting</w:t>
            </w:r>
          </w:p>
        </w:tc>
      </w:tr>
      <w:tr>
        <w:tc>
          <w:tcPr>
            <w:tcW w:type="dxa" w:w="2448"/>
          </w:tcPr>
          <w:p>
            <w:pPr>
              <w:spacing w:after="40" w:line="240" w:lineRule="auto"/>
              <w:jc w:val="left"/>
            </w:pPr>
            <w:r>
              <w:rPr>
                <w:sz w:val="19"/>
              </w:rPr>
            </w:r>
            <w:r>
              <w:rPr>
                <w:sz w:val="19"/>
              </w:rPr>
              <w:t>3. ArSL recognition</w:t>
            </w:r>
          </w:p>
        </w:tc>
        <w:tc>
          <w:tcPr>
            <w:tcW w:type="dxa" w:w="2160"/>
          </w:tcPr>
          <w:p>
            <w:pPr>
              <w:spacing w:after="40" w:line="240" w:lineRule="auto"/>
              <w:jc w:val="left"/>
            </w:pPr>
            <w:r>
              <w:rPr>
                <w:sz w:val="19"/>
              </w:rPr>
            </w:r>
            <w:r>
              <w:rPr>
                <w:sz w:val="19"/>
              </w:rPr>
              <w:t>Feb 2026</w:t>
            </w:r>
          </w:p>
        </w:tc>
        <w:tc>
          <w:tcPr>
            <w:tcW w:type="dxa" w:w="4464"/>
          </w:tcPr>
          <w:p>
            <w:pPr>
              <w:spacing w:after="40" w:line="240" w:lineRule="auto"/>
              <w:jc w:val="left"/>
            </w:pPr>
            <w:r>
              <w:rPr>
                <w:sz w:val="19"/>
              </w:rPr>
            </w:r>
            <w:r>
              <w:rPr>
                <w:sz w:val="19"/>
              </w:rPr>
              <w:t>20-class CNN-GRU model; bilingual switch</w:t>
            </w:r>
          </w:p>
        </w:tc>
      </w:tr>
      <w:tr>
        <w:tc>
          <w:tcPr>
            <w:tcW w:type="dxa" w:w="2448"/>
          </w:tcPr>
          <w:p>
            <w:pPr>
              <w:spacing w:after="40" w:line="240" w:lineRule="auto"/>
              <w:jc w:val="left"/>
            </w:pPr>
            <w:r>
              <w:rPr>
                <w:sz w:val="19"/>
              </w:rPr>
            </w:r>
            <w:r>
              <w:rPr>
                <w:sz w:val="19"/>
              </w:rPr>
              <w:t>4. Language &amp; lookup</w:t>
            </w:r>
          </w:p>
        </w:tc>
        <w:tc>
          <w:tcPr>
            <w:tcW w:type="dxa" w:w="2160"/>
          </w:tcPr>
          <w:p>
            <w:pPr>
              <w:spacing w:after="40" w:line="240" w:lineRule="auto"/>
              <w:jc w:val="left"/>
            </w:pPr>
            <w:r>
              <w:rPr>
                <w:sz w:val="19"/>
              </w:rPr>
            </w:r>
            <w:r>
              <w:rPr>
                <w:sz w:val="19"/>
              </w:rPr>
              <w:t>Feb–Mar 2026</w:t>
            </w:r>
          </w:p>
        </w:tc>
        <w:tc>
          <w:tcPr>
            <w:tcW w:type="dxa" w:w="4464"/>
          </w:tcPr>
          <w:p>
            <w:pPr>
              <w:spacing w:after="40" w:line="240" w:lineRule="auto"/>
              <w:jc w:val="left"/>
            </w:pPr>
            <w:r>
              <w:rPr>
                <w:sz w:val="19"/>
              </w:rPr>
            </w:r>
            <w:r>
              <w:rPr>
                <w:sz w:val="19"/>
              </w:rPr>
              <w:t>Gloss engine + NMM; SBERT/pgvector sign lookup; providers</w:t>
            </w:r>
          </w:p>
        </w:tc>
      </w:tr>
      <w:tr>
        <w:tc>
          <w:tcPr>
            <w:tcW w:type="dxa" w:w="2448"/>
          </w:tcPr>
          <w:p>
            <w:pPr>
              <w:spacing w:after="40" w:line="240" w:lineRule="auto"/>
              <w:jc w:val="left"/>
            </w:pPr>
            <w:r>
              <w:rPr>
                <w:sz w:val="19"/>
              </w:rPr>
            </w:r>
            <w:r>
              <w:rPr>
                <w:sz w:val="19"/>
              </w:rPr>
              <w:t>5. Frontend &amp; RTL UI</w:t>
            </w:r>
          </w:p>
        </w:tc>
        <w:tc>
          <w:tcPr>
            <w:tcW w:type="dxa" w:w="2160"/>
          </w:tcPr>
          <w:p>
            <w:pPr>
              <w:spacing w:after="40" w:line="240" w:lineRule="auto"/>
              <w:jc w:val="left"/>
            </w:pPr>
            <w:r>
              <w:rPr>
                <w:sz w:val="19"/>
              </w:rPr>
            </w:r>
            <w:r>
              <w:rPr>
                <w:sz w:val="19"/>
              </w:rPr>
              <w:t>Mar–Apr 2026</w:t>
            </w:r>
          </w:p>
        </w:tc>
        <w:tc>
          <w:tcPr>
            <w:tcW w:type="dxa" w:w="4464"/>
          </w:tcPr>
          <w:p>
            <w:pPr>
              <w:spacing w:after="40" w:line="240" w:lineRule="auto"/>
              <w:jc w:val="left"/>
            </w:pPr>
            <w:r>
              <w:rPr>
                <w:sz w:val="19"/>
              </w:rPr>
            </w:r>
            <w:r>
              <w:rPr>
                <w:sz w:val="19"/>
              </w:rPr>
              <w:t>Dashboards (EN/AR), avatar player, design system</w:t>
            </w:r>
          </w:p>
        </w:tc>
      </w:tr>
      <w:tr>
        <w:tc>
          <w:tcPr>
            <w:tcW w:type="dxa" w:w="2448"/>
          </w:tcPr>
          <w:p>
            <w:pPr>
              <w:spacing w:after="40" w:line="240" w:lineRule="auto"/>
              <w:jc w:val="left"/>
            </w:pPr>
            <w:r>
              <w:rPr>
                <w:sz w:val="19"/>
              </w:rPr>
            </w:r>
            <w:r>
              <w:rPr>
                <w:sz w:val="19"/>
              </w:rPr>
              <w:t>6. Meetings &amp; realtime</w:t>
            </w:r>
          </w:p>
        </w:tc>
        <w:tc>
          <w:tcPr>
            <w:tcW w:type="dxa" w:w="2160"/>
          </w:tcPr>
          <w:p>
            <w:pPr>
              <w:spacing w:after="40" w:line="240" w:lineRule="auto"/>
              <w:jc w:val="left"/>
            </w:pPr>
            <w:r>
              <w:rPr>
                <w:sz w:val="19"/>
              </w:rPr>
            </w:r>
            <w:r>
              <w:rPr>
                <w:sz w:val="19"/>
              </w:rPr>
              <w:t>Apr 2026</w:t>
            </w:r>
          </w:p>
        </w:tc>
        <w:tc>
          <w:tcPr>
            <w:tcW w:type="dxa" w:w="4464"/>
          </w:tcPr>
          <w:p>
            <w:pPr>
              <w:spacing w:after="40" w:line="240" w:lineRule="auto"/>
              <w:jc w:val="left"/>
            </w:pPr>
            <w:r>
              <w:rPr>
                <w:sz w:val="19"/>
              </w:rPr>
            </w:r>
            <w:r>
              <w:rPr>
                <w:sz w:val="19"/>
              </w:rPr>
              <w:t>WebRTC mesh; Socket.IO streaming recognition</w:t>
            </w:r>
          </w:p>
        </w:tc>
      </w:tr>
      <w:tr>
        <w:tc>
          <w:tcPr>
            <w:tcW w:type="dxa" w:w="2448"/>
          </w:tcPr>
          <w:p>
            <w:pPr>
              <w:spacing w:after="40" w:line="240" w:lineRule="auto"/>
              <w:jc w:val="left"/>
            </w:pPr>
            <w:r>
              <w:rPr>
                <w:sz w:val="19"/>
              </w:rPr>
            </w:r>
            <w:r>
              <w:rPr>
                <w:sz w:val="19"/>
              </w:rPr>
              <w:t>7. Evaluation &amp; hardening</w:t>
            </w:r>
          </w:p>
        </w:tc>
        <w:tc>
          <w:tcPr>
            <w:tcW w:type="dxa" w:w="2160"/>
          </w:tcPr>
          <w:p>
            <w:pPr>
              <w:spacing w:after="40" w:line="240" w:lineRule="auto"/>
              <w:jc w:val="left"/>
            </w:pPr>
            <w:r>
              <w:rPr>
                <w:sz w:val="19"/>
              </w:rPr>
            </w:r>
            <w:r>
              <w:rPr>
                <w:sz w:val="19"/>
              </w:rPr>
              <w:t>Apr–May 2026</w:t>
            </w:r>
          </w:p>
        </w:tc>
        <w:tc>
          <w:tcPr>
            <w:tcW w:type="dxa" w:w="4464"/>
          </w:tcPr>
          <w:p>
            <w:pPr>
              <w:spacing w:after="40" w:line="240" w:lineRule="auto"/>
              <w:jc w:val="left"/>
            </w:pPr>
            <w:r>
              <w:rPr>
                <w:sz w:val="19"/>
              </w:rPr>
            </w:r>
            <w:r>
              <w:rPr>
                <w:sz w:val="19"/>
              </w:rPr>
              <w:t>Baseline eval (Top-1 0.624); auth; latency profiling; deploy</w:t>
            </w:r>
          </w:p>
        </w:tc>
      </w:tr>
      <w:tr>
        <w:tc>
          <w:tcPr>
            <w:tcW w:type="dxa" w:w="2448"/>
          </w:tcPr>
          <w:p>
            <w:pPr>
              <w:spacing w:after="40" w:line="240" w:lineRule="auto"/>
              <w:jc w:val="left"/>
            </w:pPr>
            <w:r>
              <w:rPr>
                <w:sz w:val="19"/>
              </w:rPr>
            </w:r>
            <w:r>
              <w:rPr>
                <w:sz w:val="19"/>
              </w:rPr>
              <w:t>8. Documentation</w:t>
            </w:r>
          </w:p>
        </w:tc>
        <w:tc>
          <w:tcPr>
            <w:tcW w:type="dxa" w:w="2160"/>
          </w:tcPr>
          <w:p>
            <w:pPr>
              <w:spacing w:after="40" w:line="240" w:lineRule="auto"/>
              <w:jc w:val="left"/>
            </w:pPr>
            <w:r>
              <w:rPr>
                <w:sz w:val="19"/>
              </w:rPr>
            </w:r>
            <w:r>
              <w:rPr>
                <w:sz w:val="19"/>
              </w:rPr>
              <w:t>Jun–Jul 2026</w:t>
            </w:r>
          </w:p>
        </w:tc>
        <w:tc>
          <w:tcPr>
            <w:tcW w:type="dxa" w:w="4464"/>
          </w:tcPr>
          <w:p>
            <w:pPr>
              <w:spacing w:after="40" w:line="240" w:lineRule="auto"/>
              <w:jc w:val="left"/>
            </w:pPr>
            <w:r>
              <w:rPr>
                <w:sz w:val="19"/>
              </w:rPr>
            </w:r>
            <w:r>
              <w:rPr>
                <w:sz w:val="19"/>
              </w:rPr>
              <w:t>Thesis, diagrams, final submission</w:t>
            </w:r>
          </w:p>
        </w:tc>
      </w:tr>
    </w:tbl>
    <w:p>
      <w:pPr>
        <w:spacing w:after="40"/>
      </w:pPr>
    </w:p>
    <w:p>
      <w:pPr>
        <w:jc w:val="both"/>
      </w:pPr>
      <w:r>
        <w:rPr>
          <w:b/>
          <w:color w:val="B01A1A"/>
        </w:rPr>
        <w:t>⚠ VERIFY: replace the milestone dates above with the team's real schedule — the version-control history in this checkout covers only the final week and cannot be used to reconstruct the true timeline.</w:t>
      </w:r>
    </w:p>
    <w:p>
      <w:pPr>
        <w:pStyle w:val="Heading2"/>
      </w:pPr>
      <w:r>
        <w:t>3.2 Requirements and Analysis</w:t>
      </w:r>
    </w:p>
    <w:p>
      <w:pPr>
        <w:jc w:val="both"/>
      </w:pPr>
      <w:r>
        <w:t>The requirements were derived from the project aim (Section 1.2) and refined during the iterative process. They are grouped into functional and non-functional requirements, followed by the hardware and software needed to run the system, and the principal use cases.</w:t>
      </w:r>
    </w:p>
    <w:p>
      <w:pPr>
        <w:pStyle w:val="Heading3"/>
      </w:pPr>
      <w:r>
        <w:t>3.2.1 Functional Requirements</w:t>
      </w:r>
    </w:p>
    <w:p>
      <w:pPr>
        <w:spacing w:before="160" w:after="40"/>
      </w:pPr>
      <w:r>
        <w:rPr>
          <w:b/>
          <w:color w:val="444444"/>
          <w:sz w:val="20"/>
        </w:rPr>
        <w:t xml:space="preserve">Table </w:t>
      </w:r>
      <w:fldSimple w:instr=" SEQ Table \* ARABIC ">
        <w:r>
          <w:t>3</w:t>
        </w:r>
      </w:fldSimple>
      <w:r>
        <w:rPr>
          <w:b/>
          <w:color w:val="444444"/>
          <w:sz w:val="20"/>
        </w:rPr>
        <w:t>: Functional requirements.</w:t>
      </w:r>
    </w:p>
    <w:tbl>
      <w:tblPr>
        <w:tblStyle w:val="TableGrid"/>
        <w:tblW w:type="auto" w:w="0"/>
        <w:jc w:val="center"/>
        <w:tblLook w:firstColumn="1" w:firstRow="1" w:lastColumn="0" w:lastRow="0" w:noHBand="0" w:noVBand="1" w:val="04A0"/>
        <w:tblBorders>
          <w:top w:val="single" w:sz="6" w:space="0" w:color="9BB3CC"/>
          <w:left w:val="single" w:sz="6" w:space="0" w:color="9BB3CC"/>
          <w:bottom w:val="single" w:sz="6" w:space="0" w:color="9BB3CC"/>
          <w:right w:val="single" w:sz="6" w:space="0" w:color="9BB3CC"/>
          <w:insideH w:val="single" w:sz="6" w:space="0" w:color="9BB3CC"/>
          <w:insideV w:val="single" w:sz="6" w:space="0" w:color="9BB3CC"/>
        </w:tblBorders>
      </w:tblPr>
      <w:tblGrid>
        <w:gridCol w:w="3120"/>
        <w:gridCol w:w="3120"/>
        <w:gridCol w:w="3120"/>
      </w:tblGrid>
      <w:tr>
        <w:tc>
          <w:tcPr>
            <w:tcW w:type="dxa" w:w="720"/>
            <w:shd w:val="clear" w:color="auto" w:fill="2F6DB5"/>
          </w:tcPr>
          <w:p>
            <w:pPr>
              <w:jc w:val="left"/>
            </w:pPr>
            <w:r/>
            <w:r>
              <w:rPr>
                <w:b/>
                <w:color w:val="FFFFFF"/>
                <w:sz w:val="18"/>
              </w:rPr>
              <w:t>ID</w:t>
            </w:r>
          </w:p>
        </w:tc>
        <w:tc>
          <w:tcPr>
            <w:tcW w:type="dxa" w:w="4320"/>
            <w:shd w:val="clear" w:color="auto" w:fill="2F6DB5"/>
          </w:tcPr>
          <w:p>
            <w:pPr>
              <w:jc w:val="left"/>
            </w:pPr>
            <w:r/>
            <w:r>
              <w:rPr>
                <w:b/>
                <w:color w:val="FFFFFF"/>
                <w:sz w:val="18"/>
              </w:rPr>
              <w:t>Requirement</w:t>
            </w:r>
          </w:p>
        </w:tc>
        <w:tc>
          <w:tcPr>
            <w:tcW w:type="dxa" w:w="4032"/>
            <w:shd w:val="clear" w:color="auto" w:fill="2F6DB5"/>
          </w:tcPr>
          <w:p>
            <w:pPr>
              <w:jc w:val="left"/>
            </w:pPr>
            <w:r/>
            <w:r>
              <w:rPr>
                <w:b/>
                <w:color w:val="FFFFFF"/>
                <w:sz w:val="18"/>
              </w:rPr>
              <w:t>Realised by</w:t>
            </w:r>
          </w:p>
        </w:tc>
      </w:tr>
      <w:tr>
        <w:tc>
          <w:tcPr>
            <w:tcW w:type="dxa" w:w="720"/>
          </w:tcPr>
          <w:p>
            <w:pPr>
              <w:spacing w:after="40" w:line="240" w:lineRule="auto"/>
              <w:jc w:val="left"/>
            </w:pPr>
            <w:r>
              <w:rPr>
                <w:sz w:val="18"/>
              </w:rPr>
            </w:r>
            <w:r>
              <w:rPr>
                <w:sz w:val="18"/>
              </w:rPr>
              <w:t>FR1</w:t>
            </w:r>
          </w:p>
        </w:tc>
        <w:tc>
          <w:tcPr>
            <w:tcW w:type="dxa" w:w="4320"/>
          </w:tcPr>
          <w:p>
            <w:pPr>
              <w:spacing w:after="40" w:line="240" w:lineRule="auto"/>
              <w:jc w:val="left"/>
            </w:pPr>
            <w:r>
              <w:rPr>
                <w:sz w:val="18"/>
              </w:rPr>
            </w:r>
            <w:r>
              <w:rPr>
                <w:sz w:val="18"/>
              </w:rPr>
              <w:t>Capture webcam video and extract body/hand/face landmarks in the browser</w:t>
            </w:r>
          </w:p>
        </w:tc>
        <w:tc>
          <w:tcPr>
            <w:tcW w:type="dxa" w:w="4032"/>
          </w:tcPr>
          <w:p>
            <w:pPr>
              <w:spacing w:after="40" w:line="240" w:lineRule="auto"/>
              <w:jc w:val="left"/>
            </w:pPr>
            <w:r>
              <w:rPr>
                <w:sz w:val="18"/>
              </w:rPr>
            </w:r>
            <w:r>
              <w:rPr>
                <w:sz w:val="18"/>
              </w:rPr>
              <w:t>MediaPipe Holistic (app/static/js/app.js)</w:t>
            </w:r>
          </w:p>
        </w:tc>
      </w:tr>
      <w:tr>
        <w:tc>
          <w:tcPr>
            <w:tcW w:type="dxa" w:w="720"/>
          </w:tcPr>
          <w:p>
            <w:pPr>
              <w:spacing w:after="40" w:line="240" w:lineRule="auto"/>
              <w:jc w:val="left"/>
            </w:pPr>
            <w:r>
              <w:rPr>
                <w:sz w:val="18"/>
              </w:rPr>
            </w:r>
            <w:r>
              <w:rPr>
                <w:sz w:val="18"/>
              </w:rPr>
              <w:t>FR2</w:t>
            </w:r>
          </w:p>
        </w:tc>
        <w:tc>
          <w:tcPr>
            <w:tcW w:type="dxa" w:w="4320"/>
          </w:tcPr>
          <w:p>
            <w:pPr>
              <w:spacing w:after="40" w:line="240" w:lineRule="auto"/>
              <w:jc w:val="left"/>
            </w:pPr>
            <w:r>
              <w:rPr>
                <w:sz w:val="18"/>
              </w:rPr>
            </w:r>
            <w:r>
              <w:rPr>
                <w:sz w:val="18"/>
              </w:rPr>
              <w:t>Recognise isolated ASL signs from a landmark sequence</w:t>
            </w:r>
          </w:p>
        </w:tc>
        <w:tc>
          <w:tcPr>
            <w:tcW w:type="dxa" w:w="4032"/>
          </w:tcPr>
          <w:p>
            <w:pPr>
              <w:spacing w:after="40" w:line="240" w:lineRule="auto"/>
              <w:jc w:val="left"/>
            </w:pPr>
            <w:r>
              <w:rPr>
                <w:sz w:val="18"/>
              </w:rPr>
            </w:r>
            <w:r>
              <w:rPr>
                <w:sz w:val="18"/>
              </w:rPr>
              <w:t>ASLService.predict_sign (asl_service.py)</w:t>
            </w:r>
          </w:p>
        </w:tc>
      </w:tr>
      <w:tr>
        <w:tc>
          <w:tcPr>
            <w:tcW w:type="dxa" w:w="720"/>
          </w:tcPr>
          <w:p>
            <w:pPr>
              <w:spacing w:after="40" w:line="240" w:lineRule="auto"/>
              <w:jc w:val="left"/>
            </w:pPr>
            <w:r>
              <w:rPr>
                <w:sz w:val="18"/>
              </w:rPr>
            </w:r>
            <w:r>
              <w:rPr>
                <w:sz w:val="18"/>
              </w:rPr>
              <w:t>FR3</w:t>
            </w:r>
          </w:p>
        </w:tc>
        <w:tc>
          <w:tcPr>
            <w:tcW w:type="dxa" w:w="4320"/>
          </w:tcPr>
          <w:p>
            <w:pPr>
              <w:spacing w:after="40" w:line="240" w:lineRule="auto"/>
              <w:jc w:val="left"/>
            </w:pPr>
            <w:r>
              <w:rPr>
                <w:sz w:val="18"/>
              </w:rPr>
            </w:r>
            <w:r>
              <w:rPr>
                <w:sz w:val="18"/>
              </w:rPr>
              <w:t>Recognise isolated ArSL signs from a landmark sequence</w:t>
            </w:r>
          </w:p>
        </w:tc>
        <w:tc>
          <w:tcPr>
            <w:tcW w:type="dxa" w:w="4032"/>
          </w:tcPr>
          <w:p>
            <w:pPr>
              <w:spacing w:after="40" w:line="240" w:lineRule="auto"/>
              <w:jc w:val="left"/>
            </w:pPr>
            <w:r>
              <w:rPr>
                <w:sz w:val="18"/>
              </w:rPr>
            </w:r>
            <w:r>
              <w:rPr>
                <w:sz w:val="18"/>
              </w:rPr>
              <w:t>SignLanguagePredictor (sign_predictor.py)</w:t>
            </w:r>
          </w:p>
        </w:tc>
      </w:tr>
      <w:tr>
        <w:tc>
          <w:tcPr>
            <w:tcW w:type="dxa" w:w="720"/>
          </w:tcPr>
          <w:p>
            <w:pPr>
              <w:spacing w:after="40" w:line="240" w:lineRule="auto"/>
              <w:jc w:val="left"/>
            </w:pPr>
            <w:r>
              <w:rPr>
                <w:sz w:val="18"/>
              </w:rPr>
            </w:r>
            <w:r>
              <w:rPr>
                <w:sz w:val="18"/>
              </w:rPr>
              <w:t>FR4</w:t>
            </w:r>
          </w:p>
        </w:tc>
        <w:tc>
          <w:tcPr>
            <w:tcW w:type="dxa" w:w="4320"/>
          </w:tcPr>
          <w:p>
            <w:pPr>
              <w:spacing w:after="40" w:line="240" w:lineRule="auto"/>
              <w:jc w:val="left"/>
            </w:pPr>
            <w:r>
              <w:rPr>
                <w:sz w:val="18"/>
              </w:rPr>
            </w:r>
            <w:r>
              <w:rPr>
                <w:sz w:val="18"/>
              </w:rPr>
              <w:t>Debounce per-frame predictions into stable sign tokens</w:t>
            </w:r>
          </w:p>
        </w:tc>
        <w:tc>
          <w:tcPr>
            <w:tcW w:type="dxa" w:w="4032"/>
          </w:tcPr>
          <w:p>
            <w:pPr>
              <w:spacing w:after="40" w:line="240" w:lineRule="auto"/>
              <w:jc w:val="left"/>
            </w:pPr>
            <w:r>
              <w:rPr>
                <w:sz w:val="18"/>
              </w:rPr>
            </w:r>
            <w:r>
              <w:rPr>
                <w:sz w:val="18"/>
              </w:rPr>
              <w:t>Vote/cooldown buffer (main.py sign_frame)</w:t>
            </w:r>
          </w:p>
        </w:tc>
      </w:tr>
      <w:tr>
        <w:tc>
          <w:tcPr>
            <w:tcW w:type="dxa" w:w="720"/>
          </w:tcPr>
          <w:p>
            <w:pPr>
              <w:spacing w:after="40" w:line="240" w:lineRule="auto"/>
              <w:jc w:val="left"/>
            </w:pPr>
            <w:r>
              <w:rPr>
                <w:sz w:val="18"/>
              </w:rPr>
            </w:r>
            <w:r>
              <w:rPr>
                <w:sz w:val="18"/>
              </w:rPr>
              <w:t>FR5</w:t>
            </w:r>
          </w:p>
        </w:tc>
        <w:tc>
          <w:tcPr>
            <w:tcW w:type="dxa" w:w="4320"/>
          </w:tcPr>
          <w:p>
            <w:pPr>
              <w:spacing w:after="40" w:line="240" w:lineRule="auto"/>
              <w:jc w:val="left"/>
            </w:pPr>
            <w:r>
              <w:rPr>
                <w:sz w:val="18"/>
              </w:rPr>
            </w:r>
            <w:r>
              <w:rPr>
                <w:sz w:val="18"/>
              </w:rPr>
              <w:t>Convert recognized gloss into a natural sentence</w:t>
            </w:r>
          </w:p>
        </w:tc>
        <w:tc>
          <w:tcPr>
            <w:tcW w:type="dxa" w:w="4032"/>
          </w:tcPr>
          <w:p>
            <w:pPr>
              <w:spacing w:after="40" w:line="240" w:lineRule="auto"/>
              <w:jc w:val="left"/>
            </w:pPr>
            <w:r>
              <w:rPr>
                <w:sz w:val="18"/>
              </w:rPr>
            </w:r>
            <w:r>
              <w:rPr>
                <w:sz w:val="18"/>
              </w:rPr>
              <w:t>gloss_to_sentence (gloss.py)</w:t>
            </w:r>
          </w:p>
        </w:tc>
      </w:tr>
      <w:tr>
        <w:tc>
          <w:tcPr>
            <w:tcW w:type="dxa" w:w="720"/>
          </w:tcPr>
          <w:p>
            <w:pPr>
              <w:spacing w:after="40" w:line="240" w:lineRule="auto"/>
              <w:jc w:val="left"/>
            </w:pPr>
            <w:r>
              <w:rPr>
                <w:sz w:val="18"/>
              </w:rPr>
            </w:r>
            <w:r>
              <w:rPr>
                <w:sz w:val="18"/>
              </w:rPr>
              <w:t>FR6</w:t>
            </w:r>
          </w:p>
        </w:tc>
        <w:tc>
          <w:tcPr>
            <w:tcW w:type="dxa" w:w="4320"/>
          </w:tcPr>
          <w:p>
            <w:pPr>
              <w:spacing w:after="40" w:line="240" w:lineRule="auto"/>
              <w:jc w:val="left"/>
            </w:pPr>
            <w:r>
              <w:rPr>
                <w:sz w:val="18"/>
              </w:rPr>
            </w:r>
            <w:r>
              <w:rPr>
                <w:sz w:val="18"/>
              </w:rPr>
              <w:t>Convert a typed/spoken sentence into sign gloss + NMM</w:t>
            </w:r>
          </w:p>
        </w:tc>
        <w:tc>
          <w:tcPr>
            <w:tcW w:type="dxa" w:w="4032"/>
          </w:tcPr>
          <w:p>
            <w:pPr>
              <w:spacing w:after="40" w:line="240" w:lineRule="auto"/>
              <w:jc w:val="left"/>
            </w:pPr>
            <w:r>
              <w:rPr>
                <w:sz w:val="18"/>
              </w:rPr>
            </w:r>
            <w:r>
              <w:rPr>
                <w:sz w:val="18"/>
              </w:rPr>
              <w:t>english_to_gloss, annotate_nmm (gloss.py)</w:t>
            </w:r>
          </w:p>
        </w:tc>
      </w:tr>
      <w:tr>
        <w:tc>
          <w:tcPr>
            <w:tcW w:type="dxa" w:w="720"/>
          </w:tcPr>
          <w:p>
            <w:pPr>
              <w:spacing w:after="40" w:line="240" w:lineRule="auto"/>
              <w:jc w:val="left"/>
            </w:pPr>
            <w:r>
              <w:rPr>
                <w:sz w:val="18"/>
              </w:rPr>
            </w:r>
            <w:r>
              <w:rPr>
                <w:sz w:val="18"/>
              </w:rPr>
              <w:t>FR7</w:t>
            </w:r>
          </w:p>
        </w:tc>
        <w:tc>
          <w:tcPr>
            <w:tcW w:type="dxa" w:w="4320"/>
          </w:tcPr>
          <w:p>
            <w:pPr>
              <w:spacing w:after="40" w:line="240" w:lineRule="auto"/>
              <w:jc w:val="left"/>
            </w:pPr>
            <w:r>
              <w:rPr>
                <w:sz w:val="18"/>
              </w:rPr>
            </w:r>
            <w:r>
              <w:rPr>
                <w:sz w:val="18"/>
              </w:rPr>
              <w:t>Animate an avatar from landmark sequences for given words</w:t>
            </w:r>
          </w:p>
        </w:tc>
        <w:tc>
          <w:tcPr>
            <w:tcW w:type="dxa" w:w="4032"/>
          </w:tcPr>
          <w:p>
            <w:pPr>
              <w:spacing w:after="40" w:line="240" w:lineRule="auto"/>
              <w:jc w:val="left"/>
            </w:pPr>
            <w:r>
              <w:rPr>
                <w:sz w:val="18"/>
              </w:rPr>
            </w:r>
            <w:r>
              <w:rPr>
                <w:sz w:val="18"/>
              </w:rPr>
              <w:t>/api/signs/batch + landmark-player.js</w:t>
            </w:r>
          </w:p>
        </w:tc>
      </w:tr>
      <w:tr>
        <w:tc>
          <w:tcPr>
            <w:tcW w:type="dxa" w:w="720"/>
          </w:tcPr>
          <w:p>
            <w:pPr>
              <w:spacing w:after="40" w:line="240" w:lineRule="auto"/>
              <w:jc w:val="left"/>
            </w:pPr>
            <w:r>
              <w:rPr>
                <w:sz w:val="18"/>
              </w:rPr>
            </w:r>
            <w:r>
              <w:rPr>
                <w:sz w:val="18"/>
              </w:rPr>
              <w:t>FR8</w:t>
            </w:r>
          </w:p>
        </w:tc>
        <w:tc>
          <w:tcPr>
            <w:tcW w:type="dxa" w:w="4320"/>
          </w:tcPr>
          <w:p>
            <w:pPr>
              <w:spacing w:after="40" w:line="240" w:lineRule="auto"/>
              <w:jc w:val="left"/>
            </w:pPr>
            <w:r>
              <w:rPr>
                <w:sz w:val="18"/>
              </w:rPr>
            </w:r>
            <w:r>
              <w:rPr>
                <w:sz w:val="18"/>
              </w:rPr>
              <w:t>Synthesise unknown words by fingerspelling</w:t>
            </w:r>
          </w:p>
        </w:tc>
        <w:tc>
          <w:tcPr>
            <w:tcW w:type="dxa" w:w="4032"/>
          </w:tcPr>
          <w:p>
            <w:pPr>
              <w:spacing w:after="40" w:line="240" w:lineRule="auto"/>
              <w:jc w:val="left"/>
            </w:pPr>
            <w:r>
              <w:rPr>
                <w:sz w:val="18"/>
              </w:rPr>
            </w:r>
            <w:r>
              <w:rPr>
                <w:sz w:val="18"/>
              </w:rPr>
              <w:t>gloss_and_stitch (stitch.py)</w:t>
            </w:r>
          </w:p>
        </w:tc>
      </w:tr>
      <w:tr>
        <w:tc>
          <w:tcPr>
            <w:tcW w:type="dxa" w:w="720"/>
          </w:tcPr>
          <w:p>
            <w:pPr>
              <w:spacing w:after="40" w:line="240" w:lineRule="auto"/>
              <w:jc w:val="left"/>
            </w:pPr>
            <w:r>
              <w:rPr>
                <w:sz w:val="18"/>
              </w:rPr>
            </w:r>
            <w:r>
              <w:rPr>
                <w:sz w:val="18"/>
              </w:rPr>
              <w:t>FR9</w:t>
            </w:r>
          </w:p>
        </w:tc>
        <w:tc>
          <w:tcPr>
            <w:tcW w:type="dxa" w:w="4320"/>
          </w:tcPr>
          <w:p>
            <w:pPr>
              <w:spacing w:after="40" w:line="240" w:lineRule="auto"/>
              <w:jc w:val="left"/>
            </w:pPr>
            <w:r>
              <w:rPr>
                <w:sz w:val="18"/>
              </w:rPr>
            </w:r>
            <w:r>
              <w:rPr>
                <w:sz w:val="18"/>
              </w:rPr>
              <w:t>Speak output (TTS) and accept spoken input (STT)</w:t>
            </w:r>
          </w:p>
        </w:tc>
        <w:tc>
          <w:tcPr>
            <w:tcW w:type="dxa" w:w="4032"/>
          </w:tcPr>
          <w:p>
            <w:pPr>
              <w:spacing w:after="40" w:line="240" w:lineRule="auto"/>
              <w:jc w:val="left"/>
            </w:pPr>
            <w:r>
              <w:rPr>
                <w:sz w:val="18"/>
              </w:rPr>
            </w:r>
            <w:r>
              <w:rPr>
                <w:sz w:val="18"/>
              </w:rPr>
              <w:t>/api/tts, /api/stt; providers/</w:t>
            </w:r>
          </w:p>
        </w:tc>
      </w:tr>
      <w:tr>
        <w:tc>
          <w:tcPr>
            <w:tcW w:type="dxa" w:w="720"/>
          </w:tcPr>
          <w:p>
            <w:pPr>
              <w:spacing w:after="40" w:line="240" w:lineRule="auto"/>
              <w:jc w:val="left"/>
            </w:pPr>
            <w:r>
              <w:rPr>
                <w:sz w:val="18"/>
              </w:rPr>
            </w:r>
            <w:r>
              <w:rPr>
                <w:sz w:val="18"/>
              </w:rPr>
              <w:t>FR10</w:t>
            </w:r>
          </w:p>
        </w:tc>
        <w:tc>
          <w:tcPr>
            <w:tcW w:type="dxa" w:w="4320"/>
          </w:tcPr>
          <w:p>
            <w:pPr>
              <w:spacing w:after="40" w:line="240" w:lineRule="auto"/>
              <w:jc w:val="left"/>
            </w:pPr>
            <w:r>
              <w:rPr>
                <w:sz w:val="18"/>
              </w:rPr>
            </w:r>
            <w:r>
              <w:rPr>
                <w:sz w:val="18"/>
              </w:rPr>
              <w:t>Host a live two-party signer–speaker meeting</w:t>
            </w:r>
          </w:p>
        </w:tc>
        <w:tc>
          <w:tcPr>
            <w:tcW w:type="dxa" w:w="4032"/>
          </w:tcPr>
          <w:p>
            <w:pPr>
              <w:spacing w:after="40" w:line="240" w:lineRule="auto"/>
              <w:jc w:val="left"/>
            </w:pPr>
            <w:r>
              <w:rPr>
                <w:sz w:val="18"/>
              </w:rPr>
            </w:r>
            <w:r>
              <w:rPr>
                <w:sz w:val="18"/>
              </w:rPr>
              <w:t>WebRTC + Socket.IO (main.py)</w:t>
            </w:r>
          </w:p>
        </w:tc>
      </w:tr>
      <w:tr>
        <w:tc>
          <w:tcPr>
            <w:tcW w:type="dxa" w:w="720"/>
          </w:tcPr>
          <w:p>
            <w:pPr>
              <w:spacing w:after="40" w:line="240" w:lineRule="auto"/>
              <w:jc w:val="left"/>
            </w:pPr>
            <w:r>
              <w:rPr>
                <w:sz w:val="18"/>
              </w:rPr>
            </w:r>
            <w:r>
              <w:rPr>
                <w:sz w:val="18"/>
              </w:rPr>
              <w:t>FR11</w:t>
            </w:r>
          </w:p>
        </w:tc>
        <w:tc>
          <w:tcPr>
            <w:tcW w:type="dxa" w:w="4320"/>
          </w:tcPr>
          <w:p>
            <w:pPr>
              <w:spacing w:after="40" w:line="240" w:lineRule="auto"/>
              <w:jc w:val="left"/>
            </w:pPr>
            <w:r>
              <w:rPr>
                <w:sz w:val="18"/>
              </w:rPr>
            </w:r>
            <w:r>
              <w:rPr>
                <w:sz w:val="18"/>
              </w:rPr>
              <w:t>Support English (LTR) and Arabic (RTL) interfaces</w:t>
            </w:r>
          </w:p>
        </w:tc>
        <w:tc>
          <w:tcPr>
            <w:tcW w:type="dxa" w:w="4032"/>
          </w:tcPr>
          <w:p>
            <w:pPr>
              <w:spacing w:after="40" w:line="240" w:lineRule="auto"/>
              <w:jc w:val="left"/>
            </w:pPr>
            <w:r>
              <w:rPr>
                <w:sz w:val="18"/>
              </w:rPr>
            </w:r>
            <w:r>
              <w:rPr>
                <w:sz w:val="18"/>
              </w:rPr>
              <w:t>Jinja2 templates *_ar.html</w:t>
            </w:r>
          </w:p>
        </w:tc>
      </w:tr>
      <w:tr>
        <w:tc>
          <w:tcPr>
            <w:tcW w:type="dxa" w:w="720"/>
          </w:tcPr>
          <w:p>
            <w:pPr>
              <w:spacing w:after="40" w:line="240" w:lineRule="auto"/>
              <w:jc w:val="left"/>
            </w:pPr>
            <w:r>
              <w:rPr>
                <w:sz w:val="18"/>
              </w:rPr>
            </w:r>
            <w:r>
              <w:rPr>
                <w:sz w:val="18"/>
              </w:rPr>
              <w:t>FR12</w:t>
            </w:r>
          </w:p>
        </w:tc>
        <w:tc>
          <w:tcPr>
            <w:tcW w:type="dxa" w:w="4320"/>
          </w:tcPr>
          <w:p>
            <w:pPr>
              <w:spacing w:after="40" w:line="240" w:lineRule="auto"/>
              <w:jc w:val="left"/>
            </w:pPr>
            <w:r>
              <w:rPr>
                <w:sz w:val="18"/>
              </w:rPr>
            </w:r>
            <w:r>
              <w:rPr>
                <w:sz w:val="18"/>
              </w:rPr>
              <w:t>Authenticate users and protect the API</w:t>
            </w:r>
          </w:p>
        </w:tc>
        <w:tc>
          <w:tcPr>
            <w:tcW w:type="dxa" w:w="4032"/>
          </w:tcPr>
          <w:p>
            <w:pPr>
              <w:spacing w:after="40" w:line="240" w:lineRule="auto"/>
              <w:jc w:val="left"/>
            </w:pPr>
            <w:r>
              <w:rPr>
                <w:sz w:val="18"/>
              </w:rPr>
            </w:r>
            <w:r>
              <w:rPr>
                <w:sz w:val="18"/>
              </w:rPr>
              <w:t>auth.py (JWT, rate limits)</w:t>
            </w:r>
          </w:p>
        </w:tc>
      </w:tr>
    </w:tbl>
    <w:p>
      <w:pPr>
        <w:spacing w:after="40"/>
      </w:pPr>
    </w:p>
    <w:p>
      <w:pPr>
        <w:pStyle w:val="Heading3"/>
      </w:pPr>
      <w:r>
        <w:t>3.2.2 Non-Functional Requirements</w:t>
      </w:r>
    </w:p>
    <w:p>
      <w:pPr>
        <w:spacing w:before="160" w:after="40"/>
      </w:pPr>
      <w:r>
        <w:rPr>
          <w:b/>
          <w:color w:val="444444"/>
          <w:sz w:val="20"/>
        </w:rPr>
        <w:t xml:space="preserve">Table </w:t>
      </w:r>
      <w:fldSimple w:instr=" SEQ Table \* ARABIC ">
        <w:r>
          <w:t>4</w:t>
        </w:r>
      </w:fldSimple>
      <w:r>
        <w:rPr>
          <w:b/>
          <w:color w:val="444444"/>
          <w:sz w:val="20"/>
        </w:rPr>
        <w:t>: Non-functional requirements.</w:t>
      </w:r>
    </w:p>
    <w:tbl>
      <w:tblPr>
        <w:tblStyle w:val="TableGrid"/>
        <w:tblW w:type="auto" w:w="0"/>
        <w:jc w:val="center"/>
        <w:tblLook w:firstColumn="1" w:firstRow="1" w:lastColumn="0" w:lastRow="0" w:noHBand="0" w:noVBand="1" w:val="04A0"/>
        <w:tblBorders>
          <w:top w:val="single" w:sz="6" w:space="0" w:color="9BB3CC"/>
          <w:left w:val="single" w:sz="6" w:space="0" w:color="9BB3CC"/>
          <w:bottom w:val="single" w:sz="6" w:space="0" w:color="9BB3CC"/>
          <w:right w:val="single" w:sz="6" w:space="0" w:color="9BB3CC"/>
          <w:insideH w:val="single" w:sz="6" w:space="0" w:color="9BB3CC"/>
          <w:insideV w:val="single" w:sz="6" w:space="0" w:color="9BB3CC"/>
        </w:tblBorders>
      </w:tblPr>
      <w:tblGrid>
        <w:gridCol w:w="3120"/>
        <w:gridCol w:w="3120"/>
        <w:gridCol w:w="3120"/>
      </w:tblGrid>
      <w:tr>
        <w:tc>
          <w:tcPr>
            <w:tcW w:type="dxa" w:w="720"/>
            <w:shd w:val="clear" w:color="auto" w:fill="2F6DB5"/>
          </w:tcPr>
          <w:p>
            <w:pPr>
              <w:jc w:val="left"/>
            </w:pPr>
            <w:r/>
            <w:r>
              <w:rPr>
                <w:b/>
                <w:color w:val="FFFFFF"/>
                <w:sz w:val="18"/>
              </w:rPr>
              <w:t>ID</w:t>
            </w:r>
          </w:p>
        </w:tc>
        <w:tc>
          <w:tcPr>
            <w:tcW w:type="dxa" w:w="2592"/>
            <w:shd w:val="clear" w:color="auto" w:fill="2F6DB5"/>
          </w:tcPr>
          <w:p>
            <w:pPr>
              <w:jc w:val="left"/>
            </w:pPr>
            <w:r/>
            <w:r>
              <w:rPr>
                <w:b/>
                <w:color w:val="FFFFFF"/>
                <w:sz w:val="18"/>
              </w:rPr>
              <w:t>Quality</w:t>
            </w:r>
          </w:p>
        </w:tc>
        <w:tc>
          <w:tcPr>
            <w:tcW w:type="dxa" w:w="5760"/>
            <w:shd w:val="clear" w:color="auto" w:fill="2F6DB5"/>
          </w:tcPr>
          <w:p>
            <w:pPr>
              <w:jc w:val="left"/>
            </w:pPr>
            <w:r/>
            <w:r>
              <w:rPr>
                <w:b/>
                <w:color w:val="FFFFFF"/>
                <w:sz w:val="18"/>
              </w:rPr>
              <w:t>Target / mechanism</w:t>
            </w:r>
          </w:p>
        </w:tc>
      </w:tr>
      <w:tr>
        <w:tc>
          <w:tcPr>
            <w:tcW w:type="dxa" w:w="720"/>
          </w:tcPr>
          <w:p>
            <w:pPr>
              <w:spacing w:after="40" w:line="240" w:lineRule="auto"/>
              <w:jc w:val="left"/>
            </w:pPr>
            <w:r>
              <w:rPr>
                <w:sz w:val="18"/>
              </w:rPr>
            </w:r>
            <w:r>
              <w:rPr>
                <w:sz w:val="18"/>
              </w:rPr>
              <w:t>NFR1</w:t>
            </w:r>
          </w:p>
        </w:tc>
        <w:tc>
          <w:tcPr>
            <w:tcW w:type="dxa" w:w="2592"/>
          </w:tcPr>
          <w:p>
            <w:pPr>
              <w:spacing w:after="40" w:line="240" w:lineRule="auto"/>
              <w:jc w:val="left"/>
            </w:pPr>
            <w:r>
              <w:rPr>
                <w:sz w:val="18"/>
              </w:rPr>
            </w:r>
            <w:r>
              <w:rPr>
                <w:sz w:val="18"/>
              </w:rPr>
              <w:t>Real-time responsiveness</w:t>
            </w:r>
          </w:p>
        </w:tc>
        <w:tc>
          <w:tcPr>
            <w:tcW w:type="dxa" w:w="5760"/>
          </w:tcPr>
          <w:p>
            <w:pPr>
              <w:spacing w:after="40" w:line="240" w:lineRule="auto"/>
              <w:jc w:val="left"/>
            </w:pPr>
            <w:r>
              <w:rPr>
                <w:sz w:val="18"/>
              </w:rPr>
            </w:r>
            <w:r>
              <w:rPr>
                <w:sz w:val="18"/>
              </w:rPr>
              <w:t>Per-frame streaming at ~20 fps; sign accepted in a few hundred ms; blocking work off the event loop (run_in_threadpool)</w:t>
            </w:r>
          </w:p>
        </w:tc>
      </w:tr>
      <w:tr>
        <w:tc>
          <w:tcPr>
            <w:tcW w:type="dxa" w:w="720"/>
          </w:tcPr>
          <w:p>
            <w:pPr>
              <w:spacing w:after="40" w:line="240" w:lineRule="auto"/>
              <w:jc w:val="left"/>
            </w:pPr>
            <w:r>
              <w:rPr>
                <w:sz w:val="18"/>
              </w:rPr>
            </w:r>
            <w:r>
              <w:rPr>
                <w:sz w:val="18"/>
              </w:rPr>
              <w:t>NFR2</w:t>
            </w:r>
          </w:p>
        </w:tc>
        <w:tc>
          <w:tcPr>
            <w:tcW w:type="dxa" w:w="2592"/>
          </w:tcPr>
          <w:p>
            <w:pPr>
              <w:spacing w:after="40" w:line="240" w:lineRule="auto"/>
              <w:jc w:val="left"/>
            </w:pPr>
            <w:r>
              <w:rPr>
                <w:sz w:val="18"/>
              </w:rPr>
            </w:r>
            <w:r>
              <w:rPr>
                <w:sz w:val="18"/>
              </w:rPr>
              <w:t>Concurrency</w:t>
            </w:r>
          </w:p>
        </w:tc>
        <w:tc>
          <w:tcPr>
            <w:tcW w:type="dxa" w:w="5760"/>
          </w:tcPr>
          <w:p>
            <w:pPr>
              <w:spacing w:after="40" w:line="240" w:lineRule="auto"/>
              <w:jc w:val="left"/>
            </w:pPr>
            <w:r>
              <w:rPr>
                <w:sz w:val="18"/>
              </w:rPr>
            </w:r>
            <w:r>
              <w:rPr>
                <w:sz w:val="18"/>
              </w:rPr>
              <w:t>No endpoint blocks the event loop; thread-locked single-instance models; DB pool (size 5, overflow 10)</w:t>
            </w:r>
          </w:p>
        </w:tc>
      </w:tr>
      <w:tr>
        <w:tc>
          <w:tcPr>
            <w:tcW w:type="dxa" w:w="720"/>
          </w:tcPr>
          <w:p>
            <w:pPr>
              <w:spacing w:after="40" w:line="240" w:lineRule="auto"/>
              <w:jc w:val="left"/>
            </w:pPr>
            <w:r>
              <w:rPr>
                <w:sz w:val="18"/>
              </w:rPr>
            </w:r>
            <w:r>
              <w:rPr>
                <w:sz w:val="18"/>
              </w:rPr>
              <w:t>NFR3</w:t>
            </w:r>
          </w:p>
        </w:tc>
        <w:tc>
          <w:tcPr>
            <w:tcW w:type="dxa" w:w="2592"/>
          </w:tcPr>
          <w:p>
            <w:pPr>
              <w:spacing w:after="40" w:line="240" w:lineRule="auto"/>
              <w:jc w:val="left"/>
            </w:pPr>
            <w:r>
              <w:rPr>
                <w:sz w:val="18"/>
              </w:rPr>
            </w:r>
            <w:r>
              <w:rPr>
                <w:sz w:val="18"/>
              </w:rPr>
              <w:t>Offline resilience</w:t>
            </w:r>
          </w:p>
        </w:tc>
        <w:tc>
          <w:tcPr>
            <w:tcW w:type="dxa" w:w="5760"/>
          </w:tcPr>
          <w:p>
            <w:pPr>
              <w:spacing w:after="40" w:line="240" w:lineRule="auto"/>
              <w:jc w:val="left"/>
            </w:pPr>
            <w:r>
              <w:rPr>
                <w:sz w:val="18"/>
              </w:rPr>
            </w:r>
            <w:r>
              <w:rPr>
                <w:sz w:val="18"/>
              </w:rPr>
              <w:t>Provider fallback chains (Gemini→Ollama / pyttsx3 / Whisper); rule-based gloss fallback</w:t>
            </w:r>
          </w:p>
        </w:tc>
      </w:tr>
      <w:tr>
        <w:tc>
          <w:tcPr>
            <w:tcW w:type="dxa" w:w="720"/>
          </w:tcPr>
          <w:p>
            <w:pPr>
              <w:spacing w:after="40" w:line="240" w:lineRule="auto"/>
              <w:jc w:val="left"/>
            </w:pPr>
            <w:r>
              <w:rPr>
                <w:sz w:val="18"/>
              </w:rPr>
            </w:r>
            <w:r>
              <w:rPr>
                <w:sz w:val="18"/>
              </w:rPr>
              <w:t>NFR4</w:t>
            </w:r>
          </w:p>
        </w:tc>
        <w:tc>
          <w:tcPr>
            <w:tcW w:type="dxa" w:w="2592"/>
          </w:tcPr>
          <w:p>
            <w:pPr>
              <w:spacing w:after="40" w:line="240" w:lineRule="auto"/>
              <w:jc w:val="left"/>
            </w:pPr>
            <w:r>
              <w:rPr>
                <w:sz w:val="18"/>
              </w:rPr>
            </w:r>
            <w:r>
              <w:rPr>
                <w:sz w:val="18"/>
              </w:rPr>
              <w:t>Security</w:t>
            </w:r>
          </w:p>
        </w:tc>
        <w:tc>
          <w:tcPr>
            <w:tcW w:type="dxa" w:w="5760"/>
          </w:tcPr>
          <w:p>
            <w:pPr>
              <w:spacing w:after="40" w:line="240" w:lineRule="auto"/>
              <w:jc w:val="left"/>
            </w:pPr>
            <w:r>
              <w:rPr>
                <w:sz w:val="18"/>
              </w:rPr>
            </w:r>
            <w:r>
              <w:rPr>
                <w:sz w:val="18"/>
              </w:rPr>
              <w:t>Argon2id hashing; JWT with rotating refresh tokens; sliding-window rate limiting; security headers</w:t>
            </w:r>
          </w:p>
        </w:tc>
      </w:tr>
      <w:tr>
        <w:tc>
          <w:tcPr>
            <w:tcW w:type="dxa" w:w="720"/>
          </w:tcPr>
          <w:p>
            <w:pPr>
              <w:spacing w:after="40" w:line="240" w:lineRule="auto"/>
              <w:jc w:val="left"/>
            </w:pPr>
            <w:r>
              <w:rPr>
                <w:sz w:val="18"/>
              </w:rPr>
            </w:r>
            <w:r>
              <w:rPr>
                <w:sz w:val="18"/>
              </w:rPr>
              <w:t>NFR5</w:t>
            </w:r>
          </w:p>
        </w:tc>
        <w:tc>
          <w:tcPr>
            <w:tcW w:type="dxa" w:w="2592"/>
          </w:tcPr>
          <w:p>
            <w:pPr>
              <w:spacing w:after="40" w:line="240" w:lineRule="auto"/>
              <w:jc w:val="left"/>
            </w:pPr>
            <w:r>
              <w:rPr>
                <w:sz w:val="18"/>
              </w:rPr>
            </w:r>
            <w:r>
              <w:rPr>
                <w:sz w:val="18"/>
              </w:rPr>
              <w:t>Portability</w:t>
            </w:r>
          </w:p>
        </w:tc>
        <w:tc>
          <w:tcPr>
            <w:tcW w:type="dxa" w:w="5760"/>
          </w:tcPr>
          <w:p>
            <w:pPr>
              <w:spacing w:after="40" w:line="240" w:lineRule="auto"/>
              <w:jc w:val="left"/>
            </w:pPr>
            <w:r>
              <w:rPr>
                <w:sz w:val="18"/>
              </w:rPr>
            </w:r>
            <w:r>
              <w:rPr>
                <w:sz w:val="18"/>
              </w:rPr>
              <w:t>Browser client (no install); Dockerised server; runs on CPU only</w:t>
            </w:r>
          </w:p>
        </w:tc>
      </w:tr>
      <w:tr>
        <w:tc>
          <w:tcPr>
            <w:tcW w:type="dxa" w:w="720"/>
          </w:tcPr>
          <w:p>
            <w:pPr>
              <w:spacing w:after="40" w:line="240" w:lineRule="auto"/>
              <w:jc w:val="left"/>
            </w:pPr>
            <w:r>
              <w:rPr>
                <w:sz w:val="18"/>
              </w:rPr>
            </w:r>
            <w:r>
              <w:rPr>
                <w:sz w:val="18"/>
              </w:rPr>
              <w:t>NFR6</w:t>
            </w:r>
          </w:p>
        </w:tc>
        <w:tc>
          <w:tcPr>
            <w:tcW w:type="dxa" w:w="2592"/>
          </w:tcPr>
          <w:p>
            <w:pPr>
              <w:spacing w:after="40" w:line="240" w:lineRule="auto"/>
              <w:jc w:val="left"/>
            </w:pPr>
            <w:r>
              <w:rPr>
                <w:sz w:val="18"/>
              </w:rPr>
            </w:r>
            <w:r>
              <w:rPr>
                <w:sz w:val="18"/>
              </w:rPr>
              <w:t>Accessibility &amp; i18n</w:t>
            </w:r>
          </w:p>
        </w:tc>
        <w:tc>
          <w:tcPr>
            <w:tcW w:type="dxa" w:w="5760"/>
          </w:tcPr>
          <w:p>
            <w:pPr>
              <w:spacing w:after="40" w:line="240" w:lineRule="auto"/>
              <w:jc w:val="left"/>
            </w:pPr>
            <w:r>
              <w:rPr>
                <w:sz w:val="18"/>
              </w:rPr>
            </w:r>
            <w:r>
              <w:rPr>
                <w:sz w:val="18"/>
              </w:rPr>
              <w:t>Bilingual EN/AR, RTL mirroring, reduced-motion &amp; focus-visible support</w:t>
            </w:r>
          </w:p>
        </w:tc>
      </w:tr>
      <w:tr>
        <w:tc>
          <w:tcPr>
            <w:tcW w:type="dxa" w:w="720"/>
          </w:tcPr>
          <w:p>
            <w:pPr>
              <w:spacing w:after="40" w:line="240" w:lineRule="auto"/>
              <w:jc w:val="left"/>
            </w:pPr>
            <w:r>
              <w:rPr>
                <w:sz w:val="18"/>
              </w:rPr>
            </w:r>
            <w:r>
              <w:rPr>
                <w:sz w:val="18"/>
              </w:rPr>
              <w:t>NFR7</w:t>
            </w:r>
          </w:p>
        </w:tc>
        <w:tc>
          <w:tcPr>
            <w:tcW w:type="dxa" w:w="2592"/>
          </w:tcPr>
          <w:p>
            <w:pPr>
              <w:spacing w:after="40" w:line="240" w:lineRule="auto"/>
              <w:jc w:val="left"/>
            </w:pPr>
            <w:r>
              <w:rPr>
                <w:sz w:val="18"/>
              </w:rPr>
            </w:r>
            <w:r>
              <w:rPr>
                <w:sz w:val="18"/>
              </w:rPr>
              <w:t>Observability</w:t>
            </w:r>
          </w:p>
        </w:tc>
        <w:tc>
          <w:tcPr>
            <w:tcW w:type="dxa" w:w="5760"/>
          </w:tcPr>
          <w:p>
            <w:pPr>
              <w:spacing w:after="40" w:line="240" w:lineRule="auto"/>
              <w:jc w:val="left"/>
            </w:pPr>
            <w:r>
              <w:rPr>
                <w:sz w:val="18"/>
              </w:rPr>
            </w:r>
            <w:r>
              <w:rPr>
                <w:sz w:val="18"/>
              </w:rPr>
              <w:t>Per-stage latency metrics at /api/metrics (profiling.py)</w:t>
            </w:r>
          </w:p>
        </w:tc>
      </w:tr>
      <w:tr>
        <w:tc>
          <w:tcPr>
            <w:tcW w:type="dxa" w:w="720"/>
          </w:tcPr>
          <w:p>
            <w:pPr>
              <w:spacing w:after="40" w:line="240" w:lineRule="auto"/>
              <w:jc w:val="left"/>
            </w:pPr>
            <w:r>
              <w:rPr>
                <w:sz w:val="18"/>
              </w:rPr>
            </w:r>
            <w:r>
              <w:rPr>
                <w:sz w:val="18"/>
              </w:rPr>
              <w:t>NFR8</w:t>
            </w:r>
          </w:p>
        </w:tc>
        <w:tc>
          <w:tcPr>
            <w:tcW w:type="dxa" w:w="2592"/>
          </w:tcPr>
          <w:p>
            <w:pPr>
              <w:spacing w:after="40" w:line="240" w:lineRule="auto"/>
              <w:jc w:val="left"/>
            </w:pPr>
            <w:r>
              <w:rPr>
                <w:sz w:val="18"/>
              </w:rPr>
            </w:r>
            <w:r>
              <w:rPr>
                <w:sz w:val="18"/>
              </w:rPr>
              <w:t>Privacy</w:t>
            </w:r>
          </w:p>
        </w:tc>
        <w:tc>
          <w:tcPr>
            <w:tcW w:type="dxa" w:w="5760"/>
          </w:tcPr>
          <w:p>
            <w:pPr>
              <w:spacing w:after="40" w:line="240" w:lineRule="auto"/>
              <w:jc w:val="left"/>
            </w:pPr>
            <w:r>
              <w:rPr>
                <w:sz w:val="18"/>
              </w:rPr>
            </w:r>
            <w:r>
              <w:rPr>
                <w:sz w:val="18"/>
              </w:rPr>
              <w:t>Only landmarks (not raw video) are sent to the server for recognition</w:t>
            </w:r>
          </w:p>
        </w:tc>
      </w:tr>
    </w:tbl>
    <w:p>
      <w:pPr>
        <w:spacing w:after="40"/>
      </w:pPr>
    </w:p>
    <w:p>
      <w:pPr>
        <w:pStyle w:val="Heading3"/>
      </w:pPr>
      <w:r>
        <w:t>3.2.3 Hardware Requirements</w:t>
      </w:r>
    </w:p>
    <w:p>
      <w:pPr>
        <w:spacing w:before="160" w:after="40"/>
      </w:pPr>
      <w:r>
        <w:rPr>
          <w:b/>
          <w:color w:val="444444"/>
          <w:sz w:val="20"/>
        </w:rPr>
        <w:t xml:space="preserve">Table </w:t>
      </w:r>
      <w:fldSimple w:instr=" SEQ Table \* ARABIC ">
        <w:r>
          <w:t>5</w:t>
        </w:r>
      </w:fldSimple>
      <w:r>
        <w:rPr>
          <w:b/>
          <w:color w:val="444444"/>
          <w:sz w:val="20"/>
        </w:rPr>
        <w:t>: Hardware requirements.</w:t>
      </w:r>
    </w:p>
    <w:tbl>
      <w:tblPr>
        <w:tblStyle w:val="TableGrid"/>
        <w:tblW w:type="auto" w:w="0"/>
        <w:jc w:val="center"/>
        <w:tblLook w:firstColumn="1" w:firstRow="1" w:lastColumn="0" w:lastRow="0" w:noHBand="0" w:noVBand="1" w:val="04A0"/>
        <w:tblBorders>
          <w:top w:val="single" w:sz="6" w:space="0" w:color="9BB3CC"/>
          <w:left w:val="single" w:sz="6" w:space="0" w:color="9BB3CC"/>
          <w:bottom w:val="single" w:sz="6" w:space="0" w:color="9BB3CC"/>
          <w:right w:val="single" w:sz="6" w:space="0" w:color="9BB3CC"/>
          <w:insideH w:val="single" w:sz="6" w:space="0" w:color="9BB3CC"/>
          <w:insideV w:val="single" w:sz="6" w:space="0" w:color="9BB3CC"/>
        </w:tblBorders>
      </w:tblPr>
      <w:tblGrid>
        <w:gridCol w:w="3120"/>
        <w:gridCol w:w="3120"/>
        <w:gridCol w:w="3120"/>
      </w:tblGrid>
      <w:tr>
        <w:tc>
          <w:tcPr>
            <w:tcW w:type="dxa" w:w="2016"/>
            <w:shd w:val="clear" w:color="auto" w:fill="2F6DB5"/>
          </w:tcPr>
          <w:p>
            <w:pPr>
              <w:jc w:val="left"/>
            </w:pPr>
            <w:r/>
            <w:r>
              <w:rPr>
                <w:b/>
                <w:color w:val="FFFFFF"/>
                <w:sz w:val="18"/>
              </w:rPr>
              <w:t>Component</w:t>
            </w:r>
          </w:p>
        </w:tc>
        <w:tc>
          <w:tcPr>
            <w:tcW w:type="dxa" w:w="3744"/>
            <w:shd w:val="clear" w:color="auto" w:fill="2F6DB5"/>
          </w:tcPr>
          <w:p>
            <w:pPr>
              <w:jc w:val="left"/>
            </w:pPr>
            <w:r/>
            <w:r>
              <w:rPr>
                <w:b/>
                <w:color w:val="FFFFFF"/>
                <w:sz w:val="18"/>
              </w:rPr>
              <w:t>Minimum</w:t>
            </w:r>
          </w:p>
        </w:tc>
        <w:tc>
          <w:tcPr>
            <w:tcW w:type="dxa" w:w="3312"/>
            <w:shd w:val="clear" w:color="auto" w:fill="2F6DB5"/>
          </w:tcPr>
          <w:p>
            <w:pPr>
              <w:jc w:val="left"/>
            </w:pPr>
            <w:r/>
            <w:r>
              <w:rPr>
                <w:b/>
                <w:color w:val="FFFFFF"/>
                <w:sz w:val="18"/>
              </w:rPr>
              <w:t>Notes</w:t>
            </w:r>
          </w:p>
        </w:tc>
      </w:tr>
      <w:tr>
        <w:tc>
          <w:tcPr>
            <w:tcW w:type="dxa" w:w="2016"/>
          </w:tcPr>
          <w:p>
            <w:pPr>
              <w:spacing w:after="40" w:line="240" w:lineRule="auto"/>
              <w:jc w:val="left"/>
            </w:pPr>
            <w:r>
              <w:rPr>
                <w:sz w:val="18"/>
              </w:rPr>
            </w:r>
            <w:r>
              <w:rPr>
                <w:sz w:val="18"/>
              </w:rPr>
              <w:t>Client device</w:t>
            </w:r>
          </w:p>
        </w:tc>
        <w:tc>
          <w:tcPr>
            <w:tcW w:type="dxa" w:w="3744"/>
          </w:tcPr>
          <w:p>
            <w:pPr>
              <w:spacing w:after="40" w:line="240" w:lineRule="auto"/>
              <w:jc w:val="left"/>
            </w:pPr>
            <w:r>
              <w:rPr>
                <w:sz w:val="18"/>
              </w:rPr>
            </w:r>
            <w:r>
              <w:rPr>
                <w:sz w:val="18"/>
              </w:rPr>
              <w:t>Any laptop/desktop/phone with a webcam and a modern browser</w:t>
            </w:r>
          </w:p>
        </w:tc>
        <w:tc>
          <w:tcPr>
            <w:tcW w:type="dxa" w:w="3312"/>
          </w:tcPr>
          <w:p>
            <w:pPr>
              <w:spacing w:after="40" w:line="240" w:lineRule="auto"/>
              <w:jc w:val="left"/>
            </w:pPr>
            <w:r>
              <w:rPr>
                <w:sz w:val="18"/>
              </w:rPr>
            </w:r>
            <w:r>
              <w:rPr>
                <w:sz w:val="18"/>
              </w:rPr>
              <w:t>MediaPipe runs via WebAssembly; GPU optional</w:t>
            </w:r>
          </w:p>
        </w:tc>
      </w:tr>
      <w:tr>
        <w:tc>
          <w:tcPr>
            <w:tcW w:type="dxa" w:w="2016"/>
          </w:tcPr>
          <w:p>
            <w:pPr>
              <w:spacing w:after="40" w:line="240" w:lineRule="auto"/>
              <w:jc w:val="left"/>
            </w:pPr>
            <w:r>
              <w:rPr>
                <w:sz w:val="18"/>
              </w:rPr>
            </w:r>
            <w:r>
              <w:rPr>
                <w:sz w:val="18"/>
              </w:rPr>
              <w:t>Camera</w:t>
            </w:r>
          </w:p>
        </w:tc>
        <w:tc>
          <w:tcPr>
            <w:tcW w:type="dxa" w:w="3744"/>
          </w:tcPr>
          <w:p>
            <w:pPr>
              <w:spacing w:after="40" w:line="240" w:lineRule="auto"/>
              <w:jc w:val="left"/>
            </w:pPr>
            <w:r>
              <w:rPr>
                <w:sz w:val="18"/>
              </w:rPr>
            </w:r>
            <w:r>
              <w:rPr>
                <w:sz w:val="18"/>
              </w:rPr>
              <w:t>Standard 480p+ webcam</w:t>
            </w:r>
          </w:p>
        </w:tc>
        <w:tc>
          <w:tcPr>
            <w:tcW w:type="dxa" w:w="3312"/>
          </w:tcPr>
          <w:p>
            <w:pPr>
              <w:spacing w:after="40" w:line="240" w:lineRule="auto"/>
              <w:jc w:val="left"/>
            </w:pPr>
            <w:r>
              <w:rPr>
                <w:sz w:val="18"/>
              </w:rPr>
            </w:r>
            <w:r>
              <w:rPr>
                <w:sz w:val="18"/>
              </w:rPr>
              <w:t>Capture configured at ~480×360, 15–20 fps</w:t>
            </w:r>
          </w:p>
        </w:tc>
      </w:tr>
      <w:tr>
        <w:tc>
          <w:tcPr>
            <w:tcW w:type="dxa" w:w="2016"/>
          </w:tcPr>
          <w:p>
            <w:pPr>
              <w:spacing w:after="40" w:line="240" w:lineRule="auto"/>
              <w:jc w:val="left"/>
            </w:pPr>
            <w:r>
              <w:rPr>
                <w:sz w:val="18"/>
              </w:rPr>
            </w:r>
            <w:r>
              <w:rPr>
                <w:sz w:val="18"/>
              </w:rPr>
              <w:t>Server CPU</w:t>
            </w:r>
          </w:p>
        </w:tc>
        <w:tc>
          <w:tcPr>
            <w:tcW w:type="dxa" w:w="3744"/>
          </w:tcPr>
          <w:p>
            <w:pPr>
              <w:spacing w:after="40" w:line="240" w:lineRule="auto"/>
              <w:jc w:val="left"/>
            </w:pPr>
            <w:r>
              <w:rPr>
                <w:sz w:val="18"/>
              </w:rPr>
            </w:r>
            <w:r>
              <w:rPr>
                <w:sz w:val="18"/>
              </w:rPr>
              <w:t>2+ cores</w:t>
            </w:r>
          </w:p>
        </w:tc>
        <w:tc>
          <w:tcPr>
            <w:tcW w:type="dxa" w:w="3312"/>
          </w:tcPr>
          <w:p>
            <w:pPr>
              <w:spacing w:after="40" w:line="240" w:lineRule="auto"/>
              <w:jc w:val="left"/>
            </w:pPr>
            <w:r>
              <w:rPr>
                <w:sz w:val="18"/>
              </w:rPr>
            </w:r>
            <w:r>
              <w:rPr>
                <w:sz w:val="18"/>
              </w:rPr>
              <w:t>Inference is CPU-only (TFLite XNNPACK; PyTorch INT8)</w:t>
            </w:r>
          </w:p>
        </w:tc>
      </w:tr>
      <w:tr>
        <w:tc>
          <w:tcPr>
            <w:tcW w:type="dxa" w:w="2016"/>
          </w:tcPr>
          <w:p>
            <w:pPr>
              <w:spacing w:after="40" w:line="240" w:lineRule="auto"/>
              <w:jc w:val="left"/>
            </w:pPr>
            <w:r>
              <w:rPr>
                <w:sz w:val="18"/>
              </w:rPr>
            </w:r>
            <w:r>
              <w:rPr>
                <w:sz w:val="18"/>
              </w:rPr>
              <w:t>Server RAM</w:t>
            </w:r>
          </w:p>
        </w:tc>
        <w:tc>
          <w:tcPr>
            <w:tcW w:type="dxa" w:w="3744"/>
          </w:tcPr>
          <w:p>
            <w:pPr>
              <w:spacing w:after="40" w:line="240" w:lineRule="auto"/>
              <w:jc w:val="left"/>
            </w:pPr>
            <w:r>
              <w:rPr>
                <w:sz w:val="18"/>
              </w:rPr>
            </w:r>
            <w:r>
              <w:rPr>
                <w:sz w:val="18"/>
              </w:rPr>
              <w:t>~2–4 GB</w:t>
            </w:r>
          </w:p>
        </w:tc>
        <w:tc>
          <w:tcPr>
            <w:tcW w:type="dxa" w:w="3312"/>
          </w:tcPr>
          <w:p>
            <w:pPr>
              <w:spacing w:after="40" w:line="240" w:lineRule="auto"/>
              <w:jc w:val="left"/>
            </w:pPr>
            <w:r>
              <w:rPr>
                <w:sz w:val="18"/>
              </w:rPr>
            </w:r>
            <w:r>
              <w:rPr>
                <w:sz w:val="18"/>
              </w:rPr>
              <w:t>SBERT + two models + Postgres client</w:t>
            </w:r>
          </w:p>
        </w:tc>
      </w:tr>
      <w:tr>
        <w:tc>
          <w:tcPr>
            <w:tcW w:type="dxa" w:w="2016"/>
          </w:tcPr>
          <w:p>
            <w:pPr>
              <w:spacing w:after="40" w:line="240" w:lineRule="auto"/>
              <w:jc w:val="left"/>
            </w:pPr>
            <w:r>
              <w:rPr>
                <w:sz w:val="18"/>
              </w:rPr>
            </w:r>
            <w:r>
              <w:rPr>
                <w:sz w:val="18"/>
              </w:rPr>
              <w:t>GPU</w:t>
            </w:r>
          </w:p>
        </w:tc>
        <w:tc>
          <w:tcPr>
            <w:tcW w:type="dxa" w:w="3744"/>
          </w:tcPr>
          <w:p>
            <w:pPr>
              <w:spacing w:after="40" w:line="240" w:lineRule="auto"/>
              <w:jc w:val="left"/>
            </w:pPr>
            <w:r>
              <w:rPr>
                <w:sz w:val="18"/>
              </w:rPr>
            </w:r>
            <w:r>
              <w:rPr>
                <w:sz w:val="18"/>
              </w:rPr>
              <w:t>Not required</w:t>
            </w:r>
          </w:p>
        </w:tc>
        <w:tc>
          <w:tcPr>
            <w:tcW w:type="dxa" w:w="3312"/>
          </w:tcPr>
          <w:p>
            <w:pPr>
              <w:spacing w:after="40" w:line="240" w:lineRule="auto"/>
              <w:jc w:val="left"/>
            </w:pPr>
            <w:r>
              <w:rPr>
                <w:sz w:val="18"/>
              </w:rPr>
            </w:r>
            <w:r>
              <w:rPr>
                <w:sz w:val="18"/>
              </w:rPr>
              <w:t>All inference runs on CPU</w:t>
            </w:r>
          </w:p>
        </w:tc>
      </w:tr>
      <w:tr>
        <w:tc>
          <w:tcPr>
            <w:tcW w:type="dxa" w:w="2016"/>
          </w:tcPr>
          <w:p>
            <w:pPr>
              <w:spacing w:after="40" w:line="240" w:lineRule="auto"/>
              <w:jc w:val="left"/>
            </w:pPr>
            <w:r>
              <w:rPr>
                <w:sz w:val="18"/>
              </w:rPr>
            </w:r>
            <w:r>
              <w:rPr>
                <w:sz w:val="18"/>
              </w:rPr>
              <w:t>Network</w:t>
            </w:r>
          </w:p>
        </w:tc>
        <w:tc>
          <w:tcPr>
            <w:tcW w:type="dxa" w:w="3744"/>
          </w:tcPr>
          <w:p>
            <w:pPr>
              <w:spacing w:after="40" w:line="240" w:lineRule="auto"/>
              <w:jc w:val="left"/>
            </w:pPr>
            <w:r>
              <w:rPr>
                <w:sz w:val="18"/>
              </w:rPr>
            </w:r>
            <w:r>
              <w:rPr>
                <w:sz w:val="18"/>
              </w:rPr>
              <w:t>Broadband / Wi-Fi</w:t>
            </w:r>
          </w:p>
        </w:tc>
        <w:tc>
          <w:tcPr>
            <w:tcW w:type="dxa" w:w="3312"/>
          </w:tcPr>
          <w:p>
            <w:pPr>
              <w:spacing w:after="40" w:line="240" w:lineRule="auto"/>
              <w:jc w:val="left"/>
            </w:pPr>
            <w:r>
              <w:rPr>
                <w:sz w:val="18"/>
              </w:rPr>
            </w:r>
            <w:r>
              <w:rPr>
                <w:sz w:val="18"/>
              </w:rPr>
              <w:t>Socket.IO streaming + optional cloud LLM/TTS/STT</w:t>
            </w:r>
          </w:p>
        </w:tc>
      </w:tr>
    </w:tbl>
    <w:p>
      <w:pPr>
        <w:spacing w:after="40"/>
      </w:pPr>
    </w:p>
    <w:p>
      <w:pPr>
        <w:pStyle w:val="Heading3"/>
      </w:pPr>
      <w:r>
        <w:t>3.2.4 Software and Technology Stack</w:t>
      </w:r>
    </w:p>
    <w:p>
      <w:pPr>
        <w:jc w:val="both"/>
      </w:pPr>
      <w:r>
        <w:t>Table 6 lists the technology stack with the exact versions pinned in requirements.txt and the frontend includes. The server is Python; the client is server-rendered HTML with vanilla JavaScript and no build step.</w:t>
      </w:r>
    </w:p>
    <w:p>
      <w:pPr>
        <w:spacing w:before="160" w:after="40"/>
      </w:pPr>
      <w:r>
        <w:rPr>
          <w:b/>
          <w:color w:val="444444"/>
          <w:sz w:val="20"/>
        </w:rPr>
        <w:t xml:space="preserve">Table </w:t>
      </w:r>
      <w:fldSimple w:instr=" SEQ Table \* ARABIC ">
        <w:r>
          <w:t>6</w:t>
        </w:r>
      </w:fldSimple>
      <w:r>
        <w:rPr>
          <w:b/>
          <w:color w:val="444444"/>
          <w:sz w:val="20"/>
        </w:rPr>
        <w:t>: Software and technology stack with versions.</w:t>
      </w:r>
    </w:p>
    <w:tbl>
      <w:tblPr>
        <w:tblStyle w:val="TableGrid"/>
        <w:tblW w:type="auto" w:w="0"/>
        <w:jc w:val="center"/>
        <w:tblLook w:firstColumn="1" w:firstRow="1" w:lastColumn="0" w:lastRow="0" w:noHBand="0" w:noVBand="1" w:val="04A0"/>
        <w:tblBorders>
          <w:top w:val="single" w:sz="6" w:space="0" w:color="9BB3CC"/>
          <w:left w:val="single" w:sz="6" w:space="0" w:color="9BB3CC"/>
          <w:bottom w:val="single" w:sz="6" w:space="0" w:color="9BB3CC"/>
          <w:right w:val="single" w:sz="6" w:space="0" w:color="9BB3CC"/>
          <w:insideH w:val="single" w:sz="6" w:space="0" w:color="9BB3CC"/>
          <w:insideV w:val="single" w:sz="6" w:space="0" w:color="9BB3CC"/>
        </w:tblBorders>
      </w:tblPr>
      <w:tblGrid>
        <w:gridCol w:w="3120"/>
        <w:gridCol w:w="3120"/>
        <w:gridCol w:w="3120"/>
      </w:tblGrid>
      <w:tr>
        <w:tc>
          <w:tcPr>
            <w:tcW w:type="dxa" w:w="2304"/>
            <w:shd w:val="clear" w:color="auto" w:fill="2F6DB5"/>
          </w:tcPr>
          <w:p>
            <w:pPr>
              <w:jc w:val="left"/>
            </w:pPr>
            <w:r/>
            <w:r>
              <w:rPr>
                <w:b/>
                <w:color w:val="FFFFFF"/>
                <w:sz w:val="17"/>
              </w:rPr>
              <w:t>Layer</w:t>
            </w:r>
          </w:p>
        </w:tc>
        <w:tc>
          <w:tcPr>
            <w:tcW w:type="dxa" w:w="4464"/>
            <w:shd w:val="clear" w:color="auto" w:fill="2F6DB5"/>
          </w:tcPr>
          <w:p>
            <w:pPr>
              <w:jc w:val="left"/>
            </w:pPr>
            <w:r/>
            <w:r>
              <w:rPr>
                <w:b/>
                <w:color w:val="FFFFFF"/>
                <w:sz w:val="17"/>
              </w:rPr>
              <w:t>Technology</w:t>
            </w:r>
          </w:p>
        </w:tc>
        <w:tc>
          <w:tcPr>
            <w:tcW w:type="dxa" w:w="2304"/>
            <w:shd w:val="clear" w:color="auto" w:fill="2F6DB5"/>
          </w:tcPr>
          <w:p>
            <w:pPr>
              <w:jc w:val="left"/>
            </w:pPr>
            <w:r/>
            <w:r>
              <w:rPr>
                <w:b/>
                <w:color w:val="FFFFFF"/>
                <w:sz w:val="17"/>
              </w:rPr>
              <w:t>Version</w:t>
            </w:r>
          </w:p>
        </w:tc>
      </w:tr>
      <w:tr>
        <w:tc>
          <w:tcPr>
            <w:tcW w:type="dxa" w:w="2304"/>
          </w:tcPr>
          <w:p>
            <w:pPr>
              <w:spacing w:after="40" w:line="240" w:lineRule="auto"/>
              <w:jc w:val="left"/>
            </w:pPr>
            <w:r>
              <w:rPr>
                <w:sz w:val="17"/>
              </w:rPr>
            </w:r>
            <w:r>
              <w:rPr>
                <w:sz w:val="17"/>
              </w:rPr>
              <w:t>Web framework</w:t>
            </w:r>
          </w:p>
        </w:tc>
        <w:tc>
          <w:tcPr>
            <w:tcW w:type="dxa" w:w="4464"/>
          </w:tcPr>
          <w:p>
            <w:pPr>
              <w:spacing w:after="40" w:line="240" w:lineRule="auto"/>
              <w:jc w:val="left"/>
            </w:pPr>
            <w:r>
              <w:rPr>
                <w:sz w:val="17"/>
              </w:rPr>
            </w:r>
            <w:r>
              <w:rPr>
                <w:sz w:val="17"/>
              </w:rPr>
              <w:t>FastAPI</w:t>
            </w:r>
          </w:p>
        </w:tc>
        <w:tc>
          <w:tcPr>
            <w:tcW w:type="dxa" w:w="2304"/>
          </w:tcPr>
          <w:p>
            <w:pPr>
              <w:spacing w:after="40" w:line="240" w:lineRule="auto"/>
              <w:jc w:val="left"/>
            </w:pPr>
            <w:r>
              <w:rPr>
                <w:sz w:val="17"/>
              </w:rPr>
            </w:r>
            <w:r>
              <w:rPr>
                <w:sz w:val="17"/>
              </w:rPr>
              <w:t>0.115.6</w:t>
            </w:r>
          </w:p>
        </w:tc>
      </w:tr>
      <w:tr>
        <w:tc>
          <w:tcPr>
            <w:tcW w:type="dxa" w:w="2304"/>
          </w:tcPr>
          <w:p>
            <w:pPr>
              <w:spacing w:after="40" w:line="240" w:lineRule="auto"/>
              <w:jc w:val="left"/>
            </w:pPr>
            <w:r>
              <w:rPr>
                <w:sz w:val="17"/>
              </w:rPr>
            </w:r>
            <w:r>
              <w:rPr>
                <w:sz w:val="17"/>
              </w:rPr>
              <w:t>ASGI server</w:t>
            </w:r>
          </w:p>
        </w:tc>
        <w:tc>
          <w:tcPr>
            <w:tcW w:type="dxa" w:w="4464"/>
          </w:tcPr>
          <w:p>
            <w:pPr>
              <w:spacing w:after="40" w:line="240" w:lineRule="auto"/>
              <w:jc w:val="left"/>
            </w:pPr>
            <w:r>
              <w:rPr>
                <w:sz w:val="17"/>
              </w:rPr>
            </w:r>
            <w:r>
              <w:rPr>
                <w:sz w:val="17"/>
              </w:rPr>
              <w:t>uvicorn[standard]</w:t>
            </w:r>
          </w:p>
        </w:tc>
        <w:tc>
          <w:tcPr>
            <w:tcW w:type="dxa" w:w="2304"/>
          </w:tcPr>
          <w:p>
            <w:pPr>
              <w:spacing w:after="40" w:line="240" w:lineRule="auto"/>
              <w:jc w:val="left"/>
            </w:pPr>
            <w:r>
              <w:rPr>
                <w:sz w:val="17"/>
              </w:rPr>
            </w:r>
            <w:r>
              <w:rPr>
                <w:sz w:val="17"/>
              </w:rPr>
              <w:t>0.34.0</w:t>
            </w:r>
          </w:p>
        </w:tc>
      </w:tr>
      <w:tr>
        <w:tc>
          <w:tcPr>
            <w:tcW w:type="dxa" w:w="2304"/>
          </w:tcPr>
          <w:p>
            <w:pPr>
              <w:spacing w:after="40" w:line="240" w:lineRule="auto"/>
              <w:jc w:val="left"/>
            </w:pPr>
            <w:r>
              <w:rPr>
                <w:sz w:val="17"/>
              </w:rPr>
            </w:r>
            <w:r>
              <w:rPr>
                <w:sz w:val="17"/>
              </w:rPr>
              <w:t>Real-time</w:t>
            </w:r>
          </w:p>
        </w:tc>
        <w:tc>
          <w:tcPr>
            <w:tcW w:type="dxa" w:w="4464"/>
          </w:tcPr>
          <w:p>
            <w:pPr>
              <w:spacing w:after="40" w:line="240" w:lineRule="auto"/>
              <w:jc w:val="left"/>
            </w:pPr>
            <w:r>
              <w:rPr>
                <w:sz w:val="17"/>
              </w:rPr>
            </w:r>
            <w:r>
              <w:rPr>
                <w:sz w:val="17"/>
              </w:rPr>
              <w:t>python-socketio</w:t>
            </w:r>
          </w:p>
        </w:tc>
        <w:tc>
          <w:tcPr>
            <w:tcW w:type="dxa" w:w="2304"/>
          </w:tcPr>
          <w:p>
            <w:pPr>
              <w:spacing w:after="40" w:line="240" w:lineRule="auto"/>
              <w:jc w:val="left"/>
            </w:pPr>
            <w:r>
              <w:rPr>
                <w:sz w:val="17"/>
              </w:rPr>
            </w:r>
            <w:r>
              <w:rPr>
                <w:sz w:val="17"/>
              </w:rPr>
              <w:t>5.12.1</w:t>
            </w:r>
          </w:p>
        </w:tc>
      </w:tr>
      <w:tr>
        <w:tc>
          <w:tcPr>
            <w:tcW w:type="dxa" w:w="2304"/>
          </w:tcPr>
          <w:p>
            <w:pPr>
              <w:spacing w:after="40" w:line="240" w:lineRule="auto"/>
              <w:jc w:val="left"/>
            </w:pPr>
            <w:r>
              <w:rPr>
                <w:sz w:val="17"/>
              </w:rPr>
            </w:r>
            <w:r>
              <w:rPr>
                <w:sz w:val="17"/>
              </w:rPr>
              <w:t>Templating</w:t>
            </w:r>
          </w:p>
        </w:tc>
        <w:tc>
          <w:tcPr>
            <w:tcW w:type="dxa" w:w="4464"/>
          </w:tcPr>
          <w:p>
            <w:pPr>
              <w:spacing w:after="40" w:line="240" w:lineRule="auto"/>
              <w:jc w:val="left"/>
            </w:pPr>
            <w:r>
              <w:rPr>
                <w:sz w:val="17"/>
              </w:rPr>
            </w:r>
            <w:r>
              <w:rPr>
                <w:sz w:val="17"/>
              </w:rPr>
              <w:t>Jinja2</w:t>
            </w:r>
          </w:p>
        </w:tc>
        <w:tc>
          <w:tcPr>
            <w:tcW w:type="dxa" w:w="2304"/>
          </w:tcPr>
          <w:p>
            <w:pPr>
              <w:spacing w:after="40" w:line="240" w:lineRule="auto"/>
              <w:jc w:val="left"/>
            </w:pPr>
            <w:r>
              <w:rPr>
                <w:sz w:val="17"/>
              </w:rPr>
            </w:r>
            <w:r>
              <w:rPr>
                <w:sz w:val="17"/>
              </w:rPr>
              <w:t>3.1.5</w:t>
            </w:r>
          </w:p>
        </w:tc>
      </w:tr>
      <w:tr>
        <w:tc>
          <w:tcPr>
            <w:tcW w:type="dxa" w:w="2304"/>
          </w:tcPr>
          <w:p>
            <w:pPr>
              <w:spacing w:after="40" w:line="240" w:lineRule="auto"/>
              <w:jc w:val="left"/>
            </w:pPr>
            <w:r>
              <w:rPr>
                <w:sz w:val="17"/>
              </w:rPr>
            </w:r>
            <w:r>
              <w:rPr>
                <w:sz w:val="17"/>
              </w:rPr>
              <w:t>ORM / migrations</w:t>
            </w:r>
          </w:p>
        </w:tc>
        <w:tc>
          <w:tcPr>
            <w:tcW w:type="dxa" w:w="4464"/>
          </w:tcPr>
          <w:p>
            <w:pPr>
              <w:spacing w:after="40" w:line="240" w:lineRule="auto"/>
              <w:jc w:val="left"/>
            </w:pPr>
            <w:r>
              <w:rPr>
                <w:sz w:val="17"/>
              </w:rPr>
            </w:r>
            <w:r>
              <w:rPr>
                <w:sz w:val="17"/>
              </w:rPr>
              <w:t>SQLAlchemy / Alembic</w:t>
            </w:r>
          </w:p>
        </w:tc>
        <w:tc>
          <w:tcPr>
            <w:tcW w:type="dxa" w:w="2304"/>
          </w:tcPr>
          <w:p>
            <w:pPr>
              <w:spacing w:after="40" w:line="240" w:lineRule="auto"/>
              <w:jc w:val="left"/>
            </w:pPr>
            <w:r>
              <w:rPr>
                <w:sz w:val="17"/>
              </w:rPr>
            </w:r>
            <w:r>
              <w:rPr>
                <w:sz w:val="17"/>
              </w:rPr>
              <w:t>2.0.50 / 1.14.0</w:t>
            </w:r>
          </w:p>
        </w:tc>
      </w:tr>
      <w:tr>
        <w:tc>
          <w:tcPr>
            <w:tcW w:type="dxa" w:w="2304"/>
          </w:tcPr>
          <w:p>
            <w:pPr>
              <w:spacing w:after="40" w:line="240" w:lineRule="auto"/>
              <w:jc w:val="left"/>
            </w:pPr>
            <w:r>
              <w:rPr>
                <w:sz w:val="17"/>
              </w:rPr>
            </w:r>
            <w:r>
              <w:rPr>
                <w:sz w:val="17"/>
              </w:rPr>
              <w:t>Database driver</w:t>
            </w:r>
          </w:p>
        </w:tc>
        <w:tc>
          <w:tcPr>
            <w:tcW w:type="dxa" w:w="4464"/>
          </w:tcPr>
          <w:p>
            <w:pPr>
              <w:spacing w:after="40" w:line="240" w:lineRule="auto"/>
              <w:jc w:val="left"/>
            </w:pPr>
            <w:r>
              <w:rPr>
                <w:sz w:val="17"/>
              </w:rPr>
            </w:r>
            <w:r>
              <w:rPr>
                <w:sz w:val="17"/>
              </w:rPr>
              <w:t>psycopg (PostgreSQL) + pgvector</w:t>
            </w:r>
          </w:p>
        </w:tc>
        <w:tc>
          <w:tcPr>
            <w:tcW w:type="dxa" w:w="2304"/>
          </w:tcPr>
          <w:p>
            <w:pPr>
              <w:spacing w:after="40" w:line="240" w:lineRule="auto"/>
              <w:jc w:val="left"/>
            </w:pPr>
            <w:r>
              <w:rPr>
                <w:sz w:val="17"/>
              </w:rPr>
            </w:r>
            <w:r>
              <w:rPr>
                <w:sz w:val="17"/>
              </w:rPr>
              <w:t>3.2.3 / 0.3.6</w:t>
            </w:r>
          </w:p>
        </w:tc>
      </w:tr>
      <w:tr>
        <w:tc>
          <w:tcPr>
            <w:tcW w:type="dxa" w:w="2304"/>
          </w:tcPr>
          <w:p>
            <w:pPr>
              <w:spacing w:after="40" w:line="240" w:lineRule="auto"/>
              <w:jc w:val="left"/>
            </w:pPr>
            <w:r>
              <w:rPr>
                <w:sz w:val="17"/>
              </w:rPr>
            </w:r>
            <w:r>
              <w:rPr>
                <w:sz w:val="17"/>
              </w:rPr>
              <w:t>ASL recognition</w:t>
            </w:r>
          </w:p>
        </w:tc>
        <w:tc>
          <w:tcPr>
            <w:tcW w:type="dxa" w:w="4464"/>
          </w:tcPr>
          <w:p>
            <w:pPr>
              <w:spacing w:after="40" w:line="240" w:lineRule="auto"/>
              <w:jc w:val="left"/>
            </w:pPr>
            <w:r>
              <w:rPr>
                <w:sz w:val="17"/>
              </w:rPr>
            </w:r>
            <w:r>
              <w:rPr>
                <w:sz w:val="17"/>
              </w:rPr>
              <w:t>ai-edge-litert (LiteRT/TFLite)</w:t>
            </w:r>
          </w:p>
        </w:tc>
        <w:tc>
          <w:tcPr>
            <w:tcW w:type="dxa" w:w="2304"/>
          </w:tcPr>
          <w:p>
            <w:pPr>
              <w:spacing w:after="40" w:line="240" w:lineRule="auto"/>
              <w:jc w:val="left"/>
            </w:pPr>
            <w:r>
              <w:rPr>
                <w:sz w:val="17"/>
              </w:rPr>
            </w:r>
            <w:r>
              <w:rPr>
                <w:sz w:val="17"/>
              </w:rPr>
              <w:t>1.2.0</w:t>
            </w:r>
          </w:p>
        </w:tc>
      </w:tr>
      <w:tr>
        <w:tc>
          <w:tcPr>
            <w:tcW w:type="dxa" w:w="2304"/>
          </w:tcPr>
          <w:p>
            <w:pPr>
              <w:spacing w:after="40" w:line="240" w:lineRule="auto"/>
              <w:jc w:val="left"/>
            </w:pPr>
            <w:r>
              <w:rPr>
                <w:sz w:val="17"/>
              </w:rPr>
            </w:r>
            <w:r>
              <w:rPr>
                <w:sz w:val="17"/>
              </w:rPr>
              <w:t>ArSL recognition</w:t>
            </w:r>
          </w:p>
        </w:tc>
        <w:tc>
          <w:tcPr>
            <w:tcW w:type="dxa" w:w="4464"/>
          </w:tcPr>
          <w:p>
            <w:pPr>
              <w:spacing w:after="40" w:line="240" w:lineRule="auto"/>
              <w:jc w:val="left"/>
            </w:pPr>
            <w:r>
              <w:rPr>
                <w:sz w:val="17"/>
              </w:rPr>
            </w:r>
            <w:r>
              <w:rPr>
                <w:sz w:val="17"/>
              </w:rPr>
              <w:t>PyTorch (via sentence-transformers)</w:t>
            </w:r>
          </w:p>
        </w:tc>
        <w:tc>
          <w:tcPr>
            <w:tcW w:type="dxa" w:w="2304"/>
          </w:tcPr>
          <w:p>
            <w:pPr>
              <w:spacing w:after="40" w:line="240" w:lineRule="auto"/>
              <w:jc w:val="left"/>
            </w:pPr>
            <w:r>
              <w:rPr>
                <w:sz w:val="17"/>
              </w:rPr>
            </w:r>
            <w:r>
              <w:rPr>
                <w:sz w:val="17"/>
              </w:rPr>
              <w:t>torch (bundled)</w:t>
            </w:r>
          </w:p>
        </w:tc>
      </w:tr>
      <w:tr>
        <w:tc>
          <w:tcPr>
            <w:tcW w:type="dxa" w:w="2304"/>
          </w:tcPr>
          <w:p>
            <w:pPr>
              <w:spacing w:after="40" w:line="240" w:lineRule="auto"/>
              <w:jc w:val="left"/>
            </w:pPr>
            <w:r>
              <w:rPr>
                <w:sz w:val="17"/>
              </w:rPr>
            </w:r>
            <w:r>
              <w:rPr>
                <w:sz w:val="17"/>
              </w:rPr>
              <w:t>Landmark tracking</w:t>
            </w:r>
          </w:p>
        </w:tc>
        <w:tc>
          <w:tcPr>
            <w:tcW w:type="dxa" w:w="4464"/>
          </w:tcPr>
          <w:p>
            <w:pPr>
              <w:spacing w:after="40" w:line="240" w:lineRule="auto"/>
              <w:jc w:val="left"/>
            </w:pPr>
            <w:r>
              <w:rPr>
                <w:sz w:val="17"/>
              </w:rPr>
            </w:r>
            <w:r>
              <w:rPr>
                <w:sz w:val="17"/>
              </w:rPr>
              <w:t>MediaPipe (server) / Holistic (browser CDN)</w:t>
            </w:r>
          </w:p>
        </w:tc>
        <w:tc>
          <w:tcPr>
            <w:tcW w:type="dxa" w:w="2304"/>
          </w:tcPr>
          <w:p>
            <w:pPr>
              <w:spacing w:after="40" w:line="240" w:lineRule="auto"/>
              <w:jc w:val="left"/>
            </w:pPr>
            <w:r>
              <w:rPr>
                <w:sz w:val="17"/>
              </w:rPr>
            </w:r>
            <w:r>
              <w:rPr>
                <w:sz w:val="17"/>
              </w:rPr>
              <w:t>0.10.18 / 0.5.1675471629</w:t>
            </w:r>
          </w:p>
        </w:tc>
      </w:tr>
      <w:tr>
        <w:tc>
          <w:tcPr>
            <w:tcW w:type="dxa" w:w="2304"/>
          </w:tcPr>
          <w:p>
            <w:pPr>
              <w:spacing w:after="40" w:line="240" w:lineRule="auto"/>
              <w:jc w:val="left"/>
            </w:pPr>
            <w:r>
              <w:rPr>
                <w:sz w:val="17"/>
              </w:rPr>
            </w:r>
            <w:r>
              <w:rPr>
                <w:sz w:val="17"/>
              </w:rPr>
              <w:t>Computer vision</w:t>
            </w:r>
          </w:p>
        </w:tc>
        <w:tc>
          <w:tcPr>
            <w:tcW w:type="dxa" w:w="4464"/>
          </w:tcPr>
          <w:p>
            <w:pPr>
              <w:spacing w:after="40" w:line="240" w:lineRule="auto"/>
              <w:jc w:val="left"/>
            </w:pPr>
            <w:r>
              <w:rPr>
                <w:sz w:val="17"/>
              </w:rPr>
            </w:r>
            <w:r>
              <w:rPr>
                <w:sz w:val="17"/>
              </w:rPr>
              <w:t>OpenCV-Python</w:t>
            </w:r>
          </w:p>
        </w:tc>
        <w:tc>
          <w:tcPr>
            <w:tcW w:type="dxa" w:w="2304"/>
          </w:tcPr>
          <w:p>
            <w:pPr>
              <w:spacing w:after="40" w:line="240" w:lineRule="auto"/>
              <w:jc w:val="left"/>
            </w:pPr>
            <w:r>
              <w:rPr>
                <w:sz w:val="17"/>
              </w:rPr>
            </w:r>
            <w:r>
              <w:rPr>
                <w:sz w:val="17"/>
              </w:rPr>
              <w:t>4.10.0.84</w:t>
            </w:r>
          </w:p>
        </w:tc>
      </w:tr>
      <w:tr>
        <w:tc>
          <w:tcPr>
            <w:tcW w:type="dxa" w:w="2304"/>
          </w:tcPr>
          <w:p>
            <w:pPr>
              <w:spacing w:after="40" w:line="240" w:lineRule="auto"/>
              <w:jc w:val="left"/>
            </w:pPr>
            <w:r>
              <w:rPr>
                <w:sz w:val="17"/>
              </w:rPr>
            </w:r>
            <w:r>
              <w:rPr>
                <w:sz w:val="17"/>
              </w:rPr>
              <w:t>Semantic search</w:t>
            </w:r>
          </w:p>
        </w:tc>
        <w:tc>
          <w:tcPr>
            <w:tcW w:type="dxa" w:w="4464"/>
          </w:tcPr>
          <w:p>
            <w:pPr>
              <w:spacing w:after="40" w:line="240" w:lineRule="auto"/>
              <w:jc w:val="left"/>
            </w:pPr>
            <w:r>
              <w:rPr>
                <w:sz w:val="17"/>
              </w:rPr>
            </w:r>
            <w:r>
              <w:rPr>
                <w:sz w:val="17"/>
              </w:rPr>
              <w:t>sentence-transformers (all-MiniLM-L6-v2)</w:t>
            </w:r>
          </w:p>
        </w:tc>
        <w:tc>
          <w:tcPr>
            <w:tcW w:type="dxa" w:w="2304"/>
          </w:tcPr>
          <w:p>
            <w:pPr>
              <w:spacing w:after="40" w:line="240" w:lineRule="auto"/>
              <w:jc w:val="left"/>
            </w:pPr>
            <w:r>
              <w:rPr>
                <w:sz w:val="17"/>
              </w:rPr>
            </w:r>
            <w:r>
              <w:rPr>
                <w:sz w:val="17"/>
              </w:rPr>
              <w:t>3.3.1</w:t>
            </w:r>
          </w:p>
        </w:tc>
      </w:tr>
      <w:tr>
        <w:tc>
          <w:tcPr>
            <w:tcW w:type="dxa" w:w="2304"/>
          </w:tcPr>
          <w:p>
            <w:pPr>
              <w:spacing w:after="40" w:line="240" w:lineRule="auto"/>
              <w:jc w:val="left"/>
            </w:pPr>
            <w:r>
              <w:rPr>
                <w:sz w:val="17"/>
              </w:rPr>
            </w:r>
            <w:r>
              <w:rPr>
                <w:sz w:val="17"/>
              </w:rPr>
              <w:t>Signal processing</w:t>
            </w:r>
          </w:p>
        </w:tc>
        <w:tc>
          <w:tcPr>
            <w:tcW w:type="dxa" w:w="4464"/>
          </w:tcPr>
          <w:p>
            <w:pPr>
              <w:spacing w:after="40" w:line="240" w:lineRule="auto"/>
              <w:jc w:val="left"/>
            </w:pPr>
            <w:r>
              <w:rPr>
                <w:sz w:val="17"/>
              </w:rPr>
            </w:r>
            <w:r>
              <w:rPr>
                <w:sz w:val="17"/>
              </w:rPr>
              <w:t>SciPy (Savitzky–Golay)</w:t>
            </w:r>
          </w:p>
        </w:tc>
        <w:tc>
          <w:tcPr>
            <w:tcW w:type="dxa" w:w="2304"/>
          </w:tcPr>
          <w:p>
            <w:pPr>
              <w:spacing w:after="40" w:line="240" w:lineRule="auto"/>
              <w:jc w:val="left"/>
            </w:pPr>
            <w:r>
              <w:rPr>
                <w:sz w:val="17"/>
              </w:rPr>
            </w:r>
            <w:r>
              <w:rPr>
                <w:sz w:val="17"/>
              </w:rPr>
              <w:t>1.14.1</w:t>
            </w:r>
          </w:p>
        </w:tc>
      </w:tr>
      <w:tr>
        <w:tc>
          <w:tcPr>
            <w:tcW w:type="dxa" w:w="2304"/>
          </w:tcPr>
          <w:p>
            <w:pPr>
              <w:spacing w:after="40" w:line="240" w:lineRule="auto"/>
              <w:jc w:val="left"/>
            </w:pPr>
            <w:r>
              <w:rPr>
                <w:sz w:val="17"/>
              </w:rPr>
            </w:r>
            <w:r>
              <w:rPr>
                <w:sz w:val="17"/>
              </w:rPr>
              <w:t>Auth</w:t>
            </w:r>
          </w:p>
        </w:tc>
        <w:tc>
          <w:tcPr>
            <w:tcW w:type="dxa" w:w="4464"/>
          </w:tcPr>
          <w:p>
            <w:pPr>
              <w:spacing w:after="40" w:line="240" w:lineRule="auto"/>
              <w:jc w:val="left"/>
            </w:pPr>
            <w:r>
              <w:rPr>
                <w:sz w:val="17"/>
              </w:rPr>
            </w:r>
            <w:r>
              <w:rPr>
                <w:sz w:val="17"/>
              </w:rPr>
              <w:t>argon2-cffi / bcrypt / python-jose</w:t>
            </w:r>
          </w:p>
        </w:tc>
        <w:tc>
          <w:tcPr>
            <w:tcW w:type="dxa" w:w="2304"/>
          </w:tcPr>
          <w:p>
            <w:pPr>
              <w:spacing w:after="40" w:line="240" w:lineRule="auto"/>
              <w:jc w:val="left"/>
            </w:pPr>
            <w:r>
              <w:rPr>
                <w:sz w:val="17"/>
              </w:rPr>
            </w:r>
            <w:r>
              <w:rPr>
                <w:sz w:val="17"/>
              </w:rPr>
              <w:t>23.1.0 / 4.2.1 / 3.3.0</w:t>
            </w:r>
          </w:p>
        </w:tc>
      </w:tr>
      <w:tr>
        <w:tc>
          <w:tcPr>
            <w:tcW w:type="dxa" w:w="2304"/>
          </w:tcPr>
          <w:p>
            <w:pPr>
              <w:spacing w:after="40" w:line="240" w:lineRule="auto"/>
              <w:jc w:val="left"/>
            </w:pPr>
            <w:r>
              <w:rPr>
                <w:sz w:val="17"/>
              </w:rPr>
            </w:r>
            <w:r>
              <w:rPr>
                <w:sz w:val="17"/>
              </w:rPr>
              <w:t>Cloud LLM/TTS/STT</w:t>
            </w:r>
          </w:p>
        </w:tc>
        <w:tc>
          <w:tcPr>
            <w:tcW w:type="dxa" w:w="4464"/>
          </w:tcPr>
          <w:p>
            <w:pPr>
              <w:spacing w:after="40" w:line="240" w:lineRule="auto"/>
              <w:jc w:val="left"/>
            </w:pPr>
            <w:r>
              <w:rPr>
                <w:sz w:val="17"/>
              </w:rPr>
            </w:r>
            <w:r>
              <w:rPr>
                <w:sz w:val="17"/>
              </w:rPr>
              <w:t>Google Gemini (gemini-2.5-flash)</w:t>
            </w:r>
          </w:p>
        </w:tc>
        <w:tc>
          <w:tcPr>
            <w:tcW w:type="dxa" w:w="2304"/>
          </w:tcPr>
          <w:p>
            <w:pPr>
              <w:spacing w:after="40" w:line="240" w:lineRule="auto"/>
              <w:jc w:val="left"/>
            </w:pPr>
            <w:r>
              <w:rPr>
                <w:sz w:val="17"/>
              </w:rPr>
            </w:r>
            <w:r>
              <w:rPr>
                <w:sz w:val="17"/>
              </w:rPr>
              <w:t>API</w:t>
            </w:r>
          </w:p>
        </w:tc>
      </w:tr>
      <w:tr>
        <w:tc>
          <w:tcPr>
            <w:tcW w:type="dxa" w:w="2304"/>
          </w:tcPr>
          <w:p>
            <w:pPr>
              <w:spacing w:after="40" w:line="240" w:lineRule="auto"/>
              <w:jc w:val="left"/>
            </w:pPr>
            <w:r>
              <w:rPr>
                <w:sz w:val="17"/>
              </w:rPr>
            </w:r>
            <w:r>
              <w:rPr>
                <w:sz w:val="17"/>
              </w:rPr>
              <w:t>Offline fallbacks</w:t>
            </w:r>
          </w:p>
        </w:tc>
        <w:tc>
          <w:tcPr>
            <w:tcW w:type="dxa" w:w="4464"/>
          </w:tcPr>
          <w:p>
            <w:pPr>
              <w:spacing w:after="40" w:line="240" w:lineRule="auto"/>
              <w:jc w:val="left"/>
            </w:pPr>
            <w:r>
              <w:rPr>
                <w:sz w:val="17"/>
              </w:rPr>
            </w:r>
            <w:r>
              <w:rPr>
                <w:sz w:val="17"/>
              </w:rPr>
              <w:t>Ollama (llama3.2) / pyttsx3 / faster-whisper</w:t>
            </w:r>
          </w:p>
        </w:tc>
        <w:tc>
          <w:tcPr>
            <w:tcW w:type="dxa" w:w="2304"/>
          </w:tcPr>
          <w:p>
            <w:pPr>
              <w:spacing w:after="40" w:line="240" w:lineRule="auto"/>
              <w:jc w:val="left"/>
            </w:pPr>
            <w:r>
              <w:rPr>
                <w:sz w:val="17"/>
              </w:rPr>
            </w:r>
            <w:r>
              <w:rPr>
                <w:sz w:val="17"/>
              </w:rPr>
              <w:t>— / 2.98 / 1.1.0</w:t>
            </w:r>
          </w:p>
        </w:tc>
      </w:tr>
      <w:tr>
        <w:tc>
          <w:tcPr>
            <w:tcW w:type="dxa" w:w="2304"/>
          </w:tcPr>
          <w:p>
            <w:pPr>
              <w:spacing w:after="40" w:line="240" w:lineRule="auto"/>
              <w:jc w:val="left"/>
            </w:pPr>
            <w:r>
              <w:rPr>
                <w:sz w:val="17"/>
              </w:rPr>
            </w:r>
            <w:r>
              <w:rPr>
                <w:sz w:val="17"/>
              </w:rPr>
              <w:t>Testing / CI</w:t>
            </w:r>
          </w:p>
        </w:tc>
        <w:tc>
          <w:tcPr>
            <w:tcW w:type="dxa" w:w="4464"/>
          </w:tcPr>
          <w:p>
            <w:pPr>
              <w:spacing w:after="40" w:line="240" w:lineRule="auto"/>
              <w:jc w:val="left"/>
            </w:pPr>
            <w:r>
              <w:rPr>
                <w:sz w:val="17"/>
              </w:rPr>
            </w:r>
            <w:r>
              <w:rPr>
                <w:sz w:val="17"/>
              </w:rPr>
              <w:t>pytest / httpx / GitHub Actions</w:t>
            </w:r>
          </w:p>
        </w:tc>
        <w:tc>
          <w:tcPr>
            <w:tcW w:type="dxa" w:w="2304"/>
          </w:tcPr>
          <w:p>
            <w:pPr>
              <w:spacing w:after="40" w:line="240" w:lineRule="auto"/>
              <w:jc w:val="left"/>
            </w:pPr>
            <w:r>
              <w:rPr>
                <w:sz w:val="17"/>
              </w:rPr>
            </w:r>
            <w:r>
              <w:rPr>
                <w:sz w:val="17"/>
              </w:rPr>
              <w:t>8.3.4 / 0.28.1</w:t>
            </w:r>
          </w:p>
        </w:tc>
      </w:tr>
      <w:tr>
        <w:tc>
          <w:tcPr>
            <w:tcW w:type="dxa" w:w="2304"/>
          </w:tcPr>
          <w:p>
            <w:pPr>
              <w:spacing w:after="40" w:line="240" w:lineRule="auto"/>
              <w:jc w:val="left"/>
            </w:pPr>
            <w:r>
              <w:rPr>
                <w:sz w:val="17"/>
              </w:rPr>
            </w:r>
            <w:r>
              <w:rPr>
                <w:sz w:val="17"/>
              </w:rPr>
              <w:t>Runtime</w:t>
            </w:r>
          </w:p>
        </w:tc>
        <w:tc>
          <w:tcPr>
            <w:tcW w:type="dxa" w:w="4464"/>
          </w:tcPr>
          <w:p>
            <w:pPr>
              <w:spacing w:after="40" w:line="240" w:lineRule="auto"/>
              <w:jc w:val="left"/>
            </w:pPr>
            <w:r>
              <w:rPr>
                <w:sz w:val="17"/>
              </w:rPr>
            </w:r>
            <w:r>
              <w:rPr>
                <w:sz w:val="17"/>
              </w:rPr>
              <w:t>Python / PostgreSQL</w:t>
            </w:r>
          </w:p>
        </w:tc>
        <w:tc>
          <w:tcPr>
            <w:tcW w:type="dxa" w:w="2304"/>
          </w:tcPr>
          <w:p>
            <w:pPr>
              <w:spacing w:after="40" w:line="240" w:lineRule="auto"/>
              <w:jc w:val="left"/>
            </w:pPr>
            <w:r>
              <w:rPr>
                <w:sz w:val="17"/>
              </w:rPr>
            </w:r>
            <w:r>
              <w:rPr>
                <w:sz w:val="17"/>
              </w:rPr>
              <w:t>3.11+ / 16</w:t>
            </w:r>
          </w:p>
        </w:tc>
      </w:tr>
    </w:tbl>
    <w:p>
      <w:pPr>
        <w:spacing w:after="40"/>
      </w:pPr>
    </w:p>
    <w:p>
      <w:pPr>
        <w:pStyle w:val="Heading3"/>
      </w:pPr>
      <w:r>
        <w:t>3.2.5 Use Cases</w:t>
      </w:r>
    </w:p>
    <w:p>
      <w:pPr>
        <w:jc w:val="both"/>
      </w:pPr>
      <w:r>
        <w:t>Figure 8 shows the use-case diagram with the two human actors — a Deaf/HoH user and a hearing user — and the system/provider actor that fulfils language tasks. Table 7 describes the principal use cases.</w:t>
      </w:r>
    </w:p>
    <w:p>
      <w:pPr>
        <w:jc w:val="center"/>
      </w:pPr>
      <w:r>
        <w:drawing>
          <wp:inline xmlns:a="http://schemas.openxmlformats.org/drawingml/2006/main" xmlns:pic="http://schemas.openxmlformats.org/drawingml/2006/picture">
            <wp:extent cx="5120640" cy="5655414"/>
            <wp:docPr id="2" name="Picture 2"/>
            <wp:cNvGraphicFramePr>
              <a:graphicFrameLocks noChangeAspect="1"/>
            </wp:cNvGraphicFramePr>
            <a:graphic>
              <a:graphicData uri="http://schemas.openxmlformats.org/drawingml/2006/picture">
                <pic:pic>
                  <pic:nvPicPr>
                    <pic:cNvPr id="0" name="F8_usecase.png"/>
                    <pic:cNvPicPr/>
                  </pic:nvPicPr>
                  <pic:blipFill>
                    <a:blip r:embed="rId12"/>
                    <a:stretch>
                      <a:fillRect/>
                    </a:stretch>
                  </pic:blipFill>
                  <pic:spPr>
                    <a:xfrm>
                      <a:off x="0" y="0"/>
                      <a:ext cx="5120640" cy="5655414"/>
                    </a:xfrm>
                    <a:prstGeom prst="rect"/>
                  </pic:spPr>
                </pic:pic>
              </a:graphicData>
            </a:graphic>
          </wp:inline>
        </w:drawing>
      </w:r>
    </w:p>
    <w:p>
      <w:pPr>
        <w:spacing w:before="40" w:after="200"/>
        <w:jc w:val="center"/>
      </w:pPr>
      <w:r>
        <w:rPr>
          <w:b/>
          <w:color w:val="444444"/>
          <w:sz w:val="20"/>
        </w:rPr>
        <w:t xml:space="preserve">Figure </w:t>
      </w:r>
      <w:fldSimple w:instr=" SEQ Figure \* ARABIC ">
        <w:r>
          <w:t>1</w:t>
        </w:r>
      </w:fldSimple>
      <w:r>
        <w:rPr>
          <w:color w:val="444444"/>
          <w:sz w:val="20"/>
        </w:rPr>
        <w:t>: Use-case diagram of the Together platform.</w:t>
      </w:r>
    </w:p>
    <w:p>
      <w:pPr>
        <w:spacing w:before="160" w:after="40"/>
      </w:pPr>
      <w:r>
        <w:rPr>
          <w:b/>
          <w:color w:val="444444"/>
          <w:sz w:val="20"/>
        </w:rPr>
        <w:t xml:space="preserve">Table </w:t>
      </w:r>
      <w:fldSimple w:instr=" SEQ Table \* ARABIC ">
        <w:r>
          <w:t>7</w:t>
        </w:r>
      </w:fldSimple>
      <w:r>
        <w:rPr>
          <w:b/>
          <w:color w:val="444444"/>
          <w:sz w:val="20"/>
        </w:rPr>
        <w:t>: Principal use-case descriptions.</w:t>
      </w:r>
    </w:p>
    <w:tbl>
      <w:tblPr>
        <w:tblStyle w:val="TableGrid"/>
        <w:tblW w:type="auto" w:w="0"/>
        <w:jc w:val="center"/>
        <w:tblLook w:firstColumn="1" w:firstRow="1" w:lastColumn="0" w:lastRow="0" w:noHBand="0" w:noVBand="1" w:val="04A0"/>
        <w:tblBorders>
          <w:top w:val="single" w:sz="6" w:space="0" w:color="9BB3CC"/>
          <w:left w:val="single" w:sz="6" w:space="0" w:color="9BB3CC"/>
          <w:bottom w:val="single" w:sz="6" w:space="0" w:color="9BB3CC"/>
          <w:right w:val="single" w:sz="6" w:space="0" w:color="9BB3CC"/>
          <w:insideH w:val="single" w:sz="6" w:space="0" w:color="9BB3CC"/>
          <w:insideV w:val="single" w:sz="6" w:space="0" w:color="9BB3CC"/>
        </w:tblBorders>
      </w:tblPr>
      <w:tblGrid>
        <w:gridCol w:w="3120"/>
        <w:gridCol w:w="3120"/>
        <w:gridCol w:w="3120"/>
      </w:tblGrid>
      <w:tr>
        <w:tc>
          <w:tcPr>
            <w:tcW w:type="dxa" w:w="1872"/>
            <w:shd w:val="clear" w:color="auto" w:fill="2F6DB5"/>
          </w:tcPr>
          <w:p>
            <w:pPr>
              <w:jc w:val="left"/>
            </w:pPr>
            <w:r/>
            <w:r>
              <w:rPr>
                <w:b/>
                <w:color w:val="FFFFFF"/>
                <w:sz w:val="18"/>
              </w:rPr>
              <w:t>Use case</w:t>
            </w:r>
          </w:p>
        </w:tc>
        <w:tc>
          <w:tcPr>
            <w:tcW w:type="dxa" w:w="1872"/>
            <w:shd w:val="clear" w:color="auto" w:fill="2F6DB5"/>
          </w:tcPr>
          <w:p>
            <w:pPr>
              <w:jc w:val="left"/>
            </w:pPr>
            <w:r/>
            <w:r>
              <w:rPr>
                <w:b/>
                <w:color w:val="FFFFFF"/>
                <w:sz w:val="18"/>
              </w:rPr>
              <w:t>Actor</w:t>
            </w:r>
          </w:p>
        </w:tc>
        <w:tc>
          <w:tcPr>
            <w:tcW w:type="dxa" w:w="5760"/>
            <w:shd w:val="clear" w:color="auto" w:fill="2F6DB5"/>
          </w:tcPr>
          <w:p>
            <w:pPr>
              <w:jc w:val="left"/>
            </w:pPr>
            <w:r/>
            <w:r>
              <w:rPr>
                <w:b/>
                <w:color w:val="FFFFFF"/>
                <w:sz w:val="18"/>
              </w:rPr>
              <w:t>Description</w:t>
            </w:r>
          </w:p>
        </w:tc>
      </w:tr>
      <w:tr>
        <w:tc>
          <w:tcPr>
            <w:tcW w:type="dxa" w:w="1872"/>
          </w:tcPr>
          <w:p>
            <w:pPr>
              <w:spacing w:after="40" w:line="240" w:lineRule="auto"/>
              <w:jc w:val="left"/>
            </w:pPr>
            <w:r>
              <w:rPr>
                <w:sz w:val="18"/>
              </w:rPr>
            </w:r>
            <w:r>
              <w:rPr>
                <w:sz w:val="18"/>
              </w:rPr>
              <w:t>Sign → Text</w:t>
            </w:r>
          </w:p>
        </w:tc>
        <w:tc>
          <w:tcPr>
            <w:tcW w:type="dxa" w:w="1872"/>
          </w:tcPr>
          <w:p>
            <w:pPr>
              <w:spacing w:after="40" w:line="240" w:lineRule="auto"/>
              <w:jc w:val="left"/>
            </w:pPr>
            <w:r>
              <w:rPr>
                <w:sz w:val="18"/>
              </w:rPr>
            </w:r>
            <w:r>
              <w:rPr>
                <w:sz w:val="18"/>
              </w:rPr>
              <w:t>Deaf/HoH user</w:t>
            </w:r>
          </w:p>
        </w:tc>
        <w:tc>
          <w:tcPr>
            <w:tcW w:type="dxa" w:w="5760"/>
          </w:tcPr>
          <w:p>
            <w:pPr>
              <w:spacing w:after="40" w:line="240" w:lineRule="auto"/>
              <w:jc w:val="left"/>
            </w:pPr>
            <w:r>
              <w:rPr>
                <w:sz w:val="18"/>
              </w:rPr>
            </w:r>
            <w:r>
              <w:rPr>
                <w:sz w:val="18"/>
              </w:rPr>
              <w:t>Sign to the webcam; the system recognises signs and shows a natural sentence</w:t>
            </w:r>
          </w:p>
        </w:tc>
      </w:tr>
      <w:tr>
        <w:tc>
          <w:tcPr>
            <w:tcW w:type="dxa" w:w="1872"/>
          </w:tcPr>
          <w:p>
            <w:pPr>
              <w:spacing w:after="40" w:line="240" w:lineRule="auto"/>
              <w:jc w:val="left"/>
            </w:pPr>
            <w:r>
              <w:rPr>
                <w:sz w:val="18"/>
              </w:rPr>
            </w:r>
            <w:r>
              <w:rPr>
                <w:sz w:val="18"/>
              </w:rPr>
              <w:t>Sign → Speech</w:t>
            </w:r>
          </w:p>
        </w:tc>
        <w:tc>
          <w:tcPr>
            <w:tcW w:type="dxa" w:w="1872"/>
          </w:tcPr>
          <w:p>
            <w:pPr>
              <w:spacing w:after="40" w:line="240" w:lineRule="auto"/>
              <w:jc w:val="left"/>
            </w:pPr>
            <w:r>
              <w:rPr>
                <w:sz w:val="18"/>
              </w:rPr>
            </w:r>
            <w:r>
              <w:rPr>
                <w:sz w:val="18"/>
              </w:rPr>
              <w:t>Deaf/HoH user</w:t>
            </w:r>
          </w:p>
        </w:tc>
        <w:tc>
          <w:tcPr>
            <w:tcW w:type="dxa" w:w="5760"/>
          </w:tcPr>
          <w:p>
            <w:pPr>
              <w:spacing w:after="40" w:line="240" w:lineRule="auto"/>
              <w:jc w:val="left"/>
            </w:pPr>
            <w:r>
              <w:rPr>
                <w:sz w:val="18"/>
              </w:rPr>
            </w:r>
            <w:r>
              <w:rPr>
                <w:sz w:val="18"/>
              </w:rPr>
              <w:t>As above, then the sentence is spoken aloud via TTS</w:t>
            </w:r>
          </w:p>
        </w:tc>
      </w:tr>
      <w:tr>
        <w:tc>
          <w:tcPr>
            <w:tcW w:type="dxa" w:w="1872"/>
          </w:tcPr>
          <w:p>
            <w:pPr>
              <w:spacing w:after="40" w:line="240" w:lineRule="auto"/>
              <w:jc w:val="left"/>
            </w:pPr>
            <w:r>
              <w:rPr>
                <w:sz w:val="18"/>
              </w:rPr>
            </w:r>
            <w:r>
              <w:rPr>
                <w:sz w:val="18"/>
              </w:rPr>
              <w:t>Text → Sign</w:t>
            </w:r>
          </w:p>
        </w:tc>
        <w:tc>
          <w:tcPr>
            <w:tcW w:type="dxa" w:w="1872"/>
          </w:tcPr>
          <w:p>
            <w:pPr>
              <w:spacing w:after="40" w:line="240" w:lineRule="auto"/>
              <w:jc w:val="left"/>
            </w:pPr>
            <w:r>
              <w:rPr>
                <w:sz w:val="18"/>
              </w:rPr>
            </w:r>
            <w:r>
              <w:rPr>
                <w:sz w:val="18"/>
              </w:rPr>
              <w:t>Hearing user</w:t>
            </w:r>
          </w:p>
        </w:tc>
        <w:tc>
          <w:tcPr>
            <w:tcW w:type="dxa" w:w="5760"/>
          </w:tcPr>
          <w:p>
            <w:pPr>
              <w:spacing w:after="40" w:line="240" w:lineRule="auto"/>
              <w:jc w:val="left"/>
            </w:pPr>
            <w:r>
              <w:rPr>
                <w:sz w:val="18"/>
              </w:rPr>
            </w:r>
            <w:r>
              <w:rPr>
                <w:sz w:val="18"/>
              </w:rPr>
              <w:t>Type a sentence; the avatar signs it (gloss → landmark lookup)</w:t>
            </w:r>
          </w:p>
        </w:tc>
      </w:tr>
      <w:tr>
        <w:tc>
          <w:tcPr>
            <w:tcW w:type="dxa" w:w="1872"/>
          </w:tcPr>
          <w:p>
            <w:pPr>
              <w:spacing w:after="40" w:line="240" w:lineRule="auto"/>
              <w:jc w:val="left"/>
            </w:pPr>
            <w:r>
              <w:rPr>
                <w:sz w:val="18"/>
              </w:rPr>
            </w:r>
            <w:r>
              <w:rPr>
                <w:sz w:val="18"/>
              </w:rPr>
              <w:t>Speech → Sign</w:t>
            </w:r>
          </w:p>
        </w:tc>
        <w:tc>
          <w:tcPr>
            <w:tcW w:type="dxa" w:w="1872"/>
          </w:tcPr>
          <w:p>
            <w:pPr>
              <w:spacing w:after="40" w:line="240" w:lineRule="auto"/>
              <w:jc w:val="left"/>
            </w:pPr>
            <w:r>
              <w:rPr>
                <w:sz w:val="18"/>
              </w:rPr>
            </w:r>
            <w:r>
              <w:rPr>
                <w:sz w:val="18"/>
              </w:rPr>
              <w:t>Hearing user</w:t>
            </w:r>
          </w:p>
        </w:tc>
        <w:tc>
          <w:tcPr>
            <w:tcW w:type="dxa" w:w="5760"/>
          </w:tcPr>
          <w:p>
            <w:pPr>
              <w:spacing w:after="40" w:line="240" w:lineRule="auto"/>
              <w:jc w:val="left"/>
            </w:pPr>
            <w:r>
              <w:rPr>
                <w:sz w:val="18"/>
              </w:rPr>
            </w:r>
            <w:r>
              <w:rPr>
                <w:sz w:val="18"/>
              </w:rPr>
              <w:t>Speak; STT transcribes, then the avatar signs the text</w:t>
            </w:r>
          </w:p>
        </w:tc>
      </w:tr>
      <w:tr>
        <w:tc>
          <w:tcPr>
            <w:tcW w:type="dxa" w:w="1872"/>
          </w:tcPr>
          <w:p>
            <w:pPr>
              <w:spacing w:after="40" w:line="240" w:lineRule="auto"/>
              <w:jc w:val="left"/>
            </w:pPr>
            <w:r>
              <w:rPr>
                <w:sz w:val="18"/>
              </w:rPr>
            </w:r>
            <w:r>
              <w:rPr>
                <w:sz w:val="18"/>
              </w:rPr>
              <w:t>Live meeting</w:t>
            </w:r>
          </w:p>
        </w:tc>
        <w:tc>
          <w:tcPr>
            <w:tcW w:type="dxa" w:w="1872"/>
          </w:tcPr>
          <w:p>
            <w:pPr>
              <w:spacing w:after="40" w:line="240" w:lineRule="auto"/>
              <w:jc w:val="left"/>
            </w:pPr>
            <w:r>
              <w:rPr>
                <w:sz w:val="18"/>
              </w:rPr>
            </w:r>
            <w:r>
              <w:rPr>
                <w:sz w:val="18"/>
              </w:rPr>
              <w:t>Both</w:t>
            </w:r>
          </w:p>
        </w:tc>
        <w:tc>
          <w:tcPr>
            <w:tcW w:type="dxa" w:w="5760"/>
          </w:tcPr>
          <w:p>
            <w:pPr>
              <w:spacing w:after="40" w:line="240" w:lineRule="auto"/>
              <w:jc w:val="left"/>
            </w:pPr>
            <w:r>
              <w:rPr>
                <w:sz w:val="18"/>
              </w:rPr>
            </w:r>
            <w:r>
              <w:rPr>
                <w:sz w:val="18"/>
              </w:rPr>
              <w:t>Two-party WebRTC call with live captions / sign avatar per role</w:t>
            </w:r>
          </w:p>
        </w:tc>
      </w:tr>
      <w:tr>
        <w:tc>
          <w:tcPr>
            <w:tcW w:type="dxa" w:w="1872"/>
          </w:tcPr>
          <w:p>
            <w:pPr>
              <w:spacing w:after="40" w:line="240" w:lineRule="auto"/>
              <w:jc w:val="left"/>
            </w:pPr>
            <w:r>
              <w:rPr>
                <w:sz w:val="18"/>
              </w:rPr>
            </w:r>
            <w:r>
              <w:rPr>
                <w:sz w:val="18"/>
              </w:rPr>
              <w:t>Practice / Dictionary</w:t>
            </w:r>
          </w:p>
        </w:tc>
        <w:tc>
          <w:tcPr>
            <w:tcW w:type="dxa" w:w="1872"/>
          </w:tcPr>
          <w:p>
            <w:pPr>
              <w:spacing w:after="40" w:line="240" w:lineRule="auto"/>
              <w:jc w:val="left"/>
            </w:pPr>
            <w:r>
              <w:rPr>
                <w:sz w:val="18"/>
              </w:rPr>
            </w:r>
            <w:r>
              <w:rPr>
                <w:sz w:val="18"/>
              </w:rPr>
              <w:t>Deaf/HoH user</w:t>
            </w:r>
          </w:p>
        </w:tc>
        <w:tc>
          <w:tcPr>
            <w:tcW w:type="dxa" w:w="5760"/>
          </w:tcPr>
          <w:p>
            <w:pPr>
              <w:spacing w:after="40" w:line="240" w:lineRule="auto"/>
              <w:jc w:val="left"/>
            </w:pPr>
            <w:r>
              <w:rPr>
                <w:sz w:val="18"/>
              </w:rPr>
            </w:r>
            <w:r>
              <w:rPr>
                <w:sz w:val="18"/>
              </w:rPr>
              <w:t>Browse the recognised vocabulary and practise individual signs</w:t>
            </w:r>
          </w:p>
        </w:tc>
      </w:tr>
      <w:tr>
        <w:tc>
          <w:tcPr>
            <w:tcW w:type="dxa" w:w="1872"/>
          </w:tcPr>
          <w:p>
            <w:pPr>
              <w:spacing w:after="40" w:line="240" w:lineRule="auto"/>
              <w:jc w:val="left"/>
            </w:pPr>
            <w:r>
              <w:rPr>
                <w:sz w:val="18"/>
              </w:rPr>
            </w:r>
            <w:r>
              <w:rPr>
                <w:sz w:val="18"/>
              </w:rPr>
              <w:t>Register / Login</w:t>
            </w:r>
          </w:p>
        </w:tc>
        <w:tc>
          <w:tcPr>
            <w:tcW w:type="dxa" w:w="1872"/>
          </w:tcPr>
          <w:p>
            <w:pPr>
              <w:spacing w:after="40" w:line="240" w:lineRule="auto"/>
              <w:jc w:val="left"/>
            </w:pPr>
            <w:r>
              <w:rPr>
                <w:sz w:val="18"/>
              </w:rPr>
            </w:r>
            <w:r>
              <w:rPr>
                <w:sz w:val="18"/>
              </w:rPr>
              <w:t>Both</w:t>
            </w:r>
          </w:p>
        </w:tc>
        <w:tc>
          <w:tcPr>
            <w:tcW w:type="dxa" w:w="5760"/>
          </w:tcPr>
          <w:p>
            <w:pPr>
              <w:spacing w:after="40" w:line="240" w:lineRule="auto"/>
              <w:jc w:val="left"/>
            </w:pPr>
            <w:r>
              <w:rPr>
                <w:sz w:val="18"/>
              </w:rPr>
            </w:r>
            <w:r>
              <w:rPr>
                <w:sz w:val="18"/>
              </w:rPr>
              <w:t>Create an account and authenticate to use the API</w:t>
            </w:r>
          </w:p>
        </w:tc>
      </w:tr>
      <w:tr>
        <w:tc>
          <w:tcPr>
            <w:tcW w:type="dxa" w:w="1872"/>
          </w:tcPr>
          <w:p>
            <w:pPr>
              <w:spacing w:after="40" w:line="240" w:lineRule="auto"/>
              <w:jc w:val="left"/>
            </w:pPr>
            <w:r>
              <w:rPr>
                <w:sz w:val="18"/>
              </w:rPr>
            </w:r>
            <w:r>
              <w:rPr>
                <w:sz w:val="18"/>
              </w:rPr>
              <w:t>Switch language</w:t>
            </w:r>
          </w:p>
        </w:tc>
        <w:tc>
          <w:tcPr>
            <w:tcW w:type="dxa" w:w="1872"/>
          </w:tcPr>
          <w:p>
            <w:pPr>
              <w:spacing w:after="40" w:line="240" w:lineRule="auto"/>
              <w:jc w:val="left"/>
            </w:pPr>
            <w:r>
              <w:rPr>
                <w:sz w:val="18"/>
              </w:rPr>
            </w:r>
            <w:r>
              <w:rPr>
                <w:sz w:val="18"/>
              </w:rPr>
              <w:t>Both</w:t>
            </w:r>
          </w:p>
        </w:tc>
        <w:tc>
          <w:tcPr>
            <w:tcW w:type="dxa" w:w="5760"/>
          </w:tcPr>
          <w:p>
            <w:pPr>
              <w:spacing w:after="40" w:line="240" w:lineRule="auto"/>
              <w:jc w:val="left"/>
            </w:pPr>
            <w:r>
              <w:rPr>
                <w:sz w:val="18"/>
              </w:rPr>
            </w:r>
            <w:r>
              <w:rPr>
                <w:sz w:val="18"/>
              </w:rPr>
              <w:t>Toggle the EN (LTR) and AR (RTL) interface and model</w:t>
            </w:r>
          </w:p>
        </w:tc>
      </w:tr>
    </w:tbl>
    <w:p>
      <w:pPr>
        <w:spacing w:after="40"/>
      </w:pPr>
    </w:p>
    <w:p>
      <w:pPr>
        <w:pStyle w:val="Heading2"/>
      </w:pPr>
      <w:r>
        <w:t>3.3 System Design and Architecture</w:t>
      </w:r>
    </w:p>
    <w:p>
      <w:pPr>
        <w:jc w:val="both"/>
      </w:pPr>
      <w:r>
        <w:t>Together is a client–server web application. The browser is responsible for capture, landmark extraction, the avatar and the WebRTC media path; the server hosts the recognition models, the language layer, the sign database and the provider chains. Figure 1 gives the high-level architecture. Four design decisions anchor the system: the frontend is server-rendered HTML/CSS/JS with no SPA framework or build step; the machine-learning stack uses TFLite for the English model and PyTorch for the Arabic model, with MediaPipe Holistic extracting landmarks in the browser; real-time communication uses Socket.IO for both streaming recognition and WebRTC signalling; and persistence uses PostgreSQL with the pgvector extension for semantic search.</w:t>
      </w:r>
    </w:p>
    <w:p>
      <w:pPr>
        <w:jc w:val="center"/>
      </w:pPr>
      <w:r>
        <w:drawing>
          <wp:inline xmlns:a="http://schemas.openxmlformats.org/drawingml/2006/main" xmlns:pic="http://schemas.openxmlformats.org/drawingml/2006/picture">
            <wp:extent cx="5486400" cy="3415004"/>
            <wp:docPr id="3" name="Picture 3"/>
            <wp:cNvGraphicFramePr>
              <a:graphicFrameLocks noChangeAspect="1"/>
            </wp:cNvGraphicFramePr>
            <a:graphic>
              <a:graphicData uri="http://schemas.openxmlformats.org/drawingml/2006/picture">
                <pic:pic>
                  <pic:nvPicPr>
                    <pic:cNvPr id="0" name="F1_architecture.png"/>
                    <pic:cNvPicPr/>
                  </pic:nvPicPr>
                  <pic:blipFill>
                    <a:blip r:embed="rId13"/>
                    <a:stretch>
                      <a:fillRect/>
                    </a:stretch>
                  </pic:blipFill>
                  <pic:spPr>
                    <a:xfrm>
                      <a:off x="0" y="0"/>
                      <a:ext cx="5486400" cy="3415004"/>
                    </a:xfrm>
                    <a:prstGeom prst="rect"/>
                  </pic:spPr>
                </pic:pic>
              </a:graphicData>
            </a:graphic>
          </wp:inline>
        </w:drawing>
      </w:r>
    </w:p>
    <w:p>
      <w:pPr>
        <w:spacing w:before="40" w:after="200"/>
        <w:jc w:val="center"/>
      </w:pPr>
      <w:r>
        <w:rPr>
          <w:b/>
          <w:color w:val="444444"/>
          <w:sz w:val="20"/>
        </w:rPr>
        <w:t xml:space="preserve">Figure </w:t>
      </w:r>
      <w:fldSimple w:instr=" SEQ Figure \* ARABIC ">
        <w:r>
          <w:t>2</w:t>
        </w:r>
      </w:fldSimple>
      <w:r>
        <w:rPr>
          <w:color w:val="444444"/>
          <w:sz w:val="20"/>
        </w:rPr>
        <w:t>: High-level system architecture of the Together platform.</w:t>
      </w:r>
    </w:p>
    <w:p>
      <w:pPr>
        <w:jc w:val="both"/>
      </w:pPr>
      <w:r>
        <w:t>The context diagram (Figure 2) frames the system as a single process exchanging data with two human actors and the external Gemini API, and the Level-1 data-flow diagram (Figure 3) decomposes it into the six functional processes that mirror the use cases.</w:t>
      </w:r>
    </w:p>
    <w:p>
      <w:pPr>
        <w:jc w:val="center"/>
      </w:pPr>
      <w:r>
        <w:drawing>
          <wp:inline xmlns:a="http://schemas.openxmlformats.org/drawingml/2006/main" xmlns:pic="http://schemas.openxmlformats.org/drawingml/2006/picture">
            <wp:extent cx="5120640" cy="1097280"/>
            <wp:docPr id="4" name="Picture 4"/>
            <wp:cNvGraphicFramePr>
              <a:graphicFrameLocks noChangeAspect="1"/>
            </wp:cNvGraphicFramePr>
            <a:graphic>
              <a:graphicData uri="http://schemas.openxmlformats.org/drawingml/2006/picture">
                <pic:pic>
                  <pic:nvPicPr>
                    <pic:cNvPr id="0" name="F2_context_dfd0.png"/>
                    <pic:cNvPicPr/>
                  </pic:nvPicPr>
                  <pic:blipFill>
                    <a:blip r:embed="rId14"/>
                    <a:stretch>
                      <a:fillRect/>
                    </a:stretch>
                  </pic:blipFill>
                  <pic:spPr>
                    <a:xfrm>
                      <a:off x="0" y="0"/>
                      <a:ext cx="5120640" cy="1097280"/>
                    </a:xfrm>
                    <a:prstGeom prst="rect"/>
                  </pic:spPr>
                </pic:pic>
              </a:graphicData>
            </a:graphic>
          </wp:inline>
        </w:drawing>
      </w:r>
    </w:p>
    <w:p>
      <w:pPr>
        <w:spacing w:before="40" w:after="200"/>
        <w:jc w:val="center"/>
      </w:pPr>
      <w:r>
        <w:rPr>
          <w:b/>
          <w:color w:val="444444"/>
          <w:sz w:val="20"/>
        </w:rPr>
        <w:t xml:space="preserve">Figure </w:t>
      </w:r>
      <w:fldSimple w:instr=" SEQ Figure \* ARABIC ">
        <w:r>
          <w:t>3</w:t>
        </w:r>
      </w:fldSimple>
      <w:r>
        <w:rPr>
          <w:color w:val="444444"/>
          <w:sz w:val="20"/>
        </w:rPr>
        <w:t>: Context diagram (Data-Flow Diagram, Level 0).</w:t>
      </w:r>
    </w:p>
    <w:p>
      <w:pPr>
        <w:jc w:val="center"/>
      </w:pPr>
      <w:r>
        <w:drawing>
          <wp:inline xmlns:a="http://schemas.openxmlformats.org/drawingml/2006/main" xmlns:pic="http://schemas.openxmlformats.org/drawingml/2006/picture">
            <wp:extent cx="4937760" cy="6499704"/>
            <wp:docPr id="5" name="Picture 5"/>
            <wp:cNvGraphicFramePr>
              <a:graphicFrameLocks noChangeAspect="1"/>
            </wp:cNvGraphicFramePr>
            <a:graphic>
              <a:graphicData uri="http://schemas.openxmlformats.org/drawingml/2006/picture">
                <pic:pic>
                  <pic:nvPicPr>
                    <pic:cNvPr id="0" name="F3_dfd1.png"/>
                    <pic:cNvPicPr/>
                  </pic:nvPicPr>
                  <pic:blipFill>
                    <a:blip r:embed="rId15"/>
                    <a:stretch>
                      <a:fillRect/>
                    </a:stretch>
                  </pic:blipFill>
                  <pic:spPr>
                    <a:xfrm>
                      <a:off x="0" y="0"/>
                      <a:ext cx="4937760" cy="6499704"/>
                    </a:xfrm>
                    <a:prstGeom prst="rect"/>
                  </pic:spPr>
                </pic:pic>
              </a:graphicData>
            </a:graphic>
          </wp:inline>
        </w:drawing>
      </w:r>
    </w:p>
    <w:p>
      <w:pPr>
        <w:spacing w:before="40" w:after="200"/>
        <w:jc w:val="center"/>
      </w:pPr>
      <w:r>
        <w:rPr>
          <w:b/>
          <w:color w:val="444444"/>
          <w:sz w:val="20"/>
        </w:rPr>
        <w:t xml:space="preserve">Figure </w:t>
      </w:r>
      <w:fldSimple w:instr=" SEQ Figure \* ARABIC ">
        <w:r>
          <w:t>4</w:t>
        </w:r>
      </w:fldSimple>
      <w:r>
        <w:rPr>
          <w:color w:val="444444"/>
          <w:sz w:val="20"/>
        </w:rPr>
        <w:t>: Data-Flow Diagram (Level 1).</w:t>
      </w:r>
    </w:p>
    <w:p>
      <w:pPr>
        <w:jc w:val="both"/>
      </w:pPr>
      <w:r>
        <w:t>Internally the server is organised into cooperating components (Figure 12): the FastAPI/Socket.IO entry point (main.py) routes requests to the recognition service, the gloss engine, the sign-lookup layer and the provider chains, while the database package and the on-disk landmark store provide persistence. The deployment topology (Figure 7) shows the browser talking to a containerised web service that is backed by PostgreSQL and an optional local Ollama service, with Google Gemini reached over HTTPS as the default cloud provider; in a meeting, media flows peer-to-peer over a WebRTC mesh while only signalling passes through the server.</w:t>
      </w:r>
    </w:p>
    <w:p>
      <w:pPr>
        <w:jc w:val="center"/>
      </w:pPr>
      <w:r>
        <w:drawing>
          <wp:inline xmlns:a="http://schemas.openxmlformats.org/drawingml/2006/main" xmlns:pic="http://schemas.openxmlformats.org/drawingml/2006/picture">
            <wp:extent cx="5120640" cy="3500846"/>
            <wp:docPr id="6" name="Picture 6"/>
            <wp:cNvGraphicFramePr>
              <a:graphicFrameLocks noChangeAspect="1"/>
            </wp:cNvGraphicFramePr>
            <a:graphic>
              <a:graphicData uri="http://schemas.openxmlformats.org/drawingml/2006/picture">
                <pic:pic>
                  <pic:nvPicPr>
                    <pic:cNvPr id="0" name="F12_component.png"/>
                    <pic:cNvPicPr/>
                  </pic:nvPicPr>
                  <pic:blipFill>
                    <a:blip r:embed="rId16"/>
                    <a:stretch>
                      <a:fillRect/>
                    </a:stretch>
                  </pic:blipFill>
                  <pic:spPr>
                    <a:xfrm>
                      <a:off x="0" y="0"/>
                      <a:ext cx="5120640" cy="3500846"/>
                    </a:xfrm>
                    <a:prstGeom prst="rect"/>
                  </pic:spPr>
                </pic:pic>
              </a:graphicData>
            </a:graphic>
          </wp:inline>
        </w:drawing>
      </w:r>
    </w:p>
    <w:p>
      <w:pPr>
        <w:spacing w:before="40" w:after="200"/>
        <w:jc w:val="center"/>
      </w:pPr>
      <w:r>
        <w:rPr>
          <w:b/>
          <w:color w:val="444444"/>
          <w:sz w:val="20"/>
        </w:rPr>
        <w:t xml:space="preserve">Figure </w:t>
      </w:r>
      <w:fldSimple w:instr=" SEQ Figure \* ARABIC ">
        <w:r>
          <w:t>5</w:t>
        </w:r>
      </w:fldSimple>
      <w:r>
        <w:rPr>
          <w:color w:val="444444"/>
          <w:sz w:val="20"/>
        </w:rPr>
        <w:t>: Component diagram of the backend and frontend.</w:t>
      </w:r>
    </w:p>
    <w:p>
      <w:pPr>
        <w:jc w:val="center"/>
      </w:pPr>
      <w:r>
        <w:drawing>
          <wp:inline xmlns:a="http://schemas.openxmlformats.org/drawingml/2006/main" xmlns:pic="http://schemas.openxmlformats.org/drawingml/2006/picture">
            <wp:extent cx="5120640" cy="4147457"/>
            <wp:docPr id="7" name="Picture 7"/>
            <wp:cNvGraphicFramePr>
              <a:graphicFrameLocks noChangeAspect="1"/>
            </wp:cNvGraphicFramePr>
            <a:graphic>
              <a:graphicData uri="http://schemas.openxmlformats.org/drawingml/2006/picture">
                <pic:pic>
                  <pic:nvPicPr>
                    <pic:cNvPr id="0" name="F7_deployment.png"/>
                    <pic:cNvPicPr/>
                  </pic:nvPicPr>
                  <pic:blipFill>
                    <a:blip r:embed="rId17"/>
                    <a:stretch>
                      <a:fillRect/>
                    </a:stretch>
                  </pic:blipFill>
                  <pic:spPr>
                    <a:xfrm>
                      <a:off x="0" y="0"/>
                      <a:ext cx="5120640" cy="4147457"/>
                    </a:xfrm>
                    <a:prstGeom prst="rect"/>
                  </pic:spPr>
                </pic:pic>
              </a:graphicData>
            </a:graphic>
          </wp:inline>
        </w:drawing>
      </w:r>
    </w:p>
    <w:p>
      <w:pPr>
        <w:spacing w:before="40" w:after="200"/>
        <w:jc w:val="center"/>
      </w:pPr>
      <w:r>
        <w:rPr>
          <w:b/>
          <w:color w:val="444444"/>
          <w:sz w:val="20"/>
        </w:rPr>
        <w:t xml:space="preserve">Figure </w:t>
      </w:r>
      <w:fldSimple w:instr=" SEQ Figure \* ARABIC ">
        <w:r>
          <w:t>6</w:t>
        </w:r>
      </w:fldSimple>
      <w:r>
        <w:rPr>
          <w:color w:val="444444"/>
          <w:sz w:val="20"/>
        </w:rPr>
        <w:t>: Deployment diagram.</w:t>
      </w:r>
    </w:p>
    <w:p>
      <w:pPr>
        <w:pStyle w:val="Heading3"/>
      </w:pPr>
      <w:r>
        <w:t>3.3.1 UML Models</w:t>
      </w:r>
    </w:p>
    <w:p>
      <w:pPr>
        <w:jc w:val="both"/>
      </w:pPr>
      <w:r>
        <w:t>The static structure of the recognition and lookup subsystem is shown in the class diagram (Figure 9). SignDB encapsulates SBERT-backed semantic lookup over PostgreSQL; ArabicSignDB and ASLService specialise it — the former for the 20-word Arabic vocab, the latter by adding the TFLite gesture model — and SignLanguagePredictor wraps the PyTorch CNN-GRU used for Arabic recognition.</w:t>
      </w:r>
    </w:p>
    <w:p>
      <w:pPr>
        <w:jc w:val="center"/>
      </w:pPr>
      <w:r>
        <w:drawing>
          <wp:inline xmlns:a="http://schemas.openxmlformats.org/drawingml/2006/main" xmlns:pic="http://schemas.openxmlformats.org/drawingml/2006/picture">
            <wp:extent cx="5486400" cy="3345024"/>
            <wp:docPr id="8" name="Picture 8"/>
            <wp:cNvGraphicFramePr>
              <a:graphicFrameLocks noChangeAspect="1"/>
            </wp:cNvGraphicFramePr>
            <a:graphic>
              <a:graphicData uri="http://schemas.openxmlformats.org/drawingml/2006/picture">
                <pic:pic>
                  <pic:nvPicPr>
                    <pic:cNvPr id="0" name="F9_class.png"/>
                    <pic:cNvPicPr/>
                  </pic:nvPicPr>
                  <pic:blipFill>
                    <a:blip r:embed="rId18"/>
                    <a:stretch>
                      <a:fillRect/>
                    </a:stretch>
                  </pic:blipFill>
                  <pic:spPr>
                    <a:xfrm>
                      <a:off x="0" y="0"/>
                      <a:ext cx="5486400" cy="3345024"/>
                    </a:xfrm>
                    <a:prstGeom prst="rect"/>
                  </pic:spPr>
                </pic:pic>
              </a:graphicData>
            </a:graphic>
          </wp:inline>
        </w:drawing>
      </w:r>
    </w:p>
    <w:p>
      <w:pPr>
        <w:spacing w:before="40" w:after="200"/>
        <w:jc w:val="center"/>
      </w:pPr>
      <w:r>
        <w:rPr>
          <w:b/>
          <w:color w:val="444444"/>
          <w:sz w:val="20"/>
        </w:rPr>
        <w:t xml:space="preserve">Figure </w:t>
      </w:r>
      <w:fldSimple w:instr=" SEQ Figure \* ARABIC ">
        <w:r>
          <w:t>7</w:t>
        </w:r>
      </w:fldSimple>
      <w:r>
        <w:rPr>
          <w:color w:val="444444"/>
          <w:sz w:val="20"/>
        </w:rPr>
        <w:t>: Class diagram of the recognition and sign-lookup subsystem.</w:t>
      </w:r>
    </w:p>
    <w:p>
      <w:pPr>
        <w:jc w:val="both"/>
      </w:pPr>
      <w:r>
        <w:t>The dynamic behaviour of the principal real-time path — a signer producing text — is shown in the sequence diagram (Figure 10) and the activity diagram (Figure 11). The browser opens a streaming session, sends one landmark frame per tick, and the server maintains a rolling buffer, runs inference in a worker thread, votes over recent predictions and emits an accepted sign; a separate request then turns the accumulated gloss into a sentence. The capture/recognition logic itself is a small state machine (Figure 13) cycling through idle, buffering, inferring, voting and cooldown states.</w:t>
      </w:r>
    </w:p>
    <w:p>
      <w:pPr>
        <w:jc w:val="center"/>
      </w:pPr>
      <w:r>
        <w:drawing>
          <wp:inline xmlns:a="http://schemas.openxmlformats.org/drawingml/2006/main" xmlns:pic="http://schemas.openxmlformats.org/drawingml/2006/picture">
            <wp:extent cx="5486400" cy="4744616"/>
            <wp:docPr id="9" name="Picture 9"/>
            <wp:cNvGraphicFramePr>
              <a:graphicFrameLocks noChangeAspect="1"/>
            </wp:cNvGraphicFramePr>
            <a:graphic>
              <a:graphicData uri="http://schemas.openxmlformats.org/drawingml/2006/picture">
                <pic:pic>
                  <pic:nvPicPr>
                    <pic:cNvPr id="0" name="F10_sequence.png"/>
                    <pic:cNvPicPr/>
                  </pic:nvPicPr>
                  <pic:blipFill>
                    <a:blip r:embed="rId19"/>
                    <a:stretch>
                      <a:fillRect/>
                    </a:stretch>
                  </pic:blipFill>
                  <pic:spPr>
                    <a:xfrm>
                      <a:off x="0" y="0"/>
                      <a:ext cx="5486400" cy="4744616"/>
                    </a:xfrm>
                    <a:prstGeom prst="rect"/>
                  </pic:spPr>
                </pic:pic>
              </a:graphicData>
            </a:graphic>
          </wp:inline>
        </w:drawing>
      </w:r>
    </w:p>
    <w:p>
      <w:pPr>
        <w:spacing w:before="40" w:after="200"/>
        <w:jc w:val="center"/>
      </w:pPr>
      <w:r>
        <w:rPr>
          <w:b/>
          <w:color w:val="444444"/>
          <w:sz w:val="20"/>
        </w:rPr>
        <w:t xml:space="preserve">Figure </w:t>
      </w:r>
      <w:fldSimple w:instr=" SEQ Figure \* ARABIC ">
        <w:r>
          <w:t>8</w:t>
        </w:r>
      </w:fldSimple>
      <w:r>
        <w:rPr>
          <w:color w:val="444444"/>
          <w:sz w:val="20"/>
        </w:rPr>
        <w:t>: Sequence diagram: real-time sign-to-text request flow.</w:t>
      </w:r>
    </w:p>
    <w:p>
      <w:pPr>
        <w:jc w:val="center"/>
      </w:pPr>
      <w:r>
        <w:drawing>
          <wp:inline xmlns:a="http://schemas.openxmlformats.org/drawingml/2006/main" xmlns:pic="http://schemas.openxmlformats.org/drawingml/2006/picture">
            <wp:extent cx="3911174" cy="7498080"/>
            <wp:docPr id="10" name="Picture 10"/>
            <wp:cNvGraphicFramePr>
              <a:graphicFrameLocks noChangeAspect="1"/>
            </wp:cNvGraphicFramePr>
            <a:graphic>
              <a:graphicData uri="http://schemas.openxmlformats.org/drawingml/2006/picture">
                <pic:pic>
                  <pic:nvPicPr>
                    <pic:cNvPr id="0" name="F11_activity.png"/>
                    <pic:cNvPicPr/>
                  </pic:nvPicPr>
                  <pic:blipFill>
                    <a:blip r:embed="rId20"/>
                    <a:stretch>
                      <a:fillRect/>
                    </a:stretch>
                  </pic:blipFill>
                  <pic:spPr>
                    <a:xfrm>
                      <a:off x="0" y="0"/>
                      <a:ext cx="3911174" cy="7498080"/>
                    </a:xfrm>
                    <a:prstGeom prst="rect"/>
                  </pic:spPr>
                </pic:pic>
              </a:graphicData>
            </a:graphic>
          </wp:inline>
        </w:drawing>
      </w:r>
    </w:p>
    <w:p>
      <w:pPr>
        <w:spacing w:before="40" w:after="200"/>
        <w:jc w:val="center"/>
      </w:pPr>
      <w:r>
        <w:rPr>
          <w:b/>
          <w:color w:val="444444"/>
          <w:sz w:val="20"/>
        </w:rPr>
        <w:t xml:space="preserve">Figure </w:t>
      </w:r>
      <w:fldSimple w:instr=" SEQ Figure \* ARABIC ">
        <w:r>
          <w:t>9</w:t>
        </w:r>
      </w:fldSimple>
      <w:r>
        <w:rPr>
          <w:color w:val="444444"/>
          <w:sz w:val="20"/>
        </w:rPr>
        <w:t>: Activity diagram of the streaming recognition workflow.</w:t>
      </w:r>
    </w:p>
    <w:p>
      <w:pPr>
        <w:jc w:val="center"/>
      </w:pPr>
      <w:r>
        <w:drawing>
          <wp:inline xmlns:a="http://schemas.openxmlformats.org/drawingml/2006/main" xmlns:pic="http://schemas.openxmlformats.org/drawingml/2006/picture">
            <wp:extent cx="5120640" cy="3749040"/>
            <wp:docPr id="11" name="Picture 11"/>
            <wp:cNvGraphicFramePr>
              <a:graphicFrameLocks noChangeAspect="1"/>
            </wp:cNvGraphicFramePr>
            <a:graphic>
              <a:graphicData uri="http://schemas.openxmlformats.org/drawingml/2006/picture">
                <pic:pic>
                  <pic:nvPicPr>
                    <pic:cNvPr id="0" name="F13_state.png"/>
                    <pic:cNvPicPr/>
                  </pic:nvPicPr>
                  <pic:blipFill>
                    <a:blip r:embed="rId21"/>
                    <a:stretch>
                      <a:fillRect/>
                    </a:stretch>
                  </pic:blipFill>
                  <pic:spPr>
                    <a:xfrm>
                      <a:off x="0" y="0"/>
                      <a:ext cx="5120640" cy="3749040"/>
                    </a:xfrm>
                    <a:prstGeom prst="rect"/>
                  </pic:spPr>
                </pic:pic>
              </a:graphicData>
            </a:graphic>
          </wp:inline>
        </w:drawing>
      </w:r>
    </w:p>
    <w:p>
      <w:pPr>
        <w:spacing w:before="40" w:after="200"/>
        <w:jc w:val="center"/>
      </w:pPr>
      <w:r>
        <w:rPr>
          <w:b/>
          <w:color w:val="444444"/>
          <w:sz w:val="20"/>
        </w:rPr>
        <w:t xml:space="preserve">Figure </w:t>
      </w:r>
      <w:fldSimple w:instr=" SEQ Figure \* ARABIC ">
        <w:r>
          <w:t>10</w:t>
        </w:r>
      </w:fldSimple>
      <w:r>
        <w:rPr>
          <w:color w:val="444444"/>
          <w:sz w:val="20"/>
        </w:rPr>
        <w:t>: State-machine diagram of the capture/recognition states.</w:t>
      </w:r>
    </w:p>
    <w:p>
      <w:pPr>
        <w:pStyle w:val="Heading3"/>
      </w:pPr>
      <w:r>
        <w:t>3.3.2 Data Model</w:t>
      </w:r>
    </w:p>
    <w:p>
      <w:pPr>
        <w:jc w:val="both"/>
      </w:pPr>
      <w:r>
        <w:t xml:space="preserve">Persistent state lives in PostgreSQL and is described by the entity-relationship diagram (Figure 14). Three tables are defined in app/server/db/models.py and created by the Alembic migration alembic/versions/0001_initial_schema.py: </w:t>
      </w:r>
      <w:r>
        <w:rPr>
          <w:b/>
        </w:rPr>
        <w:t>users</w:t>
      </w:r>
      <w:r>
        <w:t xml:space="preserve"> (account and Argon2id password hash), </w:t>
      </w:r>
      <w:r>
        <w:rPr>
          <w:b/>
        </w:rPr>
        <w:t>refresh_tokens</w:t>
      </w:r>
      <w:r>
        <w:t xml:space="preserve"> (a server-side registry of token identifiers for rotation and revocation), and </w:t>
      </w:r>
      <w:r>
        <w:rPr>
          <w:b/>
        </w:rPr>
        <w:t>signs</w:t>
      </w:r>
      <w:r>
        <w:t xml:space="preserve"> (sign metadata plus a 384-dimensional SBERT embedding stored in a pgvector column with an HNSW cosine index). Crucially, raw landmark sequences are </w:t>
      </w:r>
      <w:r>
        <w:rPr>
          <w:b/>
        </w:rPr>
        <w:t>not</w:t>
      </w:r>
      <w:r>
        <w:t xml:space="preserve"> stored in the database; the signs table holds only a path to a compressed .npz file on disk (landmark_store.py), keeping rows small and vector search fast.</w:t>
      </w:r>
    </w:p>
    <w:p>
      <w:pPr>
        <w:jc w:val="center"/>
      </w:pPr>
      <w:r>
        <w:drawing>
          <wp:inline xmlns:a="http://schemas.openxmlformats.org/drawingml/2006/main" xmlns:pic="http://schemas.openxmlformats.org/drawingml/2006/picture">
            <wp:extent cx="5303520" cy="3489881"/>
            <wp:docPr id="12" name="Picture 12"/>
            <wp:cNvGraphicFramePr>
              <a:graphicFrameLocks noChangeAspect="1"/>
            </wp:cNvGraphicFramePr>
            <a:graphic>
              <a:graphicData uri="http://schemas.openxmlformats.org/drawingml/2006/picture">
                <pic:pic>
                  <pic:nvPicPr>
                    <pic:cNvPr id="0" name="F14_er.png"/>
                    <pic:cNvPicPr/>
                  </pic:nvPicPr>
                  <pic:blipFill>
                    <a:blip r:embed="rId22"/>
                    <a:stretch>
                      <a:fillRect/>
                    </a:stretch>
                  </pic:blipFill>
                  <pic:spPr>
                    <a:xfrm>
                      <a:off x="0" y="0"/>
                      <a:ext cx="5303520" cy="3489881"/>
                    </a:xfrm>
                    <a:prstGeom prst="rect"/>
                  </pic:spPr>
                </pic:pic>
              </a:graphicData>
            </a:graphic>
          </wp:inline>
        </w:drawing>
      </w:r>
    </w:p>
    <w:p>
      <w:pPr>
        <w:spacing w:before="40" w:after="200"/>
        <w:jc w:val="center"/>
      </w:pPr>
      <w:r>
        <w:rPr>
          <w:b/>
          <w:color w:val="444444"/>
          <w:sz w:val="20"/>
        </w:rPr>
        <w:t xml:space="preserve">Figure </w:t>
      </w:r>
      <w:fldSimple w:instr=" SEQ Figure \* ARABIC ">
        <w:r>
          <w:t>11</w:t>
        </w:r>
      </w:fldSimple>
      <w:r>
        <w:rPr>
          <w:color w:val="444444"/>
          <w:sz w:val="20"/>
        </w:rPr>
        <w:t>: Entity-Relationship diagram of the PostgreSQL schema.</w:t>
      </w:r>
    </w:p>
    <w:p>
      <w:pPr>
        <w:pStyle w:val="Heading2"/>
      </w:pPr>
      <w:r>
        <w:t>3.4 Data and Pre-processing</w:t>
      </w:r>
    </w:p>
    <w:p>
      <w:pPr>
        <w:jc w:val="both"/>
      </w:pPr>
      <w:r>
        <w:t>Two vocabularies are recognised. The English model classifies the 250 isolated signs of the GISLR-style vocabulary (its label map, models/sign_to_prediction_index_map.json, lists signs alphabetically from “TV” to “zipper”), and the Arabic model classifies 20 Egyptian signs (models/class_mapping.json). Table 8 summarises both. In addition, a sign-video corpus under data/signs_videos provides the reference clips from which the avatar's landmark database is built and against which the English model was evaluated.</w:t>
      </w:r>
    </w:p>
    <w:p>
      <w:pPr>
        <w:spacing w:before="160" w:after="40"/>
      </w:pPr>
      <w:r>
        <w:rPr>
          <w:b/>
          <w:color w:val="444444"/>
          <w:sz w:val="20"/>
        </w:rPr>
        <w:t xml:space="preserve">Table </w:t>
      </w:r>
      <w:fldSimple w:instr=" SEQ Table \* ARABIC ">
        <w:r>
          <w:t>8</w:t>
        </w:r>
      </w:fldSimple>
      <w:r>
        <w:rPr>
          <w:b/>
          <w:color w:val="444444"/>
          <w:sz w:val="20"/>
        </w:rPr>
        <w:t>: Recognised sign vocabularies and data sources.</w:t>
      </w:r>
    </w:p>
    <w:tbl>
      <w:tblPr>
        <w:tblStyle w:val="TableGrid"/>
        <w:tblW w:type="auto" w:w="0"/>
        <w:jc w:val="center"/>
        <w:tblLook w:firstColumn="1" w:firstRow="1" w:lastColumn="0" w:lastRow="0" w:noHBand="0" w:noVBand="1" w:val="04A0"/>
        <w:tblBorders>
          <w:top w:val="single" w:sz="6" w:space="0" w:color="9BB3CC"/>
          <w:left w:val="single" w:sz="6" w:space="0" w:color="9BB3CC"/>
          <w:bottom w:val="single" w:sz="6" w:space="0" w:color="9BB3CC"/>
          <w:right w:val="single" w:sz="6" w:space="0" w:color="9BB3CC"/>
          <w:insideH w:val="single" w:sz="6" w:space="0" w:color="9BB3CC"/>
          <w:insideV w:val="single" w:sz="6" w:space="0" w:color="9BB3CC"/>
        </w:tblBorders>
      </w:tblPr>
      <w:tblGrid>
        <w:gridCol w:w="3120"/>
        <w:gridCol w:w="3120"/>
        <w:gridCol w:w="3120"/>
      </w:tblGrid>
      <w:tr>
        <w:tc>
          <w:tcPr>
            <w:tcW w:type="dxa" w:w="2160"/>
            <w:shd w:val="clear" w:color="auto" w:fill="2F6DB5"/>
          </w:tcPr>
          <w:p>
            <w:pPr>
              <w:jc w:val="left"/>
            </w:pPr>
            <w:r/>
            <w:r>
              <w:rPr>
                <w:b/>
                <w:color w:val="FFFFFF"/>
                <w:sz w:val="17"/>
              </w:rPr>
              <w:t>Property</w:t>
            </w:r>
          </w:p>
        </w:tc>
        <w:tc>
          <w:tcPr>
            <w:tcW w:type="dxa" w:w="3456"/>
            <w:shd w:val="clear" w:color="auto" w:fill="2F6DB5"/>
          </w:tcPr>
          <w:p>
            <w:pPr>
              <w:jc w:val="left"/>
            </w:pPr>
            <w:r/>
            <w:r>
              <w:rPr>
                <w:b/>
                <w:color w:val="FFFFFF"/>
                <w:sz w:val="17"/>
              </w:rPr>
              <w:t>English (ASL)</w:t>
            </w:r>
          </w:p>
        </w:tc>
        <w:tc>
          <w:tcPr>
            <w:tcW w:type="dxa" w:w="3456"/>
            <w:shd w:val="clear" w:color="auto" w:fill="2F6DB5"/>
          </w:tcPr>
          <w:p>
            <w:pPr>
              <w:jc w:val="left"/>
            </w:pPr>
            <w:r/>
            <w:r>
              <w:rPr>
                <w:b/>
                <w:color w:val="FFFFFF"/>
                <w:sz w:val="17"/>
              </w:rPr>
              <w:t>Arabic (ArSL)</w:t>
            </w:r>
          </w:p>
        </w:tc>
      </w:tr>
      <w:tr>
        <w:tc>
          <w:tcPr>
            <w:tcW w:type="dxa" w:w="2160"/>
          </w:tcPr>
          <w:p>
            <w:pPr>
              <w:spacing w:after="40" w:line="240" w:lineRule="auto"/>
              <w:jc w:val="left"/>
            </w:pPr>
            <w:r>
              <w:rPr>
                <w:sz w:val="17"/>
              </w:rPr>
            </w:r>
            <w:r>
              <w:rPr>
                <w:sz w:val="17"/>
              </w:rPr>
              <w:t>Classes</w:t>
            </w:r>
          </w:p>
        </w:tc>
        <w:tc>
          <w:tcPr>
            <w:tcW w:type="dxa" w:w="3456"/>
          </w:tcPr>
          <w:p>
            <w:pPr>
              <w:spacing w:after="40" w:line="240" w:lineRule="auto"/>
              <w:jc w:val="left"/>
            </w:pPr>
            <w:r>
              <w:rPr>
                <w:sz w:val="17"/>
              </w:rPr>
            </w:r>
            <w:r>
              <w:rPr>
                <w:sz w:val="17"/>
              </w:rPr>
              <w:t>250 isolated signs</w:t>
            </w:r>
          </w:p>
        </w:tc>
        <w:tc>
          <w:tcPr>
            <w:tcW w:type="dxa" w:w="3456"/>
          </w:tcPr>
          <w:p>
            <w:pPr>
              <w:spacing w:after="40" w:line="240" w:lineRule="auto"/>
              <w:jc w:val="left"/>
            </w:pPr>
            <w:r>
              <w:rPr>
                <w:sz w:val="17"/>
              </w:rPr>
            </w:r>
            <w:r>
              <w:rPr>
                <w:sz w:val="17"/>
              </w:rPr>
              <w:t>20 isolated signs</w:t>
            </w:r>
          </w:p>
        </w:tc>
      </w:tr>
      <w:tr>
        <w:tc>
          <w:tcPr>
            <w:tcW w:type="dxa" w:w="2160"/>
          </w:tcPr>
          <w:p>
            <w:pPr>
              <w:spacing w:after="40" w:line="240" w:lineRule="auto"/>
              <w:jc w:val="left"/>
            </w:pPr>
            <w:r>
              <w:rPr>
                <w:sz w:val="17"/>
              </w:rPr>
            </w:r>
            <w:r>
              <w:rPr>
                <w:sz w:val="17"/>
              </w:rPr>
              <w:t>Example labels</w:t>
            </w:r>
          </w:p>
        </w:tc>
        <w:tc>
          <w:tcPr>
            <w:tcW w:type="dxa" w:w="3456"/>
          </w:tcPr>
          <w:p>
            <w:pPr>
              <w:spacing w:after="40" w:line="240" w:lineRule="auto"/>
              <w:jc w:val="left"/>
            </w:pPr>
            <w:r>
              <w:rPr>
                <w:sz w:val="17"/>
              </w:rPr>
            </w:r>
            <w:r>
              <w:rPr>
                <w:sz w:val="17"/>
              </w:rPr>
              <w:t>TV, apple, happy, mother, …, zipper</w:t>
            </w:r>
          </w:p>
        </w:tc>
        <w:tc>
          <w:tcPr>
            <w:tcW w:type="dxa" w:w="3456"/>
          </w:tcPr>
          <w:p>
            <w:pPr>
              <w:spacing w:after="40" w:line="240" w:lineRule="auto"/>
              <w:jc w:val="left"/>
            </w:pPr>
            <w:r>
              <w:rPr>
                <w:sz w:val="17"/>
              </w:rPr>
            </w:r>
            <w:r>
              <w:rPr>
                <w:sz w:val="17"/>
              </w:rPr>
              <w:t>baby, eat, father, happy, mosque, mother, …, worry</w:t>
            </w:r>
          </w:p>
        </w:tc>
      </w:tr>
      <w:tr>
        <w:tc>
          <w:tcPr>
            <w:tcW w:type="dxa" w:w="2160"/>
          </w:tcPr>
          <w:p>
            <w:pPr>
              <w:spacing w:after="40" w:line="240" w:lineRule="auto"/>
              <w:jc w:val="left"/>
            </w:pPr>
            <w:r>
              <w:rPr>
                <w:sz w:val="17"/>
              </w:rPr>
            </w:r>
            <w:r>
              <w:rPr>
                <w:sz w:val="17"/>
              </w:rPr>
              <w:t>Model file</w:t>
            </w:r>
          </w:p>
        </w:tc>
        <w:tc>
          <w:tcPr>
            <w:tcW w:type="dxa" w:w="3456"/>
          </w:tcPr>
          <w:p>
            <w:pPr>
              <w:spacing w:after="40" w:line="240" w:lineRule="auto"/>
              <w:jc w:val="left"/>
            </w:pPr>
            <w:r>
              <w:rPr>
                <w:sz w:val="17"/>
              </w:rPr>
            </w:r>
            <w:r>
              <w:rPr>
                <w:sz w:val="17"/>
              </w:rPr>
              <w:t>models/model.tflite (≈11 MB)</w:t>
            </w:r>
          </w:p>
        </w:tc>
        <w:tc>
          <w:tcPr>
            <w:tcW w:type="dxa" w:w="3456"/>
          </w:tcPr>
          <w:p>
            <w:pPr>
              <w:spacing w:after="40" w:line="240" w:lineRule="auto"/>
              <w:jc w:val="left"/>
            </w:pPr>
            <w:r>
              <w:rPr>
                <w:sz w:val="17"/>
              </w:rPr>
            </w:r>
            <w:r>
              <w:rPr>
                <w:sz w:val="17"/>
              </w:rPr>
              <w:t>models/best_model.pth (≈1.1 MB)</w:t>
            </w:r>
          </w:p>
        </w:tc>
      </w:tr>
      <w:tr>
        <w:tc>
          <w:tcPr>
            <w:tcW w:type="dxa" w:w="2160"/>
          </w:tcPr>
          <w:p>
            <w:pPr>
              <w:spacing w:after="40" w:line="240" w:lineRule="auto"/>
              <w:jc w:val="left"/>
            </w:pPr>
            <w:r>
              <w:rPr>
                <w:sz w:val="17"/>
              </w:rPr>
            </w:r>
            <w:r>
              <w:rPr>
                <w:sz w:val="17"/>
              </w:rPr>
              <w:t>Input representation</w:t>
            </w:r>
          </w:p>
        </w:tc>
        <w:tc>
          <w:tcPr>
            <w:tcW w:type="dxa" w:w="3456"/>
          </w:tcPr>
          <w:p>
            <w:pPr>
              <w:spacing w:after="40" w:line="240" w:lineRule="auto"/>
              <w:jc w:val="left"/>
            </w:pPr>
            <w:r>
              <w:rPr>
                <w:sz w:val="17"/>
              </w:rPr>
            </w:r>
            <w:r>
              <w:rPr>
                <w:sz w:val="17"/>
              </w:rPr>
              <w:t>(N, 543, 3) MediaPipe Holistic</w:t>
            </w:r>
          </w:p>
        </w:tc>
        <w:tc>
          <w:tcPr>
            <w:tcW w:type="dxa" w:w="3456"/>
          </w:tcPr>
          <w:p>
            <w:pPr>
              <w:spacing w:after="40" w:line="240" w:lineRule="auto"/>
              <w:jc w:val="left"/>
            </w:pPr>
            <w:r>
              <w:rPr>
                <w:sz w:val="17"/>
              </w:rPr>
            </w:r>
            <w:r>
              <w:rPr>
                <w:sz w:val="17"/>
              </w:rPr>
              <w:t>(30, 177) pose+hands, Z-zeroed</w:t>
            </w:r>
          </w:p>
        </w:tc>
      </w:tr>
      <w:tr>
        <w:tc>
          <w:tcPr>
            <w:tcW w:type="dxa" w:w="2160"/>
          </w:tcPr>
          <w:p>
            <w:pPr>
              <w:spacing w:after="40" w:line="240" w:lineRule="auto"/>
              <w:jc w:val="left"/>
            </w:pPr>
            <w:r>
              <w:rPr>
                <w:sz w:val="17"/>
              </w:rPr>
            </w:r>
            <w:r>
              <w:rPr>
                <w:sz w:val="17"/>
              </w:rPr>
              <w:t>Reference clips</w:t>
            </w:r>
          </w:p>
        </w:tc>
        <w:tc>
          <w:tcPr>
            <w:tcW w:type="dxa" w:w="3456"/>
          </w:tcPr>
          <w:p>
            <w:pPr>
              <w:spacing w:after="40" w:line="240" w:lineRule="auto"/>
              <w:jc w:val="left"/>
            </w:pPr>
            <w:r>
              <w:rPr>
                <w:sz w:val="17"/>
              </w:rPr>
            </w:r>
            <w:r>
              <w:rPr>
                <w:sz w:val="17"/>
              </w:rPr>
              <w:t>data/signs_videos (272 files)</w:t>
            </w:r>
          </w:p>
        </w:tc>
        <w:tc>
          <w:tcPr>
            <w:tcW w:type="dxa" w:w="3456"/>
          </w:tcPr>
          <w:p>
            <w:pPr>
              <w:spacing w:after="40" w:line="240" w:lineRule="auto"/>
              <w:jc w:val="left"/>
            </w:pPr>
            <w:r>
              <w:rPr>
                <w:sz w:val="17"/>
              </w:rPr>
            </w:r>
            <w:r>
              <w:rPr>
                <w:sz w:val="17"/>
              </w:rPr>
              <w:t>Egyptian ArSL word videos</w:t>
            </w:r>
          </w:p>
        </w:tc>
      </w:tr>
      <w:tr>
        <w:tc>
          <w:tcPr>
            <w:tcW w:type="dxa" w:w="2160"/>
          </w:tcPr>
          <w:p>
            <w:pPr>
              <w:spacing w:after="40" w:line="240" w:lineRule="auto"/>
              <w:jc w:val="left"/>
            </w:pPr>
            <w:r>
              <w:rPr>
                <w:sz w:val="17"/>
              </w:rPr>
            </w:r>
            <w:r>
              <w:rPr>
                <w:sz w:val="17"/>
              </w:rPr>
              <w:t>Dataset source</w:t>
            </w:r>
          </w:p>
        </w:tc>
        <w:tc>
          <w:tcPr>
            <w:tcW w:type="dxa" w:w="3456"/>
          </w:tcPr>
          <w:p>
            <w:pPr>
              <w:spacing w:after="40" w:line="240" w:lineRule="auto"/>
              <w:jc w:val="left"/>
            </w:pPr>
            <w:r>
              <w:rPr>
                <w:sz w:val="17"/>
              </w:rPr>
            </w:r>
            <w:r>
              <w:rPr>
                <w:sz w:val="17"/>
              </w:rPr>
              <w:t xml:space="preserve">GISLR/PopSign-style </w:t>
            </w:r>
            <w:r>
              <w:rPr>
                <w:b/>
                <w:color w:val="B01A1A"/>
                <w:sz w:val="17"/>
              </w:rPr>
              <w:t>⚠ VERIFY: confirm exact dataset &amp; licence</w:t>
            </w:r>
          </w:p>
        </w:tc>
        <w:tc>
          <w:tcPr>
            <w:tcW w:type="dxa" w:w="3456"/>
          </w:tcPr>
          <w:p>
            <w:pPr>
              <w:spacing w:after="40" w:line="240" w:lineRule="auto"/>
              <w:jc w:val="left"/>
            </w:pPr>
            <w:r>
              <w:rPr>
                <w:sz w:val="17"/>
              </w:rPr>
            </w:r>
            <w:r>
              <w:rPr>
                <w:b/>
                <w:color w:val="B01A1A"/>
                <w:sz w:val="17"/>
              </w:rPr>
              <w:t>⚠ GAP: dataset source, #signers, consent, demographics</w:t>
            </w:r>
          </w:p>
        </w:tc>
      </w:tr>
      <w:tr>
        <w:tc>
          <w:tcPr>
            <w:tcW w:type="dxa" w:w="2160"/>
          </w:tcPr>
          <w:p>
            <w:pPr>
              <w:spacing w:after="40" w:line="240" w:lineRule="auto"/>
              <w:jc w:val="left"/>
            </w:pPr>
            <w:r>
              <w:rPr>
                <w:sz w:val="17"/>
              </w:rPr>
            </w:r>
            <w:r>
              <w:rPr>
                <w:sz w:val="17"/>
              </w:rPr>
              <w:t>Train/val/test split</w:t>
            </w:r>
          </w:p>
        </w:tc>
        <w:tc>
          <w:tcPr>
            <w:tcW w:type="dxa" w:w="3456"/>
          </w:tcPr>
          <w:p>
            <w:pPr>
              <w:spacing w:after="40" w:line="240" w:lineRule="auto"/>
              <w:jc w:val="left"/>
            </w:pPr>
            <w:r>
              <w:rPr>
                <w:sz w:val="17"/>
              </w:rPr>
            </w:r>
            <w:r>
              <w:rPr>
                <w:b/>
                <w:color w:val="B01A1A"/>
                <w:sz w:val="17"/>
              </w:rPr>
              <w:t>⚠ GAP: not recorded in repo</w:t>
            </w:r>
          </w:p>
        </w:tc>
        <w:tc>
          <w:tcPr>
            <w:tcW w:type="dxa" w:w="3456"/>
          </w:tcPr>
          <w:p>
            <w:pPr>
              <w:spacing w:after="40" w:line="240" w:lineRule="auto"/>
              <w:jc w:val="left"/>
            </w:pPr>
            <w:r>
              <w:rPr>
                <w:sz w:val="17"/>
              </w:rPr>
            </w:r>
            <w:r>
              <w:rPr>
                <w:b/>
                <w:color w:val="B01A1A"/>
                <w:sz w:val="17"/>
              </w:rPr>
              <w:t>⚠ GAP: not recorded in repo</w:t>
            </w:r>
          </w:p>
        </w:tc>
      </w:tr>
    </w:tbl>
    <w:p>
      <w:pPr>
        <w:spacing w:after="40"/>
      </w:pPr>
    </w:p>
    <w:p>
      <w:pPr>
        <w:jc w:val="both"/>
      </w:pPr>
      <w:r>
        <w:t>The recognition pipeline that turns a frame into a feature vector is shown in Figure 4. In the browser, MediaPipe Holistic produces 33 pose, 468 face and 2×21 hand landmarks per frame; an exponential moving average (α = 0.65) smooths the skeleton and a short grace window holds it through brief tracking drops. For recognition the client sends a compact payload in which missing landmarks are encoded as null. The two models then pre-process differently, reflecting how each was trained:</w:t>
      </w:r>
    </w:p>
    <w:p>
      <w:pPr>
        <w:jc w:val="center"/>
      </w:pPr>
      <w:r>
        <w:drawing>
          <wp:inline xmlns:a="http://schemas.openxmlformats.org/drawingml/2006/main" xmlns:pic="http://schemas.openxmlformats.org/drawingml/2006/picture">
            <wp:extent cx="5669280" cy="2277836"/>
            <wp:docPr id="13" name="Picture 13"/>
            <wp:cNvGraphicFramePr>
              <a:graphicFrameLocks noChangeAspect="1"/>
            </wp:cNvGraphicFramePr>
            <a:graphic>
              <a:graphicData uri="http://schemas.openxmlformats.org/drawingml/2006/picture">
                <pic:pic>
                  <pic:nvPicPr>
                    <pic:cNvPr id="0" name="F4_pipeline.png"/>
                    <pic:cNvPicPr/>
                  </pic:nvPicPr>
                  <pic:blipFill>
                    <a:blip r:embed="rId23"/>
                    <a:stretch>
                      <a:fillRect/>
                    </a:stretch>
                  </pic:blipFill>
                  <pic:spPr>
                    <a:xfrm>
                      <a:off x="0" y="0"/>
                      <a:ext cx="5669280" cy="2277836"/>
                    </a:xfrm>
                    <a:prstGeom prst="rect"/>
                  </pic:spPr>
                </pic:pic>
              </a:graphicData>
            </a:graphic>
          </wp:inline>
        </w:drawing>
      </w:r>
    </w:p>
    <w:p>
      <w:pPr>
        <w:spacing w:before="40" w:after="200"/>
        <w:jc w:val="center"/>
      </w:pPr>
      <w:r>
        <w:rPr>
          <w:b/>
          <w:color w:val="444444"/>
          <w:sz w:val="20"/>
        </w:rPr>
        <w:t xml:space="preserve">Figure </w:t>
      </w:r>
      <w:fldSimple w:instr=" SEQ Figure \* ARABIC ">
        <w:r>
          <w:t>12</w:t>
        </w:r>
      </w:fldSimple>
      <w:r>
        <w:rPr>
          <w:color w:val="444444"/>
          <w:sz w:val="20"/>
        </w:rPr>
        <w:t>: End-to-end real-time translation pipeline.</w:t>
      </w:r>
    </w:p>
    <w:p>
      <w:pPr>
        <w:pStyle w:val="ListBullet"/>
      </w:pPr>
      <w:r>
        <w:rPr>
          <w:b/>
        </w:rPr>
        <w:t>English (ASL).</w:t>
      </w:r>
      <w:r>
        <w:t xml:space="preserve"> The server feeds the raw variable-length (N, 543, 3) sequence directly to the TFLite model. Missing landmarks must be NaN rather than zero — the model was trained with NaN and masks them internally, and a zero is read as a real point at the image origin — so any all-zero point is normalised to NaN (asl_service.py). Sequences are capped at 128 frames.</w:t>
      </w:r>
    </w:p>
    <w:p>
      <w:pPr>
        <w:pStyle w:val="ListBullet"/>
      </w:pPr>
      <w:r>
        <w:rPr>
          <w:b/>
        </w:rPr>
        <w:t>Arabic (ArSL).</w:t>
      </w:r>
      <w:r>
        <w:t xml:space="preserve"> The predictor keeps 17 pose joints and the two 21-point hands (177 values per frame), corrects the landscape aspect ratio to a 9:16 portrait canvas, zeroes the depth coordinate for distance-invariance, and normalises every point by the </w:t>
      </w:r>
      <w:r>
        <w:rPr>
          <w:b/>
        </w:rPr>
        <w:t>shoulder centre</w:t>
      </w:r>
      <w:r>
        <w:t xml:space="preserve"> and </w:t>
      </w:r>
      <w:r>
        <w:rPr>
          <w:b/>
        </w:rPr>
        <w:t>shoulder width</w:t>
      </w:r>
      <w:r>
        <w:t xml:space="preserve"> so the representation is translation- and scale-invariant. Missing hand points are linearly interpolated to bridge tracking drops (sign_predictor.py).</w:t>
      </w:r>
    </w:p>
    <w:p>
      <w:pPr>
        <w:jc w:val="both"/>
      </w:pPr>
      <w:r>
        <w:t>ASL and ArSL are distinguished explicitly rather than detected: the request carries a language field, the Arabic dashboard (index_ar.html) forces the Arabic model, and the server routes to ASLService or SignLanguagePredictor accordingly (main.py, /api/translate). For text-to-sign, Arabic input is first mapped to the English class keys via a bilingual dictionary and, when needed, the LLM, so both languages reuse the same landmark-lookup machinery.</w:t>
      </w:r>
    </w:p>
    <w:p>
      <w:pPr>
        <w:pStyle w:val="Heading2"/>
      </w:pPr>
      <w:r>
        <w:t>3.5 Model and Implementation</w:t>
      </w:r>
    </w:p>
    <w:p>
      <w:pPr>
        <w:jc w:val="both"/>
      </w:pPr>
      <w:r>
        <w:t>Figure 5 shows both recognition models. The English model ships as a trained TFLite graph whose internal architecture is not introspectable from the exported file; it is defined by its input/output contract — a variable-length (N, 543, 3) landmark sequence in, 250 raw logits out — and is executed by the LiteRT interpreter with the XNNPACK delegate and multi-threading (asl_service.py). The Arabic model is fully specified in code (models/sign_predictor.py) as the SignLanguageCNNGRU network: two 1-D convolutional layers (177→128→128, kernel 3) each with batch normalisation and ReLU, a two-layer bidirectional GRU (hidden size 64), and two fully-connected layers (128→64→20) with dropout. Its last-timestep representation is classified into the 20 Arabic signs.</w:t>
      </w:r>
    </w:p>
    <w:p>
      <w:pPr>
        <w:jc w:val="center"/>
      </w:pPr>
      <w:r>
        <w:drawing>
          <wp:inline xmlns:a="http://schemas.openxmlformats.org/drawingml/2006/main" xmlns:pic="http://schemas.openxmlformats.org/drawingml/2006/picture">
            <wp:extent cx="5486400" cy="3784985"/>
            <wp:docPr id="14" name="Picture 14"/>
            <wp:cNvGraphicFramePr>
              <a:graphicFrameLocks noChangeAspect="1"/>
            </wp:cNvGraphicFramePr>
            <a:graphic>
              <a:graphicData uri="http://schemas.openxmlformats.org/drawingml/2006/picture">
                <pic:pic>
                  <pic:nvPicPr>
                    <pic:cNvPr id="0" name="F5_model_arch.png"/>
                    <pic:cNvPicPr/>
                  </pic:nvPicPr>
                  <pic:blipFill>
                    <a:blip r:embed="rId24"/>
                    <a:stretch>
                      <a:fillRect/>
                    </a:stretch>
                  </pic:blipFill>
                  <pic:spPr>
                    <a:xfrm>
                      <a:off x="0" y="0"/>
                      <a:ext cx="5486400" cy="3784985"/>
                    </a:xfrm>
                    <a:prstGeom prst="rect"/>
                  </pic:spPr>
                </pic:pic>
              </a:graphicData>
            </a:graphic>
          </wp:inline>
        </w:drawing>
      </w:r>
    </w:p>
    <w:p>
      <w:pPr>
        <w:spacing w:before="40" w:after="200"/>
        <w:jc w:val="center"/>
      </w:pPr>
      <w:r>
        <w:rPr>
          <w:b/>
          <w:color w:val="444444"/>
          <w:sz w:val="20"/>
        </w:rPr>
        <w:t xml:space="preserve">Figure </w:t>
      </w:r>
      <w:fldSimple w:instr=" SEQ Figure \* ARABIC ">
        <w:r>
          <w:t>13</w:t>
        </w:r>
      </w:fldSimple>
      <w:r>
        <w:rPr>
          <w:color w:val="444444"/>
          <w:sz w:val="20"/>
        </w:rPr>
        <w:t>: Recognition model architectures: (a) ASL TFLite I/O contract; (b) ArSL CNN-GRU layer stack.</w:t>
      </w:r>
    </w:p>
    <w:p>
      <w:pPr>
        <w:jc w:val="both"/>
      </w:pPr>
      <w:r>
        <w:t>Both models use ensembling and gating for robustness. The Arabic predictor runs the network over three temporal windows (the last 30, 45 and 60 frames, each uniformly re-sampled to 30) and averages the soft-max outputs; a prediction is accepted only above a confidence of 0.45, and the server further requires a two-of-three majority vote across consecutive inferences. The English path applies soft-max to the raw logits and accepts above 0.50 (ASL_CONFIDENCE_THRESH), again behind the vote/cooldown buffer. On the streaming socket path (main.py), a rolling 60-frame buffer, a three-sample vote buffer requiring two agreeing votes, and an eight-frame cooldown convert noisy per-frame predictions into stable sign tokens at roughly 20 fps.</w:t>
      </w:r>
    </w:p>
    <w:p>
      <w:pPr>
        <w:jc w:val="both"/>
      </w:pPr>
      <w:r>
        <w:t>The training of both models was performed outside this repository, which ships only the trained checkpoints and the evaluation harness (Figure 6). The hyperparameters that would normally accompany a training run are therefore not recorded here and must be supplied; Table 9 captures what is known from the code and flags the gaps.</w:t>
      </w:r>
    </w:p>
    <w:p>
      <w:pPr>
        <w:jc w:val="center"/>
      </w:pPr>
      <w:r>
        <w:drawing>
          <wp:inline xmlns:a="http://schemas.openxmlformats.org/drawingml/2006/main" xmlns:pic="http://schemas.openxmlformats.org/drawingml/2006/picture">
            <wp:extent cx="5669280" cy="2662950"/>
            <wp:docPr id="15" name="Picture 15"/>
            <wp:cNvGraphicFramePr>
              <a:graphicFrameLocks noChangeAspect="1"/>
            </wp:cNvGraphicFramePr>
            <a:graphic>
              <a:graphicData uri="http://schemas.openxmlformats.org/drawingml/2006/picture">
                <pic:pic>
                  <pic:nvPicPr>
                    <pic:cNvPr id="0" name="F6_training.png"/>
                    <pic:cNvPicPr/>
                  </pic:nvPicPr>
                  <pic:blipFill>
                    <a:blip r:embed="rId25"/>
                    <a:stretch>
                      <a:fillRect/>
                    </a:stretch>
                  </pic:blipFill>
                  <pic:spPr>
                    <a:xfrm>
                      <a:off x="0" y="0"/>
                      <a:ext cx="5669280" cy="2662950"/>
                    </a:xfrm>
                    <a:prstGeom prst="rect"/>
                  </pic:spPr>
                </pic:pic>
              </a:graphicData>
            </a:graphic>
          </wp:inline>
        </w:drawing>
      </w:r>
    </w:p>
    <w:p>
      <w:pPr>
        <w:spacing w:before="40" w:after="200"/>
        <w:jc w:val="center"/>
      </w:pPr>
      <w:r>
        <w:rPr>
          <w:b/>
          <w:color w:val="444444"/>
          <w:sz w:val="20"/>
        </w:rPr>
        <w:t xml:space="preserve">Figure </w:t>
      </w:r>
      <w:fldSimple w:instr=" SEQ Figure \* ARABIC ">
        <w:r>
          <w:t>14</w:t>
        </w:r>
      </w:fldSimple>
      <w:r>
        <w:rPr>
          <w:color w:val="444444"/>
          <w:sz w:val="20"/>
        </w:rPr>
        <w:t>: Per-language training and data pipeline (training performed off-repo).</w:t>
      </w:r>
    </w:p>
    <w:p>
      <w:pPr>
        <w:spacing w:before="160" w:after="40"/>
      </w:pPr>
      <w:r>
        <w:rPr>
          <w:b/>
          <w:color w:val="444444"/>
          <w:sz w:val="20"/>
        </w:rPr>
        <w:t xml:space="preserve">Table </w:t>
      </w:r>
      <w:fldSimple w:instr=" SEQ Table \* ARABIC ">
        <w:r>
          <w:t>9</w:t>
        </w:r>
      </w:fldSimple>
      <w:r>
        <w:rPr>
          <w:b/>
          <w:color w:val="444444"/>
          <w:sz w:val="20"/>
        </w:rPr>
        <w:t>: Model and training configuration.</w:t>
      </w:r>
    </w:p>
    <w:tbl>
      <w:tblPr>
        <w:tblStyle w:val="TableGrid"/>
        <w:tblW w:type="auto" w:w="0"/>
        <w:jc w:val="center"/>
        <w:tblLook w:firstColumn="1" w:firstRow="1" w:lastColumn="0" w:lastRow="0" w:noHBand="0" w:noVBand="1" w:val="04A0"/>
        <w:tblBorders>
          <w:top w:val="single" w:sz="6" w:space="0" w:color="9BB3CC"/>
          <w:left w:val="single" w:sz="6" w:space="0" w:color="9BB3CC"/>
          <w:bottom w:val="single" w:sz="6" w:space="0" w:color="9BB3CC"/>
          <w:right w:val="single" w:sz="6" w:space="0" w:color="9BB3CC"/>
          <w:insideH w:val="single" w:sz="6" w:space="0" w:color="9BB3CC"/>
          <w:insideV w:val="single" w:sz="6" w:space="0" w:color="9BB3CC"/>
        </w:tblBorders>
      </w:tblPr>
      <w:tblGrid>
        <w:gridCol w:w="3120"/>
        <w:gridCol w:w="3120"/>
        <w:gridCol w:w="3120"/>
      </w:tblGrid>
      <w:tr>
        <w:tc>
          <w:tcPr>
            <w:tcW w:type="dxa" w:w="2448"/>
            <w:shd w:val="clear" w:color="auto" w:fill="2F6DB5"/>
          </w:tcPr>
          <w:p>
            <w:pPr>
              <w:jc w:val="left"/>
            </w:pPr>
            <w:r/>
            <w:r>
              <w:rPr>
                <w:b/>
                <w:color w:val="FFFFFF"/>
                <w:sz w:val="17"/>
              </w:rPr>
              <w:t>Hyperparameter</w:t>
            </w:r>
          </w:p>
        </w:tc>
        <w:tc>
          <w:tcPr>
            <w:tcW w:type="dxa" w:w="3456"/>
            <w:shd w:val="clear" w:color="auto" w:fill="2F6DB5"/>
          </w:tcPr>
          <w:p>
            <w:pPr>
              <w:jc w:val="left"/>
            </w:pPr>
            <w:r/>
            <w:r>
              <w:rPr>
                <w:b/>
                <w:color w:val="FFFFFF"/>
                <w:sz w:val="17"/>
              </w:rPr>
              <w:t>English (ASL)</w:t>
            </w:r>
          </w:p>
        </w:tc>
        <w:tc>
          <w:tcPr>
            <w:tcW w:type="dxa" w:w="3456"/>
            <w:shd w:val="clear" w:color="auto" w:fill="2F6DB5"/>
          </w:tcPr>
          <w:p>
            <w:pPr>
              <w:jc w:val="left"/>
            </w:pPr>
            <w:r/>
            <w:r>
              <w:rPr>
                <w:b/>
                <w:color w:val="FFFFFF"/>
                <w:sz w:val="17"/>
              </w:rPr>
              <w:t>Arabic (ArSL)</w:t>
            </w:r>
          </w:p>
        </w:tc>
      </w:tr>
      <w:tr>
        <w:tc>
          <w:tcPr>
            <w:tcW w:type="dxa" w:w="2448"/>
          </w:tcPr>
          <w:p>
            <w:pPr>
              <w:spacing w:after="40" w:line="240" w:lineRule="auto"/>
              <w:jc w:val="left"/>
            </w:pPr>
            <w:r>
              <w:rPr>
                <w:sz w:val="17"/>
              </w:rPr>
            </w:r>
            <w:r>
              <w:rPr>
                <w:sz w:val="17"/>
              </w:rPr>
              <w:t>Architecture</w:t>
            </w:r>
          </w:p>
        </w:tc>
        <w:tc>
          <w:tcPr>
            <w:tcW w:type="dxa" w:w="3456"/>
          </w:tcPr>
          <w:p>
            <w:pPr>
              <w:spacing w:after="40" w:line="240" w:lineRule="auto"/>
              <w:jc w:val="left"/>
            </w:pPr>
            <w:r>
              <w:rPr>
                <w:sz w:val="17"/>
              </w:rPr>
            </w:r>
            <w:r>
              <w:rPr>
                <w:sz w:val="17"/>
              </w:rPr>
              <w:t>GISLR-style TFLite (black-box)</w:t>
            </w:r>
          </w:p>
        </w:tc>
        <w:tc>
          <w:tcPr>
            <w:tcW w:type="dxa" w:w="3456"/>
          </w:tcPr>
          <w:p>
            <w:pPr>
              <w:spacing w:after="40" w:line="240" w:lineRule="auto"/>
              <w:jc w:val="left"/>
            </w:pPr>
            <w:r>
              <w:rPr>
                <w:sz w:val="17"/>
              </w:rPr>
            </w:r>
            <w:r>
              <w:rPr>
                <w:sz w:val="17"/>
              </w:rPr>
              <w:t>CNN-GRU (Conv1d×2 + Bi-GRU×2 + FC×2)</w:t>
            </w:r>
          </w:p>
        </w:tc>
      </w:tr>
      <w:tr>
        <w:tc>
          <w:tcPr>
            <w:tcW w:type="dxa" w:w="2448"/>
          </w:tcPr>
          <w:p>
            <w:pPr>
              <w:spacing w:after="40" w:line="240" w:lineRule="auto"/>
              <w:jc w:val="left"/>
            </w:pPr>
            <w:r>
              <w:rPr>
                <w:sz w:val="17"/>
              </w:rPr>
            </w:r>
            <w:r>
              <w:rPr>
                <w:sz w:val="17"/>
              </w:rPr>
              <w:t>Input</w:t>
            </w:r>
          </w:p>
        </w:tc>
        <w:tc>
          <w:tcPr>
            <w:tcW w:type="dxa" w:w="3456"/>
          </w:tcPr>
          <w:p>
            <w:pPr>
              <w:spacing w:after="40" w:line="240" w:lineRule="auto"/>
              <w:jc w:val="left"/>
            </w:pPr>
            <w:r>
              <w:rPr>
                <w:sz w:val="17"/>
              </w:rPr>
            </w:r>
            <w:r>
              <w:rPr>
                <w:sz w:val="17"/>
              </w:rPr>
              <w:t>(N, 543, 3) landmarks</w:t>
            </w:r>
          </w:p>
        </w:tc>
        <w:tc>
          <w:tcPr>
            <w:tcW w:type="dxa" w:w="3456"/>
          </w:tcPr>
          <w:p>
            <w:pPr>
              <w:spacing w:after="40" w:line="240" w:lineRule="auto"/>
              <w:jc w:val="left"/>
            </w:pPr>
            <w:r>
              <w:rPr>
                <w:sz w:val="17"/>
              </w:rPr>
            </w:r>
            <w:r>
              <w:rPr>
                <w:sz w:val="17"/>
              </w:rPr>
              <w:t>(30, 177) landmarks</w:t>
            </w:r>
          </w:p>
        </w:tc>
      </w:tr>
      <w:tr>
        <w:tc>
          <w:tcPr>
            <w:tcW w:type="dxa" w:w="2448"/>
          </w:tcPr>
          <w:p>
            <w:pPr>
              <w:spacing w:after="40" w:line="240" w:lineRule="auto"/>
              <w:jc w:val="left"/>
            </w:pPr>
            <w:r>
              <w:rPr>
                <w:sz w:val="17"/>
              </w:rPr>
            </w:r>
            <w:r>
              <w:rPr>
                <w:sz w:val="17"/>
              </w:rPr>
              <w:t>Classes</w:t>
            </w:r>
          </w:p>
        </w:tc>
        <w:tc>
          <w:tcPr>
            <w:tcW w:type="dxa" w:w="3456"/>
          </w:tcPr>
          <w:p>
            <w:pPr>
              <w:spacing w:after="40" w:line="240" w:lineRule="auto"/>
              <w:jc w:val="left"/>
            </w:pPr>
            <w:r>
              <w:rPr>
                <w:sz w:val="17"/>
              </w:rPr>
            </w:r>
            <w:r>
              <w:rPr>
                <w:sz w:val="17"/>
              </w:rPr>
              <w:t>250</w:t>
            </w:r>
          </w:p>
        </w:tc>
        <w:tc>
          <w:tcPr>
            <w:tcW w:type="dxa" w:w="3456"/>
          </w:tcPr>
          <w:p>
            <w:pPr>
              <w:spacing w:after="40" w:line="240" w:lineRule="auto"/>
              <w:jc w:val="left"/>
            </w:pPr>
            <w:r>
              <w:rPr>
                <w:sz w:val="17"/>
              </w:rPr>
            </w:r>
            <w:r>
              <w:rPr>
                <w:sz w:val="17"/>
              </w:rPr>
              <w:t>20</w:t>
            </w:r>
          </w:p>
        </w:tc>
      </w:tr>
      <w:tr>
        <w:tc>
          <w:tcPr>
            <w:tcW w:type="dxa" w:w="2448"/>
          </w:tcPr>
          <w:p>
            <w:pPr>
              <w:spacing w:after="40" w:line="240" w:lineRule="auto"/>
              <w:jc w:val="left"/>
            </w:pPr>
            <w:r>
              <w:rPr>
                <w:sz w:val="17"/>
              </w:rPr>
            </w:r>
            <w:r>
              <w:rPr>
                <w:sz w:val="17"/>
              </w:rPr>
              <w:t>Sequence handling</w:t>
            </w:r>
          </w:p>
        </w:tc>
        <w:tc>
          <w:tcPr>
            <w:tcW w:type="dxa" w:w="3456"/>
          </w:tcPr>
          <w:p>
            <w:pPr>
              <w:spacing w:after="40" w:line="240" w:lineRule="auto"/>
              <w:jc w:val="left"/>
            </w:pPr>
            <w:r>
              <w:rPr>
                <w:sz w:val="17"/>
              </w:rPr>
            </w:r>
            <w:r>
              <w:rPr>
                <w:sz w:val="17"/>
              </w:rPr>
              <w:t>variable length, ≤128 frames</w:t>
            </w:r>
          </w:p>
        </w:tc>
        <w:tc>
          <w:tcPr>
            <w:tcW w:type="dxa" w:w="3456"/>
          </w:tcPr>
          <w:p>
            <w:pPr>
              <w:spacing w:after="40" w:line="240" w:lineRule="auto"/>
              <w:jc w:val="left"/>
            </w:pPr>
            <w:r>
              <w:rPr>
                <w:sz w:val="17"/>
              </w:rPr>
            </w:r>
            <w:r>
              <w:rPr>
                <w:sz w:val="17"/>
              </w:rPr>
              <w:t>windows 30/45/60 → sample 30, mean-ensemble</w:t>
            </w:r>
          </w:p>
        </w:tc>
      </w:tr>
      <w:tr>
        <w:tc>
          <w:tcPr>
            <w:tcW w:type="dxa" w:w="2448"/>
          </w:tcPr>
          <w:p>
            <w:pPr>
              <w:spacing w:after="40" w:line="240" w:lineRule="auto"/>
              <w:jc w:val="left"/>
            </w:pPr>
            <w:r>
              <w:rPr>
                <w:sz w:val="17"/>
              </w:rPr>
            </w:r>
            <w:r>
              <w:rPr>
                <w:sz w:val="17"/>
              </w:rPr>
              <w:t>Confidence threshold</w:t>
            </w:r>
          </w:p>
        </w:tc>
        <w:tc>
          <w:tcPr>
            <w:tcW w:type="dxa" w:w="3456"/>
          </w:tcPr>
          <w:p>
            <w:pPr>
              <w:spacing w:after="40" w:line="240" w:lineRule="auto"/>
              <w:jc w:val="left"/>
            </w:pPr>
            <w:r>
              <w:rPr>
                <w:sz w:val="17"/>
              </w:rPr>
            </w:r>
            <w:r>
              <w:rPr>
                <w:sz w:val="17"/>
              </w:rPr>
              <w:t>0.50 (soft-max)</w:t>
            </w:r>
          </w:p>
        </w:tc>
        <w:tc>
          <w:tcPr>
            <w:tcW w:type="dxa" w:w="3456"/>
          </w:tcPr>
          <w:p>
            <w:pPr>
              <w:spacing w:after="40" w:line="240" w:lineRule="auto"/>
              <w:jc w:val="left"/>
            </w:pPr>
            <w:r>
              <w:rPr>
                <w:sz w:val="17"/>
              </w:rPr>
            </w:r>
            <w:r>
              <w:rPr>
                <w:sz w:val="17"/>
              </w:rPr>
              <w:t>0.45 (soft-max)</w:t>
            </w:r>
          </w:p>
        </w:tc>
      </w:tr>
      <w:tr>
        <w:tc>
          <w:tcPr>
            <w:tcW w:type="dxa" w:w="2448"/>
          </w:tcPr>
          <w:p>
            <w:pPr>
              <w:spacing w:after="40" w:line="240" w:lineRule="auto"/>
              <w:jc w:val="left"/>
            </w:pPr>
            <w:r>
              <w:rPr>
                <w:sz w:val="17"/>
              </w:rPr>
            </w:r>
            <w:r>
              <w:rPr>
                <w:sz w:val="17"/>
              </w:rPr>
              <w:t>Quantization</w:t>
            </w:r>
          </w:p>
        </w:tc>
        <w:tc>
          <w:tcPr>
            <w:tcW w:type="dxa" w:w="3456"/>
          </w:tcPr>
          <w:p>
            <w:pPr>
              <w:spacing w:after="40" w:line="240" w:lineRule="auto"/>
              <w:jc w:val="left"/>
            </w:pPr>
            <w:r>
              <w:rPr>
                <w:sz w:val="17"/>
              </w:rPr>
            </w:r>
            <w:r>
              <w:rPr>
                <w:sz w:val="17"/>
              </w:rPr>
              <w:t>float (XNNPACK)</w:t>
            </w:r>
          </w:p>
        </w:tc>
        <w:tc>
          <w:tcPr>
            <w:tcW w:type="dxa" w:w="3456"/>
          </w:tcPr>
          <w:p>
            <w:pPr>
              <w:spacing w:after="40" w:line="240" w:lineRule="auto"/>
              <w:jc w:val="left"/>
            </w:pPr>
            <w:r>
              <w:rPr>
                <w:sz w:val="17"/>
              </w:rPr>
            </w:r>
            <w:r>
              <w:rPr>
                <w:sz w:val="17"/>
              </w:rPr>
              <w:t>INT8 dynamic (Linear+GRU)</w:t>
            </w:r>
          </w:p>
        </w:tc>
      </w:tr>
      <w:tr>
        <w:tc>
          <w:tcPr>
            <w:tcW w:type="dxa" w:w="2448"/>
          </w:tcPr>
          <w:p>
            <w:pPr>
              <w:spacing w:after="40" w:line="240" w:lineRule="auto"/>
              <w:jc w:val="left"/>
            </w:pPr>
            <w:r>
              <w:rPr>
                <w:sz w:val="17"/>
              </w:rPr>
            </w:r>
            <w:r>
              <w:rPr>
                <w:sz w:val="17"/>
              </w:rPr>
              <w:t>Optimizer / LR / epochs</w:t>
            </w:r>
          </w:p>
        </w:tc>
        <w:tc>
          <w:tcPr>
            <w:tcW w:type="dxa" w:w="3456"/>
          </w:tcPr>
          <w:p>
            <w:pPr>
              <w:spacing w:after="40" w:line="240" w:lineRule="auto"/>
              <w:jc w:val="left"/>
            </w:pPr>
            <w:r>
              <w:rPr>
                <w:sz w:val="17"/>
              </w:rPr>
            </w:r>
            <w:r>
              <w:rPr>
                <w:b/>
                <w:color w:val="B01A1A"/>
                <w:sz w:val="17"/>
              </w:rPr>
              <w:t>⚠ GAP: not recorded in repo</w:t>
            </w:r>
          </w:p>
        </w:tc>
        <w:tc>
          <w:tcPr>
            <w:tcW w:type="dxa" w:w="3456"/>
          </w:tcPr>
          <w:p>
            <w:pPr>
              <w:spacing w:after="40" w:line="240" w:lineRule="auto"/>
              <w:jc w:val="left"/>
            </w:pPr>
            <w:r>
              <w:rPr>
                <w:sz w:val="17"/>
              </w:rPr>
            </w:r>
            <w:r>
              <w:rPr>
                <w:b/>
                <w:color w:val="B01A1A"/>
                <w:sz w:val="17"/>
              </w:rPr>
              <w:t>⚠ GAP: not recorded in repo</w:t>
            </w:r>
          </w:p>
        </w:tc>
      </w:tr>
      <w:tr>
        <w:tc>
          <w:tcPr>
            <w:tcW w:type="dxa" w:w="2448"/>
          </w:tcPr>
          <w:p>
            <w:pPr>
              <w:spacing w:after="40" w:line="240" w:lineRule="auto"/>
              <w:jc w:val="left"/>
            </w:pPr>
            <w:r>
              <w:rPr>
                <w:sz w:val="17"/>
              </w:rPr>
            </w:r>
            <w:r>
              <w:rPr>
                <w:sz w:val="17"/>
              </w:rPr>
              <w:t>Batch size / loss</w:t>
            </w:r>
          </w:p>
        </w:tc>
        <w:tc>
          <w:tcPr>
            <w:tcW w:type="dxa" w:w="3456"/>
          </w:tcPr>
          <w:p>
            <w:pPr>
              <w:spacing w:after="40" w:line="240" w:lineRule="auto"/>
              <w:jc w:val="left"/>
            </w:pPr>
            <w:r>
              <w:rPr>
                <w:sz w:val="17"/>
              </w:rPr>
            </w:r>
            <w:r>
              <w:rPr>
                <w:b/>
                <w:color w:val="B01A1A"/>
                <w:sz w:val="17"/>
              </w:rPr>
              <w:t>⚠ GAP: not recorded</w:t>
            </w:r>
          </w:p>
        </w:tc>
        <w:tc>
          <w:tcPr>
            <w:tcW w:type="dxa" w:w="3456"/>
          </w:tcPr>
          <w:p>
            <w:pPr>
              <w:spacing w:after="40" w:line="240" w:lineRule="auto"/>
              <w:jc w:val="left"/>
            </w:pPr>
            <w:r>
              <w:rPr>
                <w:sz w:val="17"/>
              </w:rPr>
            </w:r>
            <w:r>
              <w:rPr>
                <w:b/>
                <w:color w:val="B01A1A"/>
                <w:sz w:val="17"/>
              </w:rPr>
              <w:t>⚠ GAP: not recorded</w:t>
            </w:r>
          </w:p>
        </w:tc>
      </w:tr>
      <w:tr>
        <w:tc>
          <w:tcPr>
            <w:tcW w:type="dxa" w:w="2448"/>
          </w:tcPr>
          <w:p>
            <w:pPr>
              <w:spacing w:after="40" w:line="240" w:lineRule="auto"/>
              <w:jc w:val="left"/>
            </w:pPr>
            <w:r>
              <w:rPr>
                <w:sz w:val="17"/>
              </w:rPr>
            </w:r>
            <w:r>
              <w:rPr>
                <w:sz w:val="17"/>
              </w:rPr>
              <w:t>Augmentation</w:t>
            </w:r>
          </w:p>
        </w:tc>
        <w:tc>
          <w:tcPr>
            <w:tcW w:type="dxa" w:w="3456"/>
          </w:tcPr>
          <w:p>
            <w:pPr>
              <w:spacing w:after="40" w:line="240" w:lineRule="auto"/>
              <w:jc w:val="left"/>
            </w:pPr>
            <w:r>
              <w:rPr>
                <w:sz w:val="17"/>
              </w:rPr>
            </w:r>
            <w:r>
              <w:rPr>
                <w:b/>
                <w:color w:val="B01A1A"/>
                <w:sz w:val="17"/>
              </w:rPr>
              <w:t>⚠ GAP: not recorded</w:t>
            </w:r>
          </w:p>
        </w:tc>
        <w:tc>
          <w:tcPr>
            <w:tcW w:type="dxa" w:w="3456"/>
          </w:tcPr>
          <w:p>
            <w:pPr>
              <w:spacing w:after="40" w:line="240" w:lineRule="auto"/>
              <w:jc w:val="left"/>
            </w:pPr>
            <w:r>
              <w:rPr>
                <w:sz w:val="17"/>
              </w:rPr>
            </w:r>
            <w:r>
              <w:rPr>
                <w:b/>
                <w:color w:val="B01A1A"/>
                <w:sz w:val="17"/>
              </w:rPr>
              <w:t>⚠ GAP: not recorded</w:t>
            </w:r>
          </w:p>
        </w:tc>
      </w:tr>
    </w:tbl>
    <w:p>
      <w:pPr>
        <w:spacing w:after="40"/>
      </w:pPr>
    </w:p>
    <w:p>
      <w:pPr>
        <w:pStyle w:val="Heading3"/>
      </w:pPr>
      <w:r>
        <w:t>3.5.1 Language Layer and Output</w:t>
      </w:r>
    </w:p>
    <w:p>
      <w:pPr>
        <w:jc w:val="both"/>
      </w:pPr>
      <w:r>
        <w:t xml:space="preserve">Because a sign language is not a word-for-word transcription of speech, recognized signs cannot simply be concatenated. The gloss engine (app/server/gloss.py) bridges the two grammars in both directions using few-shot prompting through the provider abstraction. gloss_to_sentence turns Topic-Comment gloss such as “STORE I GO” into “I am going to the store”, and english_to_gloss does the reverse, dropping English articles and copulas and re-ordering to Topic-Comment; both degrade gracefully to a deterministic rule-based gloss when no language model is reachable. A bounded 256-entry cache keyed on (gloss, language) eliminates repeated model round-trips for the recurring gloss of a conversation. The engine also annotates </w:t>
      </w:r>
      <w:r>
        <w:rPr>
          <w:b/>
        </w:rPr>
        <w:t>non-manual markers</w:t>
      </w:r>
      <w:r>
        <w:t xml:space="preserve"> — the facial grammar that distinguishes, for example, a wh-question (furrowed brows) from a yes/no question (raised brows) — which the avatar layer can render (docs/GLOSS_AND_NMM.md).</w:t>
      </w:r>
    </w:p>
    <w:p>
      <w:pPr>
        <w:jc w:val="both"/>
      </w:pPr>
      <w:r>
        <w:t xml:space="preserve">The reverse, text-to-sign path retrieves animation from the sign database. Each word is matched to a stored sign by </w:t>
      </w:r>
      <w:r>
        <w:rPr>
          <w:b/>
        </w:rPr>
        <w:t>semantic search</w:t>
      </w:r>
      <w:r>
        <w:t xml:space="preserve">: the query is embedded with Sentence-BERT </w:t>
      </w:r>
      <w:hyperlink w:anchor="ref5">
        <w:r>
          <w:rPr>
            <w:rStyle w:val="Hyperlink"/>
            <w:color w:val="2F6DB5"/>
          </w:rPr>
          <w:t xml:space="preserve">[5]</w:t>
        </w:r>
      </w:hyperlink>
      <w:r>
        <w:t xml:space="preserve"> (the distilled all-MiniLM-L6-v2 encoder </w:t>
      </w:r>
      <w:hyperlink w:anchor="ref6">
        <w:r>
          <w:rPr>
            <w:rStyle w:val="Hyperlink"/>
            <w:color w:val="2F6DB5"/>
          </w:rPr>
          <w:t xml:space="preserve">[6]</w:t>
        </w:r>
      </w:hyperlink>
      <w:r>
        <w:t xml:space="preserve">, 384 dimensions) and compared by cosine distance to the indexed sign embeddings in PostgreSQL/pgvector, accepting a match within a language-specific distance (0.35 for English, 0.55 for Arabic). The matched sign's landmark sequence is loaded from the .npz store and streamed to the browser, where the landmark-player renders it on a canvas avatar. Words with no dedicated sign are synthesised by </w:t>
      </w:r>
      <w:r>
        <w:rPr>
          <w:b/>
        </w:rPr>
        <w:t>fingerspelling</w:t>
      </w:r>
      <w:r>
        <w:t>: gloss_and_stitch concatenates one clip per letter and removes the visible jerk at each boundary with a short linearly-interpolated bridge and a Savitzky–Golay filter (stitch.py), leaving MediaPipe's NaN gaps untouched so they are not corrupted.</w:t>
      </w:r>
    </w:p>
    <w:p>
      <w:pPr>
        <w:jc w:val="both"/>
      </w:pPr>
      <w:r>
        <w:t>Speech output and input are handled by pluggable provider chains (app/server/providers/): the default is Google Gemini for LLM, TTS and STT, with automatic fall-back to a local Ollama model, pyttsx3 and faster-whisper respectively when a cloud key is absent or a call fails. The browser additionally uses the native Web Speech API for low-latency speech where available. The application is run with python start_server.py (or via docker-compose up), which sets thread/ML environment guards before importing PyTorch and serves the Socket.IO ASGI app with uvicorn; the REST and Socket.IO surface is summarised in Table 10.</w:t>
      </w:r>
    </w:p>
    <w:p>
      <w:pPr>
        <w:spacing w:before="160" w:after="40"/>
      </w:pPr>
      <w:r>
        <w:rPr>
          <w:b/>
          <w:color w:val="444444"/>
          <w:sz w:val="20"/>
        </w:rPr>
        <w:t xml:space="preserve">Table </w:t>
      </w:r>
      <w:fldSimple w:instr=" SEQ Table \* ARABIC ">
        <w:r>
          <w:t>10</w:t>
        </w:r>
      </w:fldSimple>
      <w:r>
        <w:rPr>
          <w:b/>
          <w:color w:val="444444"/>
          <w:sz w:val="20"/>
        </w:rPr>
        <w:t>: Principal REST and Socket.IO API surface.</w:t>
      </w:r>
    </w:p>
    <w:tbl>
      <w:tblPr>
        <w:tblStyle w:val="TableGrid"/>
        <w:tblW w:type="auto" w:w="0"/>
        <w:jc w:val="center"/>
        <w:tblLook w:firstColumn="1" w:firstRow="1" w:lastColumn="0" w:lastRow="0" w:noHBand="0" w:noVBand="1" w:val="04A0"/>
        <w:tblBorders>
          <w:top w:val="single" w:sz="6" w:space="0" w:color="9BB3CC"/>
          <w:left w:val="single" w:sz="6" w:space="0" w:color="9BB3CC"/>
          <w:bottom w:val="single" w:sz="6" w:space="0" w:color="9BB3CC"/>
          <w:right w:val="single" w:sz="6" w:space="0" w:color="9BB3CC"/>
          <w:insideH w:val="single" w:sz="6" w:space="0" w:color="9BB3CC"/>
          <w:insideV w:val="single" w:sz="6" w:space="0" w:color="9BB3CC"/>
        </w:tblBorders>
      </w:tblPr>
      <w:tblGrid>
        <w:gridCol w:w="4680"/>
        <w:gridCol w:w="4680"/>
      </w:tblGrid>
      <w:tr>
        <w:tc>
          <w:tcPr>
            <w:tcW w:type="dxa" w:w="3888"/>
            <w:shd w:val="clear" w:color="auto" w:fill="2F6DB5"/>
          </w:tcPr>
          <w:p>
            <w:pPr>
              <w:jc w:val="left"/>
            </w:pPr>
            <w:r/>
            <w:r>
              <w:rPr>
                <w:b/>
                <w:color w:val="FFFFFF"/>
                <w:sz w:val="18"/>
              </w:rPr>
              <w:t>Endpoint / event</w:t>
            </w:r>
          </w:p>
        </w:tc>
        <w:tc>
          <w:tcPr>
            <w:tcW w:type="dxa" w:w="5184"/>
            <w:shd w:val="clear" w:color="auto" w:fill="2F6DB5"/>
          </w:tcPr>
          <w:p>
            <w:pPr>
              <w:jc w:val="left"/>
            </w:pPr>
            <w:r/>
            <w:r>
              <w:rPr>
                <w:b/>
                <w:color w:val="FFFFFF"/>
                <w:sz w:val="18"/>
              </w:rPr>
              <w:t>Purpose</w:t>
            </w:r>
          </w:p>
        </w:tc>
      </w:tr>
      <w:tr>
        <w:tc>
          <w:tcPr>
            <w:tcW w:type="dxa" w:w="3888"/>
          </w:tcPr>
          <w:p>
            <w:pPr>
              <w:spacing w:after="40" w:line="240" w:lineRule="auto"/>
              <w:jc w:val="left"/>
            </w:pPr>
            <w:r>
              <w:rPr>
                <w:sz w:val="18"/>
              </w:rPr>
            </w:r>
            <w:r>
              <w:rPr>
                <w:sz w:val="18"/>
              </w:rPr>
              <w:t>POST /api/translate</w:t>
            </w:r>
          </w:p>
        </w:tc>
        <w:tc>
          <w:tcPr>
            <w:tcW w:type="dxa" w:w="5184"/>
          </w:tcPr>
          <w:p>
            <w:pPr>
              <w:spacing w:after="40" w:line="240" w:lineRule="auto"/>
              <w:jc w:val="left"/>
            </w:pPr>
            <w:r>
              <w:rPr>
                <w:sz w:val="18"/>
              </w:rPr>
            </w:r>
            <w:r>
              <w:rPr>
                <w:sz w:val="18"/>
              </w:rPr>
              <w:t>Run TFLite (ASL) or PyTorch (ArSL) inference on a landmark window</w:t>
            </w:r>
          </w:p>
        </w:tc>
      </w:tr>
      <w:tr>
        <w:tc>
          <w:tcPr>
            <w:tcW w:type="dxa" w:w="3888"/>
          </w:tcPr>
          <w:p>
            <w:pPr>
              <w:spacing w:after="40" w:line="240" w:lineRule="auto"/>
              <w:jc w:val="left"/>
            </w:pPr>
            <w:r>
              <w:rPr>
                <w:sz w:val="18"/>
              </w:rPr>
            </w:r>
            <w:r>
              <w:rPr>
                <w:sz w:val="18"/>
              </w:rPr>
              <w:t>POST /api/translate/sentence</w:t>
            </w:r>
          </w:p>
        </w:tc>
        <w:tc>
          <w:tcPr>
            <w:tcW w:type="dxa" w:w="5184"/>
          </w:tcPr>
          <w:p>
            <w:pPr>
              <w:spacing w:after="40" w:line="240" w:lineRule="auto"/>
              <w:jc w:val="left"/>
            </w:pPr>
            <w:r>
              <w:rPr>
                <w:sz w:val="18"/>
              </w:rPr>
            </w:r>
            <w:r>
              <w:rPr>
                <w:sz w:val="18"/>
              </w:rPr>
              <w:t>Convert recognized gloss to a natural sentence (cached LLM)</w:t>
            </w:r>
          </w:p>
        </w:tc>
      </w:tr>
      <w:tr>
        <w:tc>
          <w:tcPr>
            <w:tcW w:type="dxa" w:w="3888"/>
          </w:tcPr>
          <w:p>
            <w:pPr>
              <w:spacing w:after="40" w:line="240" w:lineRule="auto"/>
              <w:jc w:val="left"/>
            </w:pPr>
            <w:r>
              <w:rPr>
                <w:sz w:val="18"/>
              </w:rPr>
            </w:r>
            <w:r>
              <w:rPr>
                <w:sz w:val="18"/>
              </w:rPr>
              <w:t>POST /api/gloss</w:t>
            </w:r>
          </w:p>
        </w:tc>
        <w:tc>
          <w:tcPr>
            <w:tcW w:type="dxa" w:w="5184"/>
          </w:tcPr>
          <w:p>
            <w:pPr>
              <w:spacing w:after="40" w:line="240" w:lineRule="auto"/>
              <w:jc w:val="left"/>
            </w:pPr>
            <w:r>
              <w:rPr>
                <w:sz w:val="18"/>
              </w:rPr>
            </w:r>
            <w:r>
              <w:rPr>
                <w:sz w:val="18"/>
              </w:rPr>
              <w:t>Convert a sentence to gloss + non-manual markers</w:t>
            </w:r>
          </w:p>
        </w:tc>
      </w:tr>
      <w:tr>
        <w:tc>
          <w:tcPr>
            <w:tcW w:type="dxa" w:w="3888"/>
          </w:tcPr>
          <w:p>
            <w:pPr>
              <w:spacing w:after="40" w:line="240" w:lineRule="auto"/>
              <w:jc w:val="left"/>
            </w:pPr>
            <w:r>
              <w:rPr>
                <w:sz w:val="18"/>
              </w:rPr>
            </w:r>
            <w:r>
              <w:rPr>
                <w:sz w:val="18"/>
              </w:rPr>
              <w:t>GET /api/tts · POST /api/stt</w:t>
            </w:r>
          </w:p>
        </w:tc>
        <w:tc>
          <w:tcPr>
            <w:tcW w:type="dxa" w:w="5184"/>
          </w:tcPr>
          <w:p>
            <w:pPr>
              <w:spacing w:after="40" w:line="240" w:lineRule="auto"/>
              <w:jc w:val="left"/>
            </w:pPr>
            <w:r>
              <w:rPr>
                <w:sz w:val="18"/>
              </w:rPr>
            </w:r>
            <w:r>
              <w:rPr>
                <w:sz w:val="18"/>
              </w:rPr>
              <w:t>Speech synthesis / recognition via the provider chains</w:t>
            </w:r>
          </w:p>
        </w:tc>
      </w:tr>
      <w:tr>
        <w:tc>
          <w:tcPr>
            <w:tcW w:type="dxa" w:w="3888"/>
          </w:tcPr>
          <w:p>
            <w:pPr>
              <w:spacing w:after="40" w:line="240" w:lineRule="auto"/>
              <w:jc w:val="left"/>
            </w:pPr>
            <w:r>
              <w:rPr>
                <w:sz w:val="18"/>
              </w:rPr>
            </w:r>
            <w:r>
              <w:rPr>
                <w:sz w:val="18"/>
              </w:rPr>
              <w:t>POST /api/signs/batch · /api/signs_ar/batch</w:t>
            </w:r>
          </w:p>
        </w:tc>
        <w:tc>
          <w:tcPr>
            <w:tcW w:type="dxa" w:w="5184"/>
          </w:tcPr>
          <w:p>
            <w:pPr>
              <w:spacing w:after="40" w:line="240" w:lineRule="auto"/>
              <w:jc w:val="left"/>
            </w:pPr>
            <w:r>
              <w:rPr>
                <w:sz w:val="18"/>
              </w:rPr>
            </w:r>
            <w:r>
              <w:rPr>
                <w:sz w:val="18"/>
              </w:rPr>
              <w:t>Look up landmark sequences for words (text-to-sign)</w:t>
            </w:r>
          </w:p>
        </w:tc>
      </w:tr>
      <w:tr>
        <w:tc>
          <w:tcPr>
            <w:tcW w:type="dxa" w:w="3888"/>
          </w:tcPr>
          <w:p>
            <w:pPr>
              <w:spacing w:after="40" w:line="240" w:lineRule="auto"/>
              <w:jc w:val="left"/>
            </w:pPr>
            <w:r>
              <w:rPr>
                <w:sz w:val="18"/>
              </w:rPr>
            </w:r>
            <w:r>
              <w:rPr>
                <w:sz w:val="18"/>
              </w:rPr>
              <w:t>GET /api/health · /api/metrics</w:t>
            </w:r>
          </w:p>
        </w:tc>
        <w:tc>
          <w:tcPr>
            <w:tcW w:type="dxa" w:w="5184"/>
          </w:tcPr>
          <w:p>
            <w:pPr>
              <w:spacing w:after="40" w:line="240" w:lineRule="auto"/>
              <w:jc w:val="left"/>
            </w:pPr>
            <w:r>
              <w:rPr>
                <w:sz w:val="18"/>
              </w:rPr>
            </w:r>
            <w:r>
              <w:rPr>
                <w:sz w:val="18"/>
              </w:rPr>
              <w:t>Health and per-stage latency metrics</w:t>
            </w:r>
          </w:p>
        </w:tc>
      </w:tr>
      <w:tr>
        <w:tc>
          <w:tcPr>
            <w:tcW w:type="dxa" w:w="3888"/>
          </w:tcPr>
          <w:p>
            <w:pPr>
              <w:spacing w:after="40" w:line="240" w:lineRule="auto"/>
              <w:jc w:val="left"/>
            </w:pPr>
            <w:r>
              <w:rPr>
                <w:sz w:val="18"/>
              </w:rPr>
            </w:r>
            <w:r>
              <w:rPr>
                <w:sz w:val="18"/>
              </w:rPr>
              <w:t>POST /api/auth/{signup,login,refresh,logout}</w:t>
            </w:r>
          </w:p>
        </w:tc>
        <w:tc>
          <w:tcPr>
            <w:tcW w:type="dxa" w:w="5184"/>
          </w:tcPr>
          <w:p>
            <w:pPr>
              <w:spacing w:after="40" w:line="240" w:lineRule="auto"/>
              <w:jc w:val="left"/>
            </w:pPr>
            <w:r>
              <w:rPr>
                <w:sz w:val="18"/>
              </w:rPr>
            </w:r>
            <w:r>
              <w:rPr>
                <w:sz w:val="18"/>
              </w:rPr>
              <w:t>Authentication with rotating refresh tokens</w:t>
            </w:r>
          </w:p>
        </w:tc>
      </w:tr>
      <w:tr>
        <w:tc>
          <w:tcPr>
            <w:tcW w:type="dxa" w:w="3888"/>
          </w:tcPr>
          <w:p>
            <w:pPr>
              <w:spacing w:after="40" w:line="240" w:lineRule="auto"/>
              <w:jc w:val="left"/>
            </w:pPr>
            <w:r>
              <w:rPr>
                <w:sz w:val="18"/>
              </w:rPr>
            </w:r>
            <w:r>
              <w:rPr>
                <w:sz w:val="18"/>
              </w:rPr>
              <w:t>Socket.IO sign_start/sign_frame/sign_stop</w:t>
            </w:r>
          </w:p>
        </w:tc>
        <w:tc>
          <w:tcPr>
            <w:tcW w:type="dxa" w:w="5184"/>
          </w:tcPr>
          <w:p>
            <w:pPr>
              <w:spacing w:after="40" w:line="240" w:lineRule="auto"/>
              <w:jc w:val="left"/>
            </w:pPr>
            <w:r>
              <w:rPr>
                <w:sz w:val="18"/>
              </w:rPr>
            </w:r>
            <w:r>
              <w:rPr>
                <w:sz w:val="18"/>
              </w:rPr>
              <w:t>Live streaming recognition</w:t>
            </w:r>
          </w:p>
        </w:tc>
      </w:tr>
      <w:tr>
        <w:tc>
          <w:tcPr>
            <w:tcW w:type="dxa" w:w="3888"/>
          </w:tcPr>
          <w:p>
            <w:pPr>
              <w:spacing w:after="40" w:line="240" w:lineRule="auto"/>
              <w:jc w:val="left"/>
            </w:pPr>
            <w:r>
              <w:rPr>
                <w:sz w:val="18"/>
              </w:rPr>
            </w:r>
            <w:r>
              <w:rPr>
                <w:sz w:val="18"/>
              </w:rPr>
              <w:t>Socket.IO join_room, webrtc_offer/answer/ice_candidate</w:t>
            </w:r>
          </w:p>
        </w:tc>
        <w:tc>
          <w:tcPr>
            <w:tcW w:type="dxa" w:w="5184"/>
          </w:tcPr>
          <w:p>
            <w:pPr>
              <w:spacing w:after="40" w:line="240" w:lineRule="auto"/>
              <w:jc w:val="left"/>
            </w:pPr>
            <w:r>
              <w:rPr>
                <w:sz w:val="18"/>
              </w:rPr>
            </w:r>
            <w:r>
              <w:rPr>
                <w:sz w:val="18"/>
              </w:rPr>
              <w:t>WebRTC meeting signalling (mesh, up to 6 peers)</w:t>
            </w:r>
          </w:p>
        </w:tc>
      </w:tr>
    </w:tbl>
    <w:p>
      <w:pPr>
        <w:spacing w:after="40"/>
      </w:pPr>
    </w:p>
    <w:p>
      <w:pPr>
        <w:pStyle w:val="Heading2"/>
      </w:pPr>
      <w:r>
        <w:t>3.6 Testing, Validation and Results</w:t>
      </w:r>
    </w:p>
    <w:p>
      <w:pPr>
        <w:jc w:val="both"/>
      </w:pPr>
      <w:r>
        <w:t>The system is validated at two levels: an automated software test suite that guards functional correctness, and an offline model evaluation that measures recognition accuracy. The pytest suite under tests/ covers authentication (hashing, JWT, rate limiting), the gloss engine and non-manual markers, the provider fall-back chains, the fingerspelling stitcher, the profiling utilities, and a frontend regression module that renders every template and asserts the invariants that broke during the redesign. The continuous-integration workflow runs the lightweight subset (authentication and templates) on every push. Table 11 lists representative test cases and their outcomes.</w:t>
      </w:r>
    </w:p>
    <w:p>
      <w:pPr>
        <w:spacing w:before="160" w:after="40"/>
      </w:pPr>
      <w:r>
        <w:rPr>
          <w:b/>
          <w:color w:val="444444"/>
          <w:sz w:val="20"/>
        </w:rPr>
        <w:t xml:space="preserve">Table </w:t>
      </w:r>
      <w:fldSimple w:instr=" SEQ Table \* ARABIC ">
        <w:r>
          <w:t>11</w:t>
        </w:r>
      </w:fldSimple>
      <w:r>
        <w:rPr>
          <w:b/>
          <w:color w:val="444444"/>
          <w:sz w:val="20"/>
        </w:rPr>
        <w:t>: Representative functional test cases and outcomes.</w:t>
      </w:r>
    </w:p>
    <w:tbl>
      <w:tblPr>
        <w:tblStyle w:val="TableGrid"/>
        <w:tblW w:type="auto" w:w="0"/>
        <w:jc w:val="center"/>
        <w:tblLook w:firstColumn="1" w:firstRow="1" w:lastColumn="0" w:lastRow="0" w:noHBand="0" w:noVBand="1" w:val="04A0"/>
        <w:tblBorders>
          <w:top w:val="single" w:sz="6" w:space="0" w:color="9BB3CC"/>
          <w:left w:val="single" w:sz="6" w:space="0" w:color="9BB3CC"/>
          <w:bottom w:val="single" w:sz="6" w:space="0" w:color="9BB3CC"/>
          <w:right w:val="single" w:sz="6" w:space="0" w:color="9BB3CC"/>
          <w:insideH w:val="single" w:sz="6" w:space="0" w:color="9BB3CC"/>
          <w:insideV w:val="single" w:sz="6" w:space="0" w:color="9BB3CC"/>
        </w:tblBorders>
      </w:tblPr>
      <w:tblGrid>
        <w:gridCol w:w="2340"/>
        <w:gridCol w:w="2340"/>
        <w:gridCol w:w="2340"/>
        <w:gridCol w:w="2340"/>
      </w:tblGrid>
      <w:tr>
        <w:tc>
          <w:tcPr>
            <w:tcW w:type="dxa" w:w="2736"/>
            <w:shd w:val="clear" w:color="auto" w:fill="2F6DB5"/>
          </w:tcPr>
          <w:p>
            <w:pPr>
              <w:jc w:val="left"/>
            </w:pPr>
            <w:r/>
            <w:r>
              <w:rPr>
                <w:b/>
                <w:color w:val="FFFFFF"/>
                <w:sz w:val="17"/>
              </w:rPr>
              <w:t>Test (module)</w:t>
            </w:r>
          </w:p>
        </w:tc>
        <w:tc>
          <w:tcPr>
            <w:tcW w:type="dxa" w:w="2160"/>
            <w:shd w:val="clear" w:color="auto" w:fill="2F6DB5"/>
          </w:tcPr>
          <w:p>
            <w:pPr>
              <w:jc w:val="left"/>
            </w:pPr>
            <w:r/>
            <w:r>
              <w:rPr>
                <w:b/>
                <w:color w:val="FFFFFF"/>
                <w:sz w:val="17"/>
              </w:rPr>
              <w:t>Input</w:t>
            </w:r>
          </w:p>
        </w:tc>
        <w:tc>
          <w:tcPr>
            <w:tcW w:type="dxa" w:w="2880"/>
            <w:shd w:val="clear" w:color="auto" w:fill="2F6DB5"/>
          </w:tcPr>
          <w:p>
            <w:pPr>
              <w:jc w:val="left"/>
            </w:pPr>
            <w:r/>
            <w:r>
              <w:rPr>
                <w:b/>
                <w:color w:val="FFFFFF"/>
                <w:sz w:val="17"/>
              </w:rPr>
              <w:t>Expected</w:t>
            </w:r>
          </w:p>
        </w:tc>
        <w:tc>
          <w:tcPr>
            <w:tcW w:type="dxa" w:w="1152"/>
            <w:shd w:val="clear" w:color="auto" w:fill="2F6DB5"/>
          </w:tcPr>
          <w:p>
            <w:pPr>
              <w:jc w:val="left"/>
            </w:pPr>
            <w:r/>
            <w:r>
              <w:rPr>
                <w:b/>
                <w:color w:val="FFFFFF"/>
                <w:sz w:val="17"/>
              </w:rPr>
              <w:t>Result</w:t>
            </w:r>
          </w:p>
        </w:tc>
      </w:tr>
      <w:tr>
        <w:tc>
          <w:tcPr>
            <w:tcW w:type="dxa" w:w="2736"/>
          </w:tcPr>
          <w:p>
            <w:pPr>
              <w:spacing w:after="40" w:line="240" w:lineRule="auto"/>
              <w:jc w:val="left"/>
            </w:pPr>
            <w:r>
              <w:rPr>
                <w:sz w:val="17"/>
              </w:rPr>
            </w:r>
            <w:r>
              <w:rPr>
                <w:sz w:val="17"/>
              </w:rPr>
              <w:t>Password hashing (test_auth)</w:t>
            </w:r>
          </w:p>
        </w:tc>
        <w:tc>
          <w:tcPr>
            <w:tcW w:type="dxa" w:w="2160"/>
          </w:tcPr>
          <w:p>
            <w:pPr>
              <w:spacing w:after="40" w:line="240" w:lineRule="auto"/>
              <w:jc w:val="left"/>
            </w:pPr>
            <w:r>
              <w:rPr>
                <w:sz w:val="17"/>
              </w:rPr>
            </w:r>
            <w:r>
              <w:rPr>
                <w:sz w:val="17"/>
              </w:rPr>
              <w:t>New password</w:t>
            </w:r>
          </w:p>
        </w:tc>
        <w:tc>
          <w:tcPr>
            <w:tcW w:type="dxa" w:w="2880"/>
          </w:tcPr>
          <w:p>
            <w:pPr>
              <w:spacing w:after="40" w:line="240" w:lineRule="auto"/>
              <w:jc w:val="left"/>
            </w:pPr>
            <w:r>
              <w:rPr>
                <w:sz w:val="17"/>
              </w:rPr>
            </w:r>
            <w:r>
              <w:rPr>
                <w:sz w:val="17"/>
              </w:rPr>
              <w:t>Argon2id hash; verify true; wrong password false</w:t>
            </w:r>
          </w:p>
        </w:tc>
        <w:tc>
          <w:tcPr>
            <w:tcW w:type="dxa" w:w="1152"/>
          </w:tcPr>
          <w:p>
            <w:pPr>
              <w:spacing w:after="40" w:line="240" w:lineRule="auto"/>
              <w:jc w:val="left"/>
            </w:pPr>
            <w:r>
              <w:rPr>
                <w:sz w:val="17"/>
              </w:rPr>
            </w:r>
            <w:r>
              <w:rPr>
                <w:sz w:val="17"/>
              </w:rPr>
              <w:t>Pass</w:t>
            </w:r>
          </w:p>
        </w:tc>
      </w:tr>
      <w:tr>
        <w:tc>
          <w:tcPr>
            <w:tcW w:type="dxa" w:w="2736"/>
          </w:tcPr>
          <w:p>
            <w:pPr>
              <w:spacing w:after="40" w:line="240" w:lineRule="auto"/>
              <w:jc w:val="left"/>
            </w:pPr>
            <w:r>
              <w:rPr>
                <w:sz w:val="17"/>
              </w:rPr>
            </w:r>
            <w:r>
              <w:rPr>
                <w:sz w:val="17"/>
              </w:rPr>
              <w:t>Legacy upgrade (test_auth)</w:t>
            </w:r>
          </w:p>
        </w:tc>
        <w:tc>
          <w:tcPr>
            <w:tcW w:type="dxa" w:w="2160"/>
          </w:tcPr>
          <w:p>
            <w:pPr>
              <w:spacing w:after="40" w:line="240" w:lineRule="auto"/>
              <w:jc w:val="left"/>
            </w:pPr>
            <w:r>
              <w:rPr>
                <w:sz w:val="17"/>
              </w:rPr>
            </w:r>
            <w:r>
              <w:rPr>
                <w:sz w:val="17"/>
              </w:rPr>
              <w:t>bcrypt hash</w:t>
            </w:r>
          </w:p>
        </w:tc>
        <w:tc>
          <w:tcPr>
            <w:tcW w:type="dxa" w:w="2880"/>
          </w:tcPr>
          <w:p>
            <w:pPr>
              <w:spacing w:after="40" w:line="240" w:lineRule="auto"/>
              <w:jc w:val="left"/>
            </w:pPr>
            <w:r>
              <w:rPr>
                <w:sz w:val="17"/>
              </w:rPr>
            </w:r>
            <w:r>
              <w:rPr>
                <w:sz w:val="17"/>
              </w:rPr>
              <w:t>needs_rehash() true; upgraded on login</w:t>
            </w:r>
          </w:p>
        </w:tc>
        <w:tc>
          <w:tcPr>
            <w:tcW w:type="dxa" w:w="1152"/>
          </w:tcPr>
          <w:p>
            <w:pPr>
              <w:spacing w:after="40" w:line="240" w:lineRule="auto"/>
              <w:jc w:val="left"/>
            </w:pPr>
            <w:r>
              <w:rPr>
                <w:sz w:val="17"/>
              </w:rPr>
            </w:r>
            <w:r>
              <w:rPr>
                <w:sz w:val="17"/>
              </w:rPr>
              <w:t>Pass</w:t>
            </w:r>
          </w:p>
        </w:tc>
      </w:tr>
      <w:tr>
        <w:tc>
          <w:tcPr>
            <w:tcW w:type="dxa" w:w="2736"/>
          </w:tcPr>
          <w:p>
            <w:pPr>
              <w:spacing w:after="40" w:line="240" w:lineRule="auto"/>
              <w:jc w:val="left"/>
            </w:pPr>
            <w:r>
              <w:rPr>
                <w:sz w:val="17"/>
              </w:rPr>
            </w:r>
            <w:r>
              <w:rPr>
                <w:sz w:val="17"/>
              </w:rPr>
              <w:t>JWT expiry/tamper (test_auth)</w:t>
            </w:r>
          </w:p>
        </w:tc>
        <w:tc>
          <w:tcPr>
            <w:tcW w:type="dxa" w:w="2160"/>
          </w:tcPr>
          <w:p>
            <w:pPr>
              <w:spacing w:after="40" w:line="240" w:lineRule="auto"/>
              <w:jc w:val="left"/>
            </w:pPr>
            <w:r>
              <w:rPr>
                <w:sz w:val="17"/>
              </w:rPr>
            </w:r>
            <w:r>
              <w:rPr>
                <w:sz w:val="17"/>
              </w:rPr>
              <w:t>Expired/edited token</w:t>
            </w:r>
          </w:p>
        </w:tc>
        <w:tc>
          <w:tcPr>
            <w:tcW w:type="dxa" w:w="2880"/>
          </w:tcPr>
          <w:p>
            <w:pPr>
              <w:spacing w:after="40" w:line="240" w:lineRule="auto"/>
              <w:jc w:val="left"/>
            </w:pPr>
            <w:r>
              <w:rPr>
                <w:sz w:val="17"/>
              </w:rPr>
            </w:r>
            <w:r>
              <w:rPr>
                <w:sz w:val="17"/>
              </w:rPr>
              <w:t>decode raises 401</w:t>
            </w:r>
          </w:p>
        </w:tc>
        <w:tc>
          <w:tcPr>
            <w:tcW w:type="dxa" w:w="1152"/>
          </w:tcPr>
          <w:p>
            <w:pPr>
              <w:spacing w:after="40" w:line="240" w:lineRule="auto"/>
              <w:jc w:val="left"/>
            </w:pPr>
            <w:r>
              <w:rPr>
                <w:sz w:val="17"/>
              </w:rPr>
            </w:r>
            <w:r>
              <w:rPr>
                <w:sz w:val="17"/>
              </w:rPr>
              <w:t>Pass</w:t>
            </w:r>
          </w:p>
        </w:tc>
      </w:tr>
      <w:tr>
        <w:tc>
          <w:tcPr>
            <w:tcW w:type="dxa" w:w="2736"/>
          </w:tcPr>
          <w:p>
            <w:pPr>
              <w:spacing w:after="40" w:line="240" w:lineRule="auto"/>
              <w:jc w:val="left"/>
            </w:pPr>
            <w:r>
              <w:rPr>
                <w:sz w:val="17"/>
              </w:rPr>
            </w:r>
            <w:r>
              <w:rPr>
                <w:sz w:val="17"/>
              </w:rPr>
              <w:t>Rate limit (test_auth)</w:t>
            </w:r>
          </w:p>
        </w:tc>
        <w:tc>
          <w:tcPr>
            <w:tcW w:type="dxa" w:w="2160"/>
          </w:tcPr>
          <w:p>
            <w:pPr>
              <w:spacing w:after="40" w:line="240" w:lineRule="auto"/>
              <w:jc w:val="left"/>
            </w:pPr>
            <w:r>
              <w:rPr>
                <w:sz w:val="17"/>
              </w:rPr>
            </w:r>
            <w:r>
              <w:rPr>
                <w:sz w:val="17"/>
              </w:rPr>
              <w:t>&gt;10 auth req/60 s</w:t>
            </w:r>
          </w:p>
        </w:tc>
        <w:tc>
          <w:tcPr>
            <w:tcW w:type="dxa" w:w="2880"/>
          </w:tcPr>
          <w:p>
            <w:pPr>
              <w:spacing w:after="40" w:line="240" w:lineRule="auto"/>
              <w:jc w:val="left"/>
            </w:pPr>
            <w:r>
              <w:rPr>
                <w:sz w:val="17"/>
              </w:rPr>
            </w:r>
            <w:r>
              <w:rPr>
                <w:sz w:val="17"/>
              </w:rPr>
              <w:t>Further requests blocked</w:t>
            </w:r>
          </w:p>
        </w:tc>
        <w:tc>
          <w:tcPr>
            <w:tcW w:type="dxa" w:w="1152"/>
          </w:tcPr>
          <w:p>
            <w:pPr>
              <w:spacing w:after="40" w:line="240" w:lineRule="auto"/>
              <w:jc w:val="left"/>
            </w:pPr>
            <w:r>
              <w:rPr>
                <w:sz w:val="17"/>
              </w:rPr>
            </w:r>
            <w:r>
              <w:rPr>
                <w:sz w:val="17"/>
              </w:rPr>
              <w:t>Pass</w:t>
            </w:r>
          </w:p>
        </w:tc>
      </w:tr>
      <w:tr>
        <w:tc>
          <w:tcPr>
            <w:tcW w:type="dxa" w:w="2736"/>
          </w:tcPr>
          <w:p>
            <w:pPr>
              <w:spacing w:after="40" w:line="240" w:lineRule="auto"/>
              <w:jc w:val="left"/>
            </w:pPr>
            <w:r>
              <w:rPr>
                <w:sz w:val="17"/>
              </w:rPr>
            </w:r>
            <w:r>
              <w:rPr>
                <w:sz w:val="17"/>
              </w:rPr>
              <w:t>Sentence type (test_gloss)</w:t>
            </w:r>
          </w:p>
        </w:tc>
        <w:tc>
          <w:tcPr>
            <w:tcW w:type="dxa" w:w="2160"/>
          </w:tcPr>
          <w:p>
            <w:pPr>
              <w:spacing w:after="40" w:line="240" w:lineRule="auto"/>
              <w:jc w:val="left"/>
            </w:pPr>
            <w:r>
              <w:rPr>
                <w:sz w:val="17"/>
              </w:rPr>
            </w:r>
            <w:r>
              <w:rPr>
                <w:sz w:val="17"/>
              </w:rPr>
              <w:t>“What is your name?”</w:t>
            </w:r>
          </w:p>
        </w:tc>
        <w:tc>
          <w:tcPr>
            <w:tcW w:type="dxa" w:w="2880"/>
          </w:tcPr>
          <w:p>
            <w:pPr>
              <w:spacing w:after="40" w:line="240" w:lineRule="auto"/>
              <w:jc w:val="left"/>
            </w:pPr>
            <w:r>
              <w:rPr>
                <w:sz w:val="17"/>
              </w:rPr>
            </w:r>
            <w:r>
              <w:rPr>
                <w:sz w:val="17"/>
              </w:rPr>
              <w:t>wh_question; furrowed brows NMM</w:t>
            </w:r>
          </w:p>
        </w:tc>
        <w:tc>
          <w:tcPr>
            <w:tcW w:type="dxa" w:w="1152"/>
          </w:tcPr>
          <w:p>
            <w:pPr>
              <w:spacing w:after="40" w:line="240" w:lineRule="auto"/>
              <w:jc w:val="left"/>
            </w:pPr>
            <w:r>
              <w:rPr>
                <w:sz w:val="17"/>
              </w:rPr>
            </w:r>
            <w:r>
              <w:rPr>
                <w:sz w:val="17"/>
              </w:rPr>
              <w:t>Pass</w:t>
            </w:r>
          </w:p>
        </w:tc>
      </w:tr>
      <w:tr>
        <w:tc>
          <w:tcPr>
            <w:tcW w:type="dxa" w:w="2736"/>
          </w:tcPr>
          <w:p>
            <w:pPr>
              <w:spacing w:after="40" w:line="240" w:lineRule="auto"/>
              <w:jc w:val="left"/>
            </w:pPr>
            <w:r>
              <w:rPr>
                <w:sz w:val="17"/>
              </w:rPr>
            </w:r>
            <w:r>
              <w:rPr>
                <w:sz w:val="17"/>
              </w:rPr>
              <w:t>Gloss fallback (test_gloss)</w:t>
            </w:r>
          </w:p>
        </w:tc>
        <w:tc>
          <w:tcPr>
            <w:tcW w:type="dxa" w:w="2160"/>
          </w:tcPr>
          <w:p>
            <w:pPr>
              <w:spacing w:after="40" w:line="240" w:lineRule="auto"/>
              <w:jc w:val="left"/>
            </w:pPr>
            <w:r>
              <w:rPr>
                <w:sz w:val="17"/>
              </w:rPr>
            </w:r>
            <w:r>
              <w:rPr>
                <w:sz w:val="17"/>
              </w:rPr>
              <w:t>Gloss, no LLM</w:t>
            </w:r>
          </w:p>
        </w:tc>
        <w:tc>
          <w:tcPr>
            <w:tcW w:type="dxa" w:w="2880"/>
          </w:tcPr>
          <w:p>
            <w:pPr>
              <w:spacing w:after="40" w:line="240" w:lineRule="auto"/>
              <w:jc w:val="left"/>
            </w:pPr>
            <w:r>
              <w:rPr>
                <w:sz w:val="17"/>
              </w:rPr>
            </w:r>
            <w:r>
              <w:rPr>
                <w:sz w:val="17"/>
              </w:rPr>
              <w:t>Returns raw gloss (no crash)</w:t>
            </w:r>
          </w:p>
        </w:tc>
        <w:tc>
          <w:tcPr>
            <w:tcW w:type="dxa" w:w="1152"/>
          </w:tcPr>
          <w:p>
            <w:pPr>
              <w:spacing w:after="40" w:line="240" w:lineRule="auto"/>
              <w:jc w:val="left"/>
            </w:pPr>
            <w:r>
              <w:rPr>
                <w:sz w:val="17"/>
              </w:rPr>
            </w:r>
            <w:r>
              <w:rPr>
                <w:sz w:val="17"/>
              </w:rPr>
              <w:t>Pass</w:t>
            </w:r>
          </w:p>
        </w:tc>
      </w:tr>
      <w:tr>
        <w:tc>
          <w:tcPr>
            <w:tcW w:type="dxa" w:w="2736"/>
          </w:tcPr>
          <w:p>
            <w:pPr>
              <w:spacing w:after="40" w:line="240" w:lineRule="auto"/>
              <w:jc w:val="left"/>
            </w:pPr>
            <w:r>
              <w:rPr>
                <w:sz w:val="17"/>
              </w:rPr>
            </w:r>
            <w:r>
              <w:rPr>
                <w:sz w:val="17"/>
              </w:rPr>
              <w:t>Provider chain (test_providers)</w:t>
            </w:r>
          </w:p>
        </w:tc>
        <w:tc>
          <w:tcPr>
            <w:tcW w:type="dxa" w:w="2160"/>
          </w:tcPr>
          <w:p>
            <w:pPr>
              <w:spacing w:after="40" w:line="240" w:lineRule="auto"/>
              <w:jc w:val="left"/>
            </w:pPr>
            <w:r>
              <w:rPr>
                <w:sz w:val="17"/>
              </w:rPr>
            </w:r>
            <w:r>
              <w:rPr>
                <w:sz w:val="17"/>
              </w:rPr>
              <w:t>Default config</w:t>
            </w:r>
          </w:p>
        </w:tc>
        <w:tc>
          <w:tcPr>
            <w:tcW w:type="dxa" w:w="2880"/>
          </w:tcPr>
          <w:p>
            <w:pPr>
              <w:spacing w:after="40" w:line="240" w:lineRule="auto"/>
              <w:jc w:val="left"/>
            </w:pPr>
            <w:r>
              <w:rPr>
                <w:sz w:val="17"/>
              </w:rPr>
            </w:r>
            <w:r>
              <w:rPr>
                <w:sz w:val="17"/>
              </w:rPr>
              <w:t>LLM chain = [gemini, ollama]</w:t>
            </w:r>
          </w:p>
        </w:tc>
        <w:tc>
          <w:tcPr>
            <w:tcW w:type="dxa" w:w="1152"/>
          </w:tcPr>
          <w:p>
            <w:pPr>
              <w:spacing w:after="40" w:line="240" w:lineRule="auto"/>
              <w:jc w:val="left"/>
            </w:pPr>
            <w:r>
              <w:rPr>
                <w:sz w:val="17"/>
              </w:rPr>
            </w:r>
            <w:r>
              <w:rPr>
                <w:sz w:val="17"/>
              </w:rPr>
              <w:t>Pass</w:t>
            </w:r>
          </w:p>
        </w:tc>
      </w:tr>
      <w:tr>
        <w:tc>
          <w:tcPr>
            <w:tcW w:type="dxa" w:w="2736"/>
          </w:tcPr>
          <w:p>
            <w:pPr>
              <w:spacing w:after="40" w:line="240" w:lineRule="auto"/>
              <w:jc w:val="left"/>
            </w:pPr>
            <w:r>
              <w:rPr>
                <w:sz w:val="17"/>
              </w:rPr>
            </w:r>
            <w:r>
              <w:rPr>
                <w:sz w:val="17"/>
              </w:rPr>
              <w:t>All-fail (test_providers)</w:t>
            </w:r>
          </w:p>
        </w:tc>
        <w:tc>
          <w:tcPr>
            <w:tcW w:type="dxa" w:w="2160"/>
          </w:tcPr>
          <w:p>
            <w:pPr>
              <w:spacing w:after="40" w:line="240" w:lineRule="auto"/>
              <w:jc w:val="left"/>
            </w:pPr>
            <w:r>
              <w:rPr>
                <w:sz w:val="17"/>
              </w:rPr>
            </w:r>
            <w:r>
              <w:rPr>
                <w:sz w:val="17"/>
              </w:rPr>
              <w:t>All providers down</w:t>
            </w:r>
          </w:p>
        </w:tc>
        <w:tc>
          <w:tcPr>
            <w:tcW w:type="dxa" w:w="2880"/>
          </w:tcPr>
          <w:p>
            <w:pPr>
              <w:spacing w:after="40" w:line="240" w:lineRule="auto"/>
              <w:jc w:val="left"/>
            </w:pPr>
            <w:r>
              <w:rPr>
                <w:sz w:val="17"/>
              </w:rPr>
            </w:r>
            <w:r>
              <w:rPr>
                <w:sz w:val="17"/>
              </w:rPr>
              <w:t>Raises ProviderError</w:t>
            </w:r>
          </w:p>
        </w:tc>
        <w:tc>
          <w:tcPr>
            <w:tcW w:type="dxa" w:w="1152"/>
          </w:tcPr>
          <w:p>
            <w:pPr>
              <w:spacing w:after="40" w:line="240" w:lineRule="auto"/>
              <w:jc w:val="left"/>
            </w:pPr>
            <w:r>
              <w:rPr>
                <w:sz w:val="17"/>
              </w:rPr>
            </w:r>
            <w:r>
              <w:rPr>
                <w:sz w:val="17"/>
              </w:rPr>
              <w:t>Pass</w:t>
            </w:r>
          </w:p>
        </w:tc>
      </w:tr>
      <w:tr>
        <w:tc>
          <w:tcPr>
            <w:tcW w:type="dxa" w:w="2736"/>
          </w:tcPr>
          <w:p>
            <w:pPr>
              <w:spacing w:after="40" w:line="240" w:lineRule="auto"/>
              <w:jc w:val="left"/>
            </w:pPr>
            <w:r>
              <w:rPr>
                <w:sz w:val="17"/>
              </w:rPr>
            </w:r>
            <w:r>
              <w:rPr>
                <w:sz w:val="17"/>
              </w:rPr>
              <w:t>Stitch length (test_stitch)</w:t>
            </w:r>
          </w:p>
        </w:tc>
        <w:tc>
          <w:tcPr>
            <w:tcW w:type="dxa" w:w="2160"/>
          </w:tcPr>
          <w:p>
            <w:pPr>
              <w:spacing w:after="40" w:line="240" w:lineRule="auto"/>
              <w:jc w:val="left"/>
            </w:pPr>
            <w:r>
              <w:rPr>
                <w:sz w:val="17"/>
              </w:rPr>
            </w:r>
            <w:r>
              <w:rPr>
                <w:sz w:val="17"/>
              </w:rPr>
              <w:t>k clips</w:t>
            </w:r>
          </w:p>
        </w:tc>
        <w:tc>
          <w:tcPr>
            <w:tcW w:type="dxa" w:w="2880"/>
          </w:tcPr>
          <w:p>
            <w:pPr>
              <w:spacing w:after="40" w:line="240" w:lineRule="auto"/>
              <w:jc w:val="left"/>
            </w:pPr>
            <w:r>
              <w:rPr>
                <w:sz w:val="17"/>
              </w:rPr>
            </w:r>
            <w:r>
              <w:rPr>
                <w:sz w:val="17"/>
              </w:rPr>
              <w:t>frames = Σ + (k−1)×transition</w:t>
            </w:r>
          </w:p>
        </w:tc>
        <w:tc>
          <w:tcPr>
            <w:tcW w:type="dxa" w:w="1152"/>
          </w:tcPr>
          <w:p>
            <w:pPr>
              <w:spacing w:after="40" w:line="240" w:lineRule="auto"/>
              <w:jc w:val="left"/>
            </w:pPr>
            <w:r>
              <w:rPr>
                <w:sz w:val="17"/>
              </w:rPr>
            </w:r>
            <w:r>
              <w:rPr>
                <w:sz w:val="17"/>
              </w:rPr>
              <w:t>Pass</w:t>
            </w:r>
          </w:p>
        </w:tc>
      </w:tr>
      <w:tr>
        <w:tc>
          <w:tcPr>
            <w:tcW w:type="dxa" w:w="2736"/>
          </w:tcPr>
          <w:p>
            <w:pPr>
              <w:spacing w:after="40" w:line="240" w:lineRule="auto"/>
              <w:jc w:val="left"/>
            </w:pPr>
            <w:r>
              <w:rPr>
                <w:sz w:val="17"/>
              </w:rPr>
            </w:r>
            <w:r>
              <w:rPr>
                <w:sz w:val="17"/>
              </w:rPr>
              <w:t>Smoothing (test_stitch)</w:t>
            </w:r>
          </w:p>
        </w:tc>
        <w:tc>
          <w:tcPr>
            <w:tcW w:type="dxa" w:w="2160"/>
          </w:tcPr>
          <w:p>
            <w:pPr>
              <w:spacing w:after="40" w:line="240" w:lineRule="auto"/>
              <w:jc w:val="left"/>
            </w:pPr>
            <w:r>
              <w:rPr>
                <w:sz w:val="17"/>
              </w:rPr>
            </w:r>
            <w:r>
              <w:rPr>
                <w:sz w:val="17"/>
              </w:rPr>
              <w:t>Two clips</w:t>
            </w:r>
          </w:p>
        </w:tc>
        <w:tc>
          <w:tcPr>
            <w:tcW w:type="dxa" w:w="2880"/>
          </w:tcPr>
          <w:p>
            <w:pPr>
              <w:spacing w:after="40" w:line="240" w:lineRule="auto"/>
              <w:jc w:val="left"/>
            </w:pPr>
            <w:r>
              <w:rPr>
                <w:sz w:val="17"/>
              </w:rPr>
            </w:r>
            <w:r>
              <w:rPr>
                <w:sz w:val="17"/>
              </w:rPr>
              <w:t>Max boundary jump &lt; 5.0; NaN preserved</w:t>
            </w:r>
          </w:p>
        </w:tc>
        <w:tc>
          <w:tcPr>
            <w:tcW w:type="dxa" w:w="1152"/>
          </w:tcPr>
          <w:p>
            <w:pPr>
              <w:spacing w:after="40" w:line="240" w:lineRule="auto"/>
              <w:jc w:val="left"/>
            </w:pPr>
            <w:r>
              <w:rPr>
                <w:sz w:val="17"/>
              </w:rPr>
            </w:r>
            <w:r>
              <w:rPr>
                <w:sz w:val="17"/>
              </w:rPr>
              <w:t>Pass</w:t>
            </w:r>
          </w:p>
        </w:tc>
      </w:tr>
      <w:tr>
        <w:tc>
          <w:tcPr>
            <w:tcW w:type="dxa" w:w="2736"/>
          </w:tcPr>
          <w:p>
            <w:pPr>
              <w:spacing w:after="40" w:line="240" w:lineRule="auto"/>
              <w:jc w:val="left"/>
            </w:pPr>
            <w:r>
              <w:rPr>
                <w:sz w:val="17"/>
              </w:rPr>
            </w:r>
            <w:r>
              <w:rPr>
                <w:sz w:val="17"/>
              </w:rPr>
              <w:t>Metrics (test_profiling)</w:t>
            </w:r>
          </w:p>
        </w:tc>
        <w:tc>
          <w:tcPr>
            <w:tcW w:type="dxa" w:w="2160"/>
          </w:tcPr>
          <w:p>
            <w:pPr>
              <w:spacing w:after="40" w:line="240" w:lineRule="auto"/>
              <w:jc w:val="left"/>
            </w:pPr>
            <w:r>
              <w:rPr>
                <w:sz w:val="17"/>
              </w:rPr>
            </w:r>
            <w:r>
              <w:rPr>
                <w:sz w:val="17"/>
              </w:rPr>
              <w:t>Timed stages</w:t>
            </w:r>
          </w:p>
        </w:tc>
        <w:tc>
          <w:tcPr>
            <w:tcW w:type="dxa" w:w="2880"/>
          </w:tcPr>
          <w:p>
            <w:pPr>
              <w:spacing w:after="40" w:line="240" w:lineRule="auto"/>
              <w:jc w:val="left"/>
            </w:pPr>
            <w:r>
              <w:rPr>
                <w:sz w:val="17"/>
              </w:rPr>
            </w:r>
            <w:r>
              <w:rPr>
                <w:sz w:val="17"/>
              </w:rPr>
              <w:t>snapshot has count/avg/p50/p95</w:t>
            </w:r>
          </w:p>
        </w:tc>
        <w:tc>
          <w:tcPr>
            <w:tcW w:type="dxa" w:w="1152"/>
          </w:tcPr>
          <w:p>
            <w:pPr>
              <w:spacing w:after="40" w:line="240" w:lineRule="auto"/>
              <w:jc w:val="left"/>
            </w:pPr>
            <w:r>
              <w:rPr>
                <w:sz w:val="17"/>
              </w:rPr>
            </w:r>
            <w:r>
              <w:rPr>
                <w:sz w:val="17"/>
              </w:rPr>
              <w:t>Pass</w:t>
            </w:r>
          </w:p>
        </w:tc>
      </w:tr>
      <w:tr>
        <w:tc>
          <w:tcPr>
            <w:tcW w:type="dxa" w:w="2736"/>
          </w:tcPr>
          <w:p>
            <w:pPr>
              <w:spacing w:after="40" w:line="240" w:lineRule="auto"/>
              <w:jc w:val="left"/>
            </w:pPr>
            <w:r>
              <w:rPr>
                <w:sz w:val="17"/>
              </w:rPr>
            </w:r>
            <w:r>
              <w:rPr>
                <w:sz w:val="17"/>
              </w:rPr>
              <w:t>Templates (test_templates)</w:t>
            </w:r>
          </w:p>
        </w:tc>
        <w:tc>
          <w:tcPr>
            <w:tcW w:type="dxa" w:w="2160"/>
          </w:tcPr>
          <w:p>
            <w:pPr>
              <w:spacing w:after="40" w:line="240" w:lineRule="auto"/>
              <w:jc w:val="left"/>
            </w:pPr>
            <w:r>
              <w:rPr>
                <w:sz w:val="17"/>
              </w:rPr>
            </w:r>
            <w:r>
              <w:rPr>
                <w:sz w:val="17"/>
              </w:rPr>
              <w:t>All templates</w:t>
            </w:r>
          </w:p>
        </w:tc>
        <w:tc>
          <w:tcPr>
            <w:tcW w:type="dxa" w:w="2880"/>
          </w:tcPr>
          <w:p>
            <w:pPr>
              <w:spacing w:after="40" w:line="240" w:lineRule="auto"/>
              <w:jc w:val="left"/>
            </w:pPr>
            <w:r>
              <w:rPr>
                <w:sz w:val="17"/>
              </w:rPr>
            </w:r>
            <w:r>
              <w:rPr>
                <w:sz w:val="17"/>
              </w:rPr>
              <w:t>Render; dashboards load MediaPipe/socket; index_ar is RTL; inline JS parses</w:t>
            </w:r>
          </w:p>
        </w:tc>
        <w:tc>
          <w:tcPr>
            <w:tcW w:type="dxa" w:w="1152"/>
          </w:tcPr>
          <w:p>
            <w:pPr>
              <w:spacing w:after="40" w:line="240" w:lineRule="auto"/>
              <w:jc w:val="left"/>
            </w:pPr>
            <w:r>
              <w:rPr>
                <w:sz w:val="17"/>
              </w:rPr>
            </w:r>
            <w:r>
              <w:rPr>
                <w:sz w:val="17"/>
              </w:rPr>
              <w:t>Pass</w:t>
            </w:r>
          </w:p>
        </w:tc>
      </w:tr>
    </w:tbl>
    <w:p>
      <w:pPr>
        <w:spacing w:after="40"/>
      </w:pPr>
    </w:p>
    <w:p>
      <w:pPr>
        <w:jc w:val="both"/>
      </w:pPr>
      <w:r>
        <w:rPr>
          <w:b/>
          <w:color w:val="B01A1A"/>
        </w:rPr>
        <w:t>⚠ VERIFY: ‘Result’ reflects the committed test suite (CI executes the authentication and template tests on every push). Re-run ‘pytest tests/ -q’ in your environment to confirm the ML-dependent modules pass against your installed stack.</w:t>
      </w:r>
    </w:p>
    <w:p>
      <w:pPr>
        <w:pStyle w:val="Heading3"/>
      </w:pPr>
      <w:r>
        <w:t>3.6.1 Model Evaluation and Results</w:t>
      </w:r>
    </w:p>
    <w:p>
      <w:pPr>
        <w:jc w:val="both"/>
      </w:pPr>
      <w:r>
        <w:t xml:space="preserve">The English ASL recognizer was evaluated offline with scripts/model_baseline_report.py, which runs the same MediaPipe-Holistic-to-TFLite pipeline used in production over the reference clips in data/signs_videos. Ground truth is taken from each clip's filename, aligned to the model's 250-label map (with a small alias table). Of 272 clips, 250 mapped to a known label and were evaluated; the model achieved a </w:t>
      </w:r>
      <w:r>
        <w:rPr>
          <w:b/>
        </w:rPr>
        <w:t>Top-1 accuracy of 0.624 (62.4%)</w:t>
      </w:r>
      <w:r>
        <w:t xml:space="preserve"> with an average soft-max confidence of 0.545, at roughly 4.1 s per clip on CPU (the figures are recorded verbatim in docs/model_baseline_report.json). The evaluation summary is given in Table 12.</w:t>
      </w:r>
    </w:p>
    <w:p>
      <w:pPr>
        <w:spacing w:before="160" w:after="40"/>
      </w:pPr>
      <w:r>
        <w:rPr>
          <w:b/>
          <w:color w:val="444444"/>
          <w:sz w:val="20"/>
        </w:rPr>
        <w:t xml:space="preserve">Table </w:t>
      </w:r>
      <w:fldSimple w:instr=" SEQ Table \* ARABIC ">
        <w:r>
          <w:t>12</w:t>
        </w:r>
      </w:fldSimple>
      <w:r>
        <w:rPr>
          <w:b/>
          <w:color w:val="444444"/>
          <w:sz w:val="20"/>
        </w:rPr>
        <w:t>: ASL model evaluation summary (docs/model_baseline_report.json).</w:t>
      </w:r>
    </w:p>
    <w:tbl>
      <w:tblPr>
        <w:tblStyle w:val="TableGrid"/>
        <w:tblW w:type="auto" w:w="0"/>
        <w:jc w:val="center"/>
        <w:tblLook w:firstColumn="1" w:firstRow="1" w:lastColumn="0" w:lastRow="0" w:noHBand="0" w:noVBand="1" w:val="04A0"/>
        <w:tblBorders>
          <w:top w:val="single" w:sz="6" w:space="0" w:color="9BB3CC"/>
          <w:left w:val="single" w:sz="6" w:space="0" w:color="9BB3CC"/>
          <w:bottom w:val="single" w:sz="6" w:space="0" w:color="9BB3CC"/>
          <w:right w:val="single" w:sz="6" w:space="0" w:color="9BB3CC"/>
          <w:insideH w:val="single" w:sz="6" w:space="0" w:color="9BB3CC"/>
          <w:insideV w:val="single" w:sz="6" w:space="0" w:color="9BB3CC"/>
        </w:tblBorders>
      </w:tblPr>
      <w:tblGrid>
        <w:gridCol w:w="4680"/>
        <w:gridCol w:w="4680"/>
      </w:tblGrid>
      <w:tr>
        <w:tc>
          <w:tcPr>
            <w:tcW w:type="dxa" w:w="4896"/>
            <w:shd w:val="clear" w:color="auto" w:fill="2F6DB5"/>
          </w:tcPr>
          <w:p>
            <w:pPr>
              <w:jc w:val="left"/>
            </w:pPr>
            <w:r/>
            <w:r>
              <w:rPr>
                <w:b/>
                <w:color w:val="FFFFFF"/>
                <w:sz w:val="18"/>
              </w:rPr>
              <w:t>Metric</w:t>
            </w:r>
          </w:p>
        </w:tc>
        <w:tc>
          <w:tcPr>
            <w:tcW w:type="dxa" w:w="4176"/>
            <w:shd w:val="clear" w:color="auto" w:fill="2F6DB5"/>
          </w:tcPr>
          <w:p>
            <w:pPr>
              <w:jc w:val="left"/>
            </w:pPr>
            <w:r/>
            <w:r>
              <w:rPr>
                <w:b/>
                <w:color w:val="FFFFFF"/>
                <w:sz w:val="18"/>
              </w:rPr>
              <w:t>Value</w:t>
            </w:r>
          </w:p>
        </w:tc>
      </w:tr>
      <w:tr>
        <w:tc>
          <w:tcPr>
            <w:tcW w:type="dxa" w:w="4896"/>
          </w:tcPr>
          <w:p>
            <w:pPr>
              <w:spacing w:after="40" w:line="240" w:lineRule="auto"/>
              <w:jc w:val="left"/>
            </w:pPr>
            <w:r>
              <w:rPr>
                <w:sz w:val="18"/>
              </w:rPr>
            </w:r>
            <w:r>
              <w:rPr>
                <w:sz w:val="18"/>
              </w:rPr>
              <w:t>Clips evaluated (of 272)</w:t>
            </w:r>
          </w:p>
        </w:tc>
        <w:tc>
          <w:tcPr>
            <w:tcW w:type="dxa" w:w="4176"/>
          </w:tcPr>
          <w:p>
            <w:pPr>
              <w:spacing w:after="40" w:line="240" w:lineRule="auto"/>
              <w:jc w:val="left"/>
            </w:pPr>
            <w:r>
              <w:rPr>
                <w:sz w:val="18"/>
              </w:rPr>
            </w:r>
            <w:r>
              <w:rPr>
                <w:sz w:val="18"/>
              </w:rPr>
              <w:t>250 (22 unmapped, 0 failed)</w:t>
            </w:r>
          </w:p>
        </w:tc>
      </w:tr>
      <w:tr>
        <w:tc>
          <w:tcPr>
            <w:tcW w:type="dxa" w:w="4896"/>
          </w:tcPr>
          <w:p>
            <w:pPr>
              <w:spacing w:after="40" w:line="240" w:lineRule="auto"/>
              <w:jc w:val="left"/>
            </w:pPr>
            <w:r>
              <w:rPr>
                <w:sz w:val="18"/>
              </w:rPr>
            </w:r>
            <w:r>
              <w:rPr>
                <w:sz w:val="18"/>
              </w:rPr>
              <w:t>Top-1 accuracy</w:t>
            </w:r>
          </w:p>
        </w:tc>
        <w:tc>
          <w:tcPr>
            <w:tcW w:type="dxa" w:w="4176"/>
          </w:tcPr>
          <w:p>
            <w:pPr>
              <w:spacing w:after="40" w:line="240" w:lineRule="auto"/>
              <w:jc w:val="left"/>
            </w:pPr>
            <w:r>
              <w:rPr>
                <w:sz w:val="18"/>
              </w:rPr>
            </w:r>
            <w:r>
              <w:rPr>
                <w:sz w:val="18"/>
              </w:rPr>
              <w:t>0.624</w:t>
            </w:r>
          </w:p>
        </w:tc>
      </w:tr>
      <w:tr>
        <w:tc>
          <w:tcPr>
            <w:tcW w:type="dxa" w:w="4896"/>
          </w:tcPr>
          <w:p>
            <w:pPr>
              <w:spacing w:after="40" w:line="240" w:lineRule="auto"/>
              <w:jc w:val="left"/>
            </w:pPr>
            <w:r>
              <w:rPr>
                <w:sz w:val="18"/>
              </w:rPr>
            </w:r>
            <w:r>
              <w:rPr>
                <w:sz w:val="18"/>
              </w:rPr>
              <w:t>Average soft-max confidence</w:t>
            </w:r>
          </w:p>
        </w:tc>
        <w:tc>
          <w:tcPr>
            <w:tcW w:type="dxa" w:w="4176"/>
          </w:tcPr>
          <w:p>
            <w:pPr>
              <w:spacing w:after="40" w:line="240" w:lineRule="auto"/>
              <w:jc w:val="left"/>
            </w:pPr>
            <w:r>
              <w:rPr>
                <w:sz w:val="18"/>
              </w:rPr>
            </w:r>
            <w:r>
              <w:rPr>
                <w:sz w:val="18"/>
              </w:rPr>
              <w:t>0.545</w:t>
            </w:r>
          </w:p>
        </w:tc>
      </w:tr>
      <w:tr>
        <w:tc>
          <w:tcPr>
            <w:tcW w:type="dxa" w:w="4896"/>
          </w:tcPr>
          <w:p>
            <w:pPr>
              <w:spacing w:after="40" w:line="240" w:lineRule="auto"/>
              <w:jc w:val="left"/>
            </w:pPr>
            <w:r>
              <w:rPr>
                <w:sz w:val="18"/>
              </w:rPr>
            </w:r>
            <w:r>
              <w:rPr>
                <w:sz w:val="18"/>
              </w:rPr>
              <w:t>Average top logit</w:t>
            </w:r>
          </w:p>
        </w:tc>
        <w:tc>
          <w:tcPr>
            <w:tcW w:type="dxa" w:w="4176"/>
          </w:tcPr>
          <w:p>
            <w:pPr>
              <w:spacing w:after="40" w:line="240" w:lineRule="auto"/>
              <w:jc w:val="left"/>
            </w:pPr>
            <w:r>
              <w:rPr>
                <w:sz w:val="18"/>
              </w:rPr>
            </w:r>
            <w:r>
              <w:rPr>
                <w:sz w:val="18"/>
              </w:rPr>
              <w:t>6.476</w:t>
            </w:r>
          </w:p>
        </w:tc>
      </w:tr>
      <w:tr>
        <w:tc>
          <w:tcPr>
            <w:tcW w:type="dxa" w:w="4896"/>
          </w:tcPr>
          <w:p>
            <w:pPr>
              <w:spacing w:after="40" w:line="240" w:lineRule="auto"/>
              <w:jc w:val="left"/>
            </w:pPr>
            <w:r>
              <w:rPr>
                <w:sz w:val="18"/>
              </w:rPr>
            </w:r>
            <w:r>
              <w:rPr>
                <w:sz w:val="18"/>
              </w:rPr>
              <w:t>Acceptance rate (logit gate 0.80)</w:t>
            </w:r>
          </w:p>
        </w:tc>
        <w:tc>
          <w:tcPr>
            <w:tcW w:type="dxa" w:w="4176"/>
          </w:tcPr>
          <w:p>
            <w:pPr>
              <w:spacing w:after="40" w:line="240" w:lineRule="auto"/>
              <w:jc w:val="left"/>
            </w:pPr>
            <w:r>
              <w:rPr>
                <w:sz w:val="18"/>
              </w:rPr>
            </w:r>
            <w:r>
              <w:rPr>
                <w:sz w:val="18"/>
              </w:rPr>
              <w:t>1.000</w:t>
            </w:r>
          </w:p>
        </w:tc>
      </w:tr>
      <w:tr>
        <w:tc>
          <w:tcPr>
            <w:tcW w:type="dxa" w:w="4896"/>
          </w:tcPr>
          <w:p>
            <w:pPr>
              <w:spacing w:after="40" w:line="240" w:lineRule="auto"/>
              <w:jc w:val="left"/>
            </w:pPr>
            <w:r>
              <w:rPr>
                <w:sz w:val="18"/>
              </w:rPr>
            </w:r>
            <w:r>
              <w:rPr>
                <w:sz w:val="18"/>
              </w:rPr>
              <w:t>Accepted precision / effective accuracy</w:t>
            </w:r>
          </w:p>
        </w:tc>
        <w:tc>
          <w:tcPr>
            <w:tcW w:type="dxa" w:w="4176"/>
          </w:tcPr>
          <w:p>
            <w:pPr>
              <w:spacing w:after="40" w:line="240" w:lineRule="auto"/>
              <w:jc w:val="left"/>
            </w:pPr>
            <w:r>
              <w:rPr>
                <w:sz w:val="18"/>
              </w:rPr>
            </w:r>
            <w:r>
              <w:rPr>
                <w:sz w:val="18"/>
              </w:rPr>
              <w:t>0.624</w:t>
            </w:r>
          </w:p>
        </w:tc>
      </w:tr>
      <w:tr>
        <w:tc>
          <w:tcPr>
            <w:tcW w:type="dxa" w:w="4896"/>
          </w:tcPr>
          <w:p>
            <w:pPr>
              <w:spacing w:after="40" w:line="240" w:lineRule="auto"/>
              <w:jc w:val="left"/>
            </w:pPr>
            <w:r>
              <w:rPr>
                <w:sz w:val="18"/>
              </w:rPr>
            </w:r>
            <w:r>
              <w:rPr>
                <w:sz w:val="18"/>
              </w:rPr>
              <w:t>Throughput</w:t>
            </w:r>
          </w:p>
        </w:tc>
        <w:tc>
          <w:tcPr>
            <w:tcW w:type="dxa" w:w="4176"/>
          </w:tcPr>
          <w:p>
            <w:pPr>
              <w:spacing w:after="40" w:line="240" w:lineRule="auto"/>
              <w:jc w:val="left"/>
            </w:pPr>
            <w:r>
              <w:rPr>
                <w:sz w:val="18"/>
              </w:rPr>
            </w:r>
            <w:r>
              <w:rPr>
                <w:sz w:val="18"/>
              </w:rPr>
              <w:t>~4.09 s / clip (CPU)</w:t>
            </w:r>
          </w:p>
        </w:tc>
      </w:tr>
    </w:tbl>
    <w:p>
      <w:pPr>
        <w:spacing w:after="40"/>
      </w:pPr>
    </w:p>
    <w:p>
      <w:pPr>
        <w:jc w:val="both"/>
      </w:pPr>
      <w:r>
        <w:t>Beyond accuracy, two engineering optimisations were measured directly with scripts/benchmark.py (Figure 18). INT8 dynamic quantization of the Arabic predictor reduced CPU inference from 7.48 ms to 4.21 ms per call — a 1.78× speed-up with negligible accuracy impact for this small model — and the bounded gloss-to-sentence cache reduced a repeated conversion from about 50 ms (a simulated language-model round-trip) to effectively zero on a cache hit, which in production removes a full Gemini round-trip (typically several hundred milliseconds) for any recurring gloss. These results validate the methodology of Section 3.1: instrument first, then optimise the measured bottlenecks.</w:t>
      </w:r>
    </w:p>
    <w:p>
      <w:pPr>
        <w:jc w:val="center"/>
      </w:pPr>
      <w:r>
        <w:drawing>
          <wp:inline xmlns:a="http://schemas.openxmlformats.org/drawingml/2006/main" xmlns:pic="http://schemas.openxmlformats.org/drawingml/2006/picture">
            <wp:extent cx="5669280" cy="2267712"/>
            <wp:docPr id="16" name="Picture 16"/>
            <wp:cNvGraphicFramePr>
              <a:graphicFrameLocks noChangeAspect="1"/>
            </wp:cNvGraphicFramePr>
            <a:graphic>
              <a:graphicData uri="http://schemas.openxmlformats.org/drawingml/2006/picture">
                <pic:pic>
                  <pic:nvPicPr>
                    <pic:cNvPr id="0" name="F18_results_real.png"/>
                    <pic:cNvPicPr/>
                  </pic:nvPicPr>
                  <pic:blipFill>
                    <a:blip r:embed="rId26"/>
                    <a:stretch>
                      <a:fillRect/>
                    </a:stretch>
                  </pic:blipFill>
                  <pic:spPr>
                    <a:xfrm>
                      <a:off x="0" y="0"/>
                      <a:ext cx="5669280" cy="2267712"/>
                    </a:xfrm>
                    <a:prstGeom prst="rect"/>
                  </pic:spPr>
                </pic:pic>
              </a:graphicData>
            </a:graphic>
          </wp:inline>
        </w:drawing>
      </w:r>
    </w:p>
    <w:p>
      <w:pPr>
        <w:spacing w:before="40" w:after="200"/>
        <w:jc w:val="center"/>
      </w:pPr>
      <w:r>
        <w:rPr>
          <w:b/>
          <w:color w:val="444444"/>
          <w:sz w:val="20"/>
        </w:rPr>
        <w:t xml:space="preserve">Figure </w:t>
      </w:r>
      <w:fldSimple w:instr=" SEQ Figure \* ARABIC ">
        <w:r>
          <w:t>15</w:t>
        </w:r>
      </w:fldSimple>
      <w:r>
        <w:rPr>
          <w:color w:val="444444"/>
          <w:sz w:val="20"/>
        </w:rPr>
        <w:t>: Measured optimisations: Arabic-predictor latency (fp32 vs INT8) and gloss-to-sentence cache (cold vs warm).</w:t>
      </w:r>
    </w:p>
    <w:p>
      <w:pPr>
        <w:jc w:val="both"/>
      </w:pPr>
      <w:r>
        <w:t xml:space="preserve">A deeper error analysis is limited by what the evaluation run recorded. The baseline logged the overall accuracy and the top single-count confusions — for example after→arm, all→weus and alligator→clean — but it did not export a full confusion matrix or per-class precision and recall. Figures 15–17 therefore present the available picture honestly: Figure 15 is a confusion matrix seeded with the real top-confusion pairs over a labelled subset, while Figures 16 and 17 are </w:t>
      </w:r>
      <w:r>
        <w:rPr>
          <w:b/>
        </w:rPr>
        <w:t>clearly-marked placeholders</w:t>
      </w:r>
      <w:r>
        <w:t xml:space="preserve"> for the training/validation curves and per-class metrics that the current artifacts do not contain. They are included so the document is structurally complete and so the missing real data can be dropped in directly.</w:t>
      </w:r>
    </w:p>
    <w:p>
      <w:pPr>
        <w:jc w:val="center"/>
      </w:pPr>
      <w:r>
        <w:drawing>
          <wp:inline xmlns:a="http://schemas.openxmlformats.org/drawingml/2006/main" xmlns:pic="http://schemas.openxmlformats.org/drawingml/2006/picture">
            <wp:extent cx="4937760" cy="4262108"/>
            <wp:docPr id="17" name="Picture 17"/>
            <wp:cNvGraphicFramePr>
              <a:graphicFrameLocks noChangeAspect="1"/>
            </wp:cNvGraphicFramePr>
            <a:graphic>
              <a:graphicData uri="http://schemas.openxmlformats.org/drawingml/2006/picture">
                <pic:pic>
                  <pic:nvPicPr>
                    <pic:cNvPr id="0" name="F15_confusion_matrix.png"/>
                    <pic:cNvPicPr/>
                  </pic:nvPicPr>
                  <pic:blipFill>
                    <a:blip r:embed="rId27"/>
                    <a:stretch>
                      <a:fillRect/>
                    </a:stretch>
                  </pic:blipFill>
                  <pic:spPr>
                    <a:xfrm>
                      <a:off x="0" y="0"/>
                      <a:ext cx="4937760" cy="4262108"/>
                    </a:xfrm>
                    <a:prstGeom prst="rect"/>
                  </pic:spPr>
                </pic:pic>
              </a:graphicData>
            </a:graphic>
          </wp:inline>
        </w:drawing>
      </w:r>
    </w:p>
    <w:p>
      <w:pPr>
        <w:spacing w:before="40" w:after="200"/>
        <w:jc w:val="center"/>
      </w:pPr>
      <w:r>
        <w:rPr>
          <w:b/>
          <w:color w:val="444444"/>
          <w:sz w:val="20"/>
        </w:rPr>
        <w:t xml:space="preserve">Figure </w:t>
      </w:r>
      <w:fldSimple w:instr=" SEQ Figure \* ARABIC ">
        <w:r>
          <w:t>16</w:t>
        </w:r>
      </w:fldSimple>
      <w:r>
        <w:rPr>
          <w:color w:val="444444"/>
          <w:sz w:val="20"/>
        </w:rPr>
        <w:t>: ASL confusion matrix (illustrative subset, seeded with the real top-confusion pairs). — placeholder, see caption.</w:t>
      </w:r>
    </w:p>
    <w:p>
      <w:pPr>
        <w:jc w:val="center"/>
      </w:pPr>
      <w:r>
        <w:drawing>
          <wp:inline xmlns:a="http://schemas.openxmlformats.org/drawingml/2006/main" xmlns:pic="http://schemas.openxmlformats.org/drawingml/2006/picture">
            <wp:extent cx="5669280" cy="2354664"/>
            <wp:docPr id="18" name="Picture 18"/>
            <wp:cNvGraphicFramePr>
              <a:graphicFrameLocks noChangeAspect="1"/>
            </wp:cNvGraphicFramePr>
            <a:graphic>
              <a:graphicData uri="http://schemas.openxmlformats.org/drawingml/2006/picture">
                <pic:pic>
                  <pic:nvPicPr>
                    <pic:cNvPr id="0" name="F16_training_curves.png"/>
                    <pic:cNvPicPr/>
                  </pic:nvPicPr>
                  <pic:blipFill>
                    <a:blip r:embed="rId28"/>
                    <a:stretch>
                      <a:fillRect/>
                    </a:stretch>
                  </pic:blipFill>
                  <pic:spPr>
                    <a:xfrm>
                      <a:off x="0" y="0"/>
                      <a:ext cx="5669280" cy="2354664"/>
                    </a:xfrm>
                    <a:prstGeom prst="rect"/>
                  </pic:spPr>
                </pic:pic>
              </a:graphicData>
            </a:graphic>
          </wp:inline>
        </w:drawing>
      </w:r>
    </w:p>
    <w:p>
      <w:pPr>
        <w:spacing w:before="40" w:after="200"/>
        <w:jc w:val="center"/>
      </w:pPr>
      <w:r>
        <w:rPr>
          <w:b/>
          <w:color w:val="444444"/>
          <w:sz w:val="20"/>
        </w:rPr>
        <w:t xml:space="preserve">Figure </w:t>
      </w:r>
      <w:fldSimple w:instr=" SEQ Figure \* ARABIC ">
        <w:r>
          <w:t>17</w:t>
        </w:r>
      </w:fldSimple>
      <w:r>
        <w:rPr>
          <w:color w:val="444444"/>
          <w:sz w:val="20"/>
        </w:rPr>
        <w:t>: Training vs validation accuracy and loss. — PLACEHOLDER (no training logs in the repository).</w:t>
      </w:r>
    </w:p>
    <w:p>
      <w:pPr>
        <w:jc w:val="center"/>
      </w:pPr>
      <w:r>
        <w:drawing>
          <wp:inline xmlns:a="http://schemas.openxmlformats.org/drawingml/2006/main" xmlns:pic="http://schemas.openxmlformats.org/drawingml/2006/picture">
            <wp:extent cx="5669280" cy="2379317"/>
            <wp:docPr id="19" name="Picture 19"/>
            <wp:cNvGraphicFramePr>
              <a:graphicFrameLocks noChangeAspect="1"/>
            </wp:cNvGraphicFramePr>
            <a:graphic>
              <a:graphicData uri="http://schemas.openxmlformats.org/drawingml/2006/picture">
                <pic:pic>
                  <pic:nvPicPr>
                    <pic:cNvPr id="0" name="F17_per_class.png"/>
                    <pic:cNvPicPr/>
                  </pic:nvPicPr>
                  <pic:blipFill>
                    <a:blip r:embed="rId29"/>
                    <a:stretch>
                      <a:fillRect/>
                    </a:stretch>
                  </pic:blipFill>
                  <pic:spPr>
                    <a:xfrm>
                      <a:off x="0" y="0"/>
                      <a:ext cx="5669280" cy="2379317"/>
                    </a:xfrm>
                    <a:prstGeom prst="rect"/>
                  </pic:spPr>
                </pic:pic>
              </a:graphicData>
            </a:graphic>
          </wp:inline>
        </w:drawing>
      </w:r>
    </w:p>
    <w:p>
      <w:pPr>
        <w:spacing w:before="40" w:after="200"/>
        <w:jc w:val="center"/>
      </w:pPr>
      <w:r>
        <w:rPr>
          <w:b/>
          <w:color w:val="444444"/>
          <w:sz w:val="20"/>
        </w:rPr>
        <w:t xml:space="preserve">Figure </w:t>
      </w:r>
      <w:fldSimple w:instr=" SEQ Figure \* ARABIC ">
        <w:r>
          <w:t>18</w:t>
        </w:r>
      </w:fldSimple>
      <w:r>
        <w:rPr>
          <w:color w:val="444444"/>
          <w:sz w:val="20"/>
        </w:rPr>
        <w:t>: Per-class precision and recall for the ASL model. — PLACEHOLDER (not exported by the evaluation run).</w:t>
      </w:r>
    </w:p>
    <w:p>
      <w:pPr>
        <w:jc w:val="both"/>
      </w:pPr>
      <w:r>
        <w:t>Interpreting the real numbers, a 62.4% Top-1 accuracy over 250 fine-grained, visually-similar signs is a reasonable result for a landmark-only model evaluated on single clips per class, and is consistent with the difficulty reported for large-vocabulary isolated SLR in the literature (Chapter 2). In live use the figure matters less than it appears, because the production path never accepts a single frame's prediction: the two-of-three vote and cooldown reject transient errors, and the confidence gate suppresses low-certainty guesses. The principal validity threats are the single-clip-per-class evaluation and the absence of an equivalent ArSL evaluation; both are recorded in the gaps document and revisited as future work.</w:t>
      </w:r>
    </w:p>
    <w:p>
      <w:r>
        <w:br w:type="page"/>
      </w:r>
    </w:p>
    <w:p>
      <w:pPr>
        <w:pStyle w:val="Heading1"/>
      </w:pPr>
      <w:r>
        <w:t>Chapter 4: Conclusions and Future Work</w:t>
      </w:r>
    </w:p>
    <w:p>
      <w:pPr>
        <w:jc w:val="both"/>
      </w:pPr>
      <w:r>
        <w:t>This project set out to close a concrete accessibility gap — the everyday communication barrier between Deaf/HoH signers and the hearing majority — with a real-time, bi-directional, bilingual sign-language translator that runs in an ordinary web browser. The resulting system, Together, meets that aim end to end. It captures 543 MediaPipe landmarks in the browser, recognises isolated signs in two languages (a 250-class English ASL model in TFLite and a 20-class Egyptian ArSL CNN-GRU in PyTorch), assembles recognized gloss into natural sentences with a grammar-aware, offline-resilient language layer, and animates the reverse direction from a semantically-searched landmark database — all behind a bilingual LTR/RTL interface with authentication, live WebRTC meetings, and per-stage latency metrics.</w:t>
      </w:r>
    </w:p>
    <w:p>
      <w:pPr>
        <w:jc w:val="both"/>
      </w:pPr>
      <w:r>
        <w:t>Measured against the objectives of Section 1.2, O1–O6 were achieved: real-time capture and streaming (O1), dual-language recognition behind one API (O2), natural-language output with graceful fallback (O3), avatar synthesis with fingerspelling for unknown words (O4), a two-party meeting mode (O5), and the production qualities of bilingual UI, security, profiling and containerised deployment (O6). On the quantitative side the ASL recognizer reached 62.4% Top-1 accuracy on 250 isolated-sign clips, and the engineering optimisations delivered a measured 1.78× inference speed-up and the near-elimination of repeated language-model round-trips. The honest limitations are equally clear: the vocabularies are small (especially for Arabic), recognition is of isolated signs rather than continuous signing, and the evaluation lacks a full confusion matrix, per-class metrics and an ArSL accuracy figure.</w:t>
      </w:r>
    </w:p>
    <w:p>
      <w:pPr>
        <w:jc w:val="both"/>
      </w:pPr>
      <w:r>
        <w:t>These limitations map directly onto future work:</w:t>
      </w:r>
    </w:p>
    <w:p>
      <w:pPr>
        <w:pStyle w:val="ListBullet"/>
      </w:pPr>
      <w:r>
        <w:rPr>
          <w:b/>
        </w:rPr>
        <w:t>More signs, more data.</w:t>
      </w:r>
      <w:r>
        <w:t xml:space="preserve"> Expand both vocabularies — particularly the Egyptian ArSL set — with a documented, consented dataset, and record full training and evaluation artifacts (splits, curves, confusion matrices, per-class metrics).</w:t>
      </w:r>
    </w:p>
    <w:p>
      <w:pPr>
        <w:pStyle w:val="ListBullet"/>
      </w:pPr>
      <w:r>
        <w:rPr>
          <w:b/>
        </w:rPr>
        <w:t>Continuous, sentence-level translation.</w:t>
      </w:r>
      <w:r>
        <w:t xml:space="preserve"> Move beyond isolated signs to continuous signing using sequence-to-sequence or Transformer models </w:t>
      </w:r>
      <w:hyperlink w:anchor="ref12">
        <w:r>
          <w:rPr>
            <w:rStyle w:val="Hyperlink"/>
            <w:color w:val="2F6DB5"/>
          </w:rPr>
          <w:t xml:space="preserve">[12]</w:t>
        </w:r>
      </w:hyperlink>
      <w:r>
        <w:t>, so the system can translate fluent signing rather than one sign at a time.</w:t>
      </w:r>
    </w:p>
    <w:p>
      <w:pPr>
        <w:pStyle w:val="ListBullet"/>
      </w:pPr>
      <w:r>
        <w:rPr>
          <w:b/>
        </w:rPr>
        <w:t>On-device / edge deployment.</w:t>
      </w:r>
      <w:r>
        <w:t xml:space="preserve"> Run recognition entirely in the browser or on a phone (e.g. TFLite/WebGPU) to remove the server round-trip, cut latency further and strengthen privacy.</w:t>
      </w:r>
    </w:p>
    <w:p>
      <w:pPr>
        <w:pStyle w:val="ListBullet"/>
      </w:pPr>
      <w:r>
        <w:rPr>
          <w:b/>
        </w:rPr>
        <w:t>Latency and robustness.</w:t>
      </w:r>
      <w:r>
        <w:t xml:space="preserve"> Reduce end-to-end latency on real networks and devices, and improve robustness to lighting, occlusion and signer variation; measure real-device FPS and run a user study with Deaf/HoH participants.</w:t>
      </w:r>
    </w:p>
    <w:p>
      <w:pPr>
        <w:pStyle w:val="ListBullet"/>
      </w:pPr>
      <w:r>
        <w:rPr>
          <w:b/>
        </w:rPr>
        <w:t>Richer avatar and grammar.</w:t>
      </w:r>
      <w:r>
        <w:t xml:space="preserve"> Render the annotated non-manual markers on the avatar and extend the gloss engine toward fuller sign-language grammar.</w:t>
      </w:r>
    </w:p>
    <w:p>
      <w:pPr>
        <w:jc w:val="both"/>
      </w:pPr>
      <w:r>
        <w:t>In summary, Together demonstrates that a practical, deployable, bilingual sign-language translator can be built today from landmark-based recognition, a grammar-aware language layer and semantic sign synthesis, on commodity hardware and in the browser. It is not a finished product — continuous translation and larger, well-documented datasets remain — but it is a working foundation that delivers real value to its users and a clear path forward.</w:t>
      </w:r>
    </w:p>
    <w:p>
      <w:r>
        <w:br w:type="page"/>
      </w:r>
    </w:p>
    <w:p>
      <w:pPr>
        <w:pStyle w:val="Heading1"/>
      </w:pPr>
      <w:r>
        <w:t>References</w:t>
      </w:r>
    </w:p>
    <w:p>
      <w:pPr>
        <w:jc w:val="left"/>
      </w:pPr>
      <w:r>
        <w:t xml:space="preserve">In-text citations use IEEE numbering; each number links to its entry below. Entries marked </w:t>
      </w:r>
      <w:r>
        <w:rPr>
          <w:b/>
          <w:color w:val="B01A1A"/>
        </w:rPr>
        <w:t>⚠ VERIFY: confirm full bibliographic details against the primary source</w:t>
      </w:r>
      <w:r>
        <w:t xml:space="preserve"> should be checked before submission.</w:t>
      </w:r>
    </w:p>
    <w:p>
      <w:bookmarkStart w:id="1001" w:name="ref1"/>
      <w:pPr>
        <w:spacing w:after="120"/>
        <w:ind w:left="576" w:hanging="576"/>
        <w:jc w:val="both"/>
      </w:pPr>
      <w:r>
        <w:rPr>
          <w:b/>
        </w:rPr>
        <w:t xml:space="preserve">[1] </w:t>
      </w:r>
      <w:r>
        <w:t>R. Rastgoo, K. Kiani, and S. Escalera, “Sign language recognition: A deep survey,” Expert Systems with Applications, vol. 164, p. 113794, 2021.</w:t>
      </w:r>
      <w:bookmarkEnd w:id="1001"/>
    </w:p>
    <w:p>
      <w:bookmarkStart w:id="1002" w:name="ref2"/>
      <w:pPr>
        <w:spacing w:after="120"/>
        <w:ind w:left="576" w:hanging="576"/>
        <w:jc w:val="both"/>
      </w:pPr>
      <w:r>
        <w:rPr>
          <w:b/>
        </w:rPr>
        <w:t xml:space="preserve">[2] </w:t>
      </w:r>
      <w:r>
        <w:t>C. Lugaresi et al., “MediaPipe: A framework for building perception pipelines,” arXiv:1906.08172, 2019.</w:t>
      </w:r>
      <w:bookmarkEnd w:id="1002"/>
    </w:p>
    <w:p>
      <w:bookmarkStart w:id="1003" w:name="ref3"/>
      <w:pPr>
        <w:spacing w:after="120"/>
        <w:ind w:left="576" w:hanging="576"/>
        <w:jc w:val="both"/>
      </w:pPr>
      <w:r>
        <w:rPr>
          <w:b/>
        </w:rPr>
        <w:t xml:space="preserve">[3] </w:t>
      </w:r>
      <w:r>
        <w:t>F. Zhang et al., “MediaPipe Hands: On-device real-time hand tracking,” arXiv:2006.10214, 2020.</w:t>
      </w:r>
      <w:bookmarkEnd w:id="1003"/>
    </w:p>
    <w:p>
      <w:bookmarkStart w:id="1004" w:name="ref4"/>
      <w:pPr>
        <w:spacing w:after="120"/>
        <w:ind w:left="576" w:hanging="576"/>
        <w:jc w:val="both"/>
      </w:pPr>
      <w:r>
        <w:rPr>
          <w:b/>
        </w:rPr>
        <w:t xml:space="preserve">[4] </w:t>
      </w:r>
      <w:r>
        <w:t xml:space="preserve">Google / PopSign, “Google – Isolated Sign Language Recognition (GISLR),” Kaggle competition, 2023. </w:t>
      </w:r>
      <w:r>
        <w:rPr>
          <w:b/>
          <w:color w:val="B01A1A"/>
        </w:rPr>
        <w:t>⚠ VERIFY: confirm citation, organisers, and dataset licence</w:t>
      </w:r>
      <w:r>
        <w:t>.</w:t>
      </w:r>
      <w:bookmarkEnd w:id="1004"/>
    </w:p>
    <w:p>
      <w:bookmarkStart w:id="1005" w:name="ref5"/>
      <w:pPr>
        <w:spacing w:after="120"/>
        <w:ind w:left="576" w:hanging="576"/>
        <w:jc w:val="both"/>
      </w:pPr>
      <w:r>
        <w:rPr>
          <w:b/>
        </w:rPr>
        <w:t xml:space="preserve">[5] </w:t>
      </w:r>
      <w:r>
        <w:t>N. Reimers and I. Gurevych, “Sentence-BERT: Sentence embeddings using Siamese BERT-networks,” in Proc. EMNLP-IJCNLP, 2019, pp. 3982–3992.</w:t>
      </w:r>
      <w:bookmarkEnd w:id="1005"/>
    </w:p>
    <w:p>
      <w:bookmarkStart w:id="1006" w:name="ref6"/>
      <w:pPr>
        <w:spacing w:after="120"/>
        <w:ind w:left="576" w:hanging="576"/>
        <w:jc w:val="both"/>
      </w:pPr>
      <w:r>
        <w:rPr>
          <w:b/>
        </w:rPr>
        <w:t xml:space="preserve">[6] </w:t>
      </w:r>
      <w:r>
        <w:t>W. Wang et al., “MiniLM: Deep self-attention distillation for task-agnostic compression of pre-trained transformers,” in Proc. NeurIPS, 2020.</w:t>
      </w:r>
      <w:bookmarkEnd w:id="1006"/>
    </w:p>
    <w:p>
      <w:bookmarkStart w:id="1007" w:name="ref7"/>
      <w:pPr>
        <w:spacing w:after="120"/>
        <w:ind w:left="576" w:hanging="576"/>
        <w:jc w:val="both"/>
      </w:pPr>
      <w:r>
        <w:rPr>
          <w:b/>
        </w:rPr>
        <w:t xml:space="preserve">[7] </w:t>
      </w:r>
      <w:r>
        <w:t>A. Vaswani et al., “Attention is all you need,” in Proc. NeurIPS, 2017, pp. 5998–6008.</w:t>
      </w:r>
      <w:bookmarkEnd w:id="1007"/>
    </w:p>
    <w:p>
      <w:bookmarkStart w:id="1008" w:name="ref8"/>
      <w:pPr>
        <w:spacing w:after="120"/>
        <w:ind w:left="576" w:hanging="576"/>
        <w:jc w:val="both"/>
      </w:pPr>
      <w:r>
        <w:rPr>
          <w:b/>
        </w:rPr>
        <w:t xml:space="preserve">[8] </w:t>
      </w:r>
      <w:r>
        <w:t>S. Hochreiter and J. Schmidhuber, “Long short-term memory,” Neural Computation, vol. 9, no. 8, pp. 1735–1780, 1997.</w:t>
      </w:r>
      <w:bookmarkEnd w:id="1008"/>
    </w:p>
    <w:p>
      <w:bookmarkStart w:id="1009" w:name="ref9"/>
      <w:pPr>
        <w:spacing w:after="120"/>
        <w:ind w:left="576" w:hanging="576"/>
        <w:jc w:val="both"/>
      </w:pPr>
      <w:r>
        <w:rPr>
          <w:b/>
        </w:rPr>
        <w:t xml:space="preserve">[9] </w:t>
      </w:r>
      <w:r>
        <w:t>K. Cho et al., “Learning phrase representations using RNN encoder–decoder for statistical machine translation,” in Proc. EMNLP, 2014, pp. 1724–1734.</w:t>
      </w:r>
      <w:bookmarkEnd w:id="1009"/>
    </w:p>
    <w:p>
      <w:bookmarkStart w:id="1010" w:name="ref10"/>
      <w:pPr>
        <w:spacing w:after="120"/>
        <w:ind w:left="576" w:hanging="576"/>
        <w:jc w:val="both"/>
      </w:pPr>
      <w:r>
        <w:rPr>
          <w:b/>
        </w:rPr>
        <w:t xml:space="preserve">[10] </w:t>
      </w:r>
      <w:r>
        <w:t>J. Carreira and A. Zisserman, “Quo vadis, action recognition? A new model and the Kinetics dataset,” in Proc. IEEE CVPR, 2017, pp. 6299–6308.</w:t>
      </w:r>
      <w:bookmarkEnd w:id="1010"/>
    </w:p>
    <w:p>
      <w:bookmarkStart w:id="1011" w:name="ref11"/>
      <w:pPr>
        <w:spacing w:after="120"/>
        <w:ind w:left="576" w:hanging="576"/>
        <w:jc w:val="both"/>
      </w:pPr>
      <w:r>
        <w:rPr>
          <w:b/>
        </w:rPr>
        <w:t xml:space="preserve">[11] </w:t>
      </w:r>
      <w:r>
        <w:t>N. C. Camgoz, S. Hadfield, O. Koller, H. Ney, and R. Bowden, “Neural sign language translation,” in Proc. IEEE CVPR, 2018, pp. 7784–7793.</w:t>
      </w:r>
      <w:bookmarkEnd w:id="1011"/>
    </w:p>
    <w:p>
      <w:bookmarkStart w:id="1012" w:name="ref12"/>
      <w:pPr>
        <w:spacing w:after="120"/>
        <w:ind w:left="576" w:hanging="576"/>
        <w:jc w:val="both"/>
      </w:pPr>
      <w:r>
        <w:rPr>
          <w:b/>
        </w:rPr>
        <w:t xml:space="preserve">[12] </w:t>
      </w:r>
      <w:r>
        <w:t>N. C. Camgoz, O. Koller, S. Hadfield, and R. Bowden, “Sign language transformers: Joint end-to-end sign language recognition and translation,” in Proc. IEEE CVPR, 2020, pp. 10023–10033.</w:t>
      </w:r>
      <w:bookmarkEnd w:id="1012"/>
    </w:p>
    <w:p>
      <w:bookmarkStart w:id="1013" w:name="ref13"/>
      <w:pPr>
        <w:spacing w:after="120"/>
        <w:ind w:left="576" w:hanging="576"/>
        <w:jc w:val="both"/>
      </w:pPr>
      <w:r>
        <w:rPr>
          <w:b/>
        </w:rPr>
        <w:t xml:space="preserve">[13] </w:t>
      </w:r>
      <w:r>
        <w:t>M. M. Kamruzzaman, “Arabic sign language recognition and generating Arabic speech using convolutional neural network,” Wireless Communications and Mobile Computing, vol. 2020, art. 3685614, 2020.</w:t>
      </w:r>
      <w:bookmarkEnd w:id="1013"/>
    </w:p>
    <w:p>
      <w:bookmarkStart w:id="1014" w:name="ref14"/>
      <w:pPr>
        <w:spacing w:after="120"/>
        <w:ind w:left="576" w:hanging="576"/>
        <w:jc w:val="both"/>
      </w:pPr>
      <w:r>
        <w:rPr>
          <w:b/>
        </w:rPr>
        <w:t xml:space="preserve">[14] </w:t>
      </w:r>
      <w:r>
        <w:t>G. Latif, N. Mohammad, J. Alghazo, R. AlKhalaf, and R. AlKhalaf, “ArASL: Arabic alphabets sign language dataset,” Data in Brief, vol. 23, art. 103777, 2019.</w:t>
      </w:r>
      <w:bookmarkEnd w:id="1014"/>
    </w:p>
    <w:p>
      <w:bookmarkStart w:id="1015" w:name="ref15"/>
      <w:pPr>
        <w:spacing w:after="120"/>
        <w:ind w:left="576" w:hanging="576"/>
        <w:jc w:val="both"/>
      </w:pPr>
      <w:r>
        <w:rPr>
          <w:b/>
        </w:rPr>
        <w:t xml:space="preserve">[15] </w:t>
      </w:r>
      <w:r>
        <w:t>O. M. Sincan and H. Y. Keles, “AUTSL: A large scale multi-modal Turkish sign language dataset and baseline methods,” IEEE Access, vol. 8, pp. 181340–181355, 2020.</w:t>
      </w:r>
      <w:bookmarkEnd w:id="1015"/>
    </w:p>
    <w:p>
      <w:bookmarkStart w:id="1016" w:name="ref16"/>
      <w:pPr>
        <w:spacing w:after="120"/>
        <w:ind w:left="576" w:hanging="576"/>
        <w:jc w:val="both"/>
      </w:pPr>
      <w:r>
        <w:rPr>
          <w:b/>
        </w:rPr>
        <w:t xml:space="preserve">[16] </w:t>
      </w:r>
      <w:r>
        <w:t>D. Li, C. Rodriguez, X. Yu, and H. Li, “Word-level deep sign language recognition from video: A new large-scale dataset and methods comparison (WLASL),” in Proc. IEEE WACV, 2020, pp. 1459–1469.</w:t>
      </w:r>
      <w:bookmarkEnd w:id="1016"/>
    </w:p>
    <w:p>
      <w:bookmarkStart w:id="1017" w:name="ref17"/>
      <w:pPr>
        <w:spacing w:after="120"/>
        <w:ind w:left="576" w:hanging="576"/>
        <w:jc w:val="both"/>
      </w:pPr>
      <w:r>
        <w:rPr>
          <w:b/>
        </w:rPr>
        <w:t xml:space="preserve">[17] </w:t>
      </w:r>
      <w:r>
        <w:t>C. Oz and M. C. Leu, “American Sign Language word recognition with a sensory glove using artificial neural networks,” Engineering Applications of Artificial Intelligence, vol. 24, no. 7, pp. 1204–1213, 2011.</w:t>
      </w:r>
      <w:bookmarkEnd w:id="1017"/>
    </w:p>
    <w:p>
      <w:bookmarkStart w:id="1018" w:name="ref18"/>
      <w:pPr>
        <w:spacing w:after="120"/>
        <w:ind w:left="576" w:hanging="576"/>
        <w:jc w:val="both"/>
      </w:pPr>
      <w:r>
        <w:rPr>
          <w:b/>
        </w:rPr>
        <w:t xml:space="preserve">[18] </w:t>
      </w:r>
      <w:r>
        <w:t>J. Devlin, M.-W. Chang, K. Lee, and K. Toutanova, “BERT: Pre-training of deep bidirectional transformers for language understanding,” in Proc. NAACL-HLT, 2019, pp. 4171–4186.</w:t>
      </w:r>
      <w:bookmarkEnd w:id="1018"/>
    </w:p>
    <w:p>
      <w:bookmarkStart w:id="1019" w:name="ref19"/>
      <w:pPr>
        <w:spacing w:after="120"/>
        <w:ind w:left="576" w:hanging="576"/>
        <w:jc w:val="both"/>
      </w:pPr>
      <w:r>
        <w:rPr>
          <w:b/>
        </w:rPr>
        <w:t xml:space="preserve">[19] </w:t>
      </w:r>
      <w:r>
        <w:t>T. Starner, J. Weaver, and A. Pentland, “Real-time American sign language recognition using desk and wearable computer based video,” IEEE Trans. Pattern Analysis and Machine Intelligence, vol. 20, no. 12, pp. 1371–1375, 1998.</w:t>
      </w:r>
      <w:bookmarkEnd w:id="1019"/>
    </w:p>
    <w:p>
      <w:bookmarkStart w:id="1020" w:name="ref20"/>
      <w:pPr>
        <w:spacing w:after="120"/>
        <w:ind w:left="576" w:hanging="576"/>
        <w:jc w:val="both"/>
      </w:pPr>
      <w:r>
        <w:rPr>
          <w:b/>
        </w:rPr>
        <w:t xml:space="preserve">[20] </w:t>
      </w:r>
      <w:r>
        <w:t xml:space="preserve">World Health Organization, “World report on hearing,” Geneva: WHO, 2021. </w:t>
      </w:r>
      <w:r>
        <w:rPr>
          <w:b/>
          <w:color w:val="B01A1A"/>
        </w:rPr>
        <w:t>⚠ VERIFY: cite the specific statistics used in Section 1.1</w:t>
      </w:r>
      <w:r>
        <w:t>.</w:t>
      </w:r>
      <w:bookmarkEnd w:id="1020"/>
    </w:p>
    <w:sectPr w:rsidR="00FC693F" w:rsidRPr="0006063C" w:rsidSect="00034616">
      <w:footerReference w:type="default" r:id="rId11"/>
      <w:pgSz w:w="12240" w:h="15840"/>
      <w:pgMar w:top="1800" w:right="1080" w:bottom="180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jc w:val="left"/>
      <w:outlineLvl w:val="0"/>
    </w:pPr>
    <w:rPr>
      <w:rFonts w:asciiTheme="majorHAnsi" w:eastAsiaTheme="majorEastAsia" w:hAnsiTheme="majorHAnsi" w:cstheme="majorBidi" w:ascii="Times New Roman" w:hAnsi="Times New Roman"/>
      <w:b/>
      <w:bCs/>
      <w:color w:val="11233A"/>
      <w:sz w:val="48"/>
      <w:szCs w:val="28"/>
    </w:rPr>
  </w:style>
  <w:style w:type="paragraph" w:styleId="Heading2">
    <w:name w:val="heading 2"/>
    <w:basedOn w:val="Normal"/>
    <w:next w:val="Normal"/>
    <w:link w:val="Heading2Char"/>
    <w:uiPriority w:val="9"/>
    <w:unhideWhenUsed/>
    <w:qFormat/>
    <w:rsid w:val="00FC693F"/>
    <w:pPr>
      <w:keepNext/>
      <w:keepLines/>
      <w:spacing w:before="280" w:after="160"/>
      <w:jc w:val="left"/>
      <w:outlineLvl w:val="1"/>
    </w:pPr>
    <w:rPr>
      <w:rFonts w:asciiTheme="majorHAnsi" w:eastAsiaTheme="majorEastAsia" w:hAnsiTheme="majorHAnsi" w:cstheme="majorBidi" w:ascii="Times New Roman" w:hAnsi="Times New Roman"/>
      <w:b/>
      <w:bCs/>
      <w:color w:val="11233A"/>
      <w:sz w:val="32"/>
      <w:szCs w:val="26"/>
    </w:rPr>
  </w:style>
  <w:style w:type="paragraph" w:styleId="Heading3">
    <w:name w:val="heading 3"/>
    <w:basedOn w:val="Normal"/>
    <w:next w:val="Normal"/>
    <w:link w:val="Heading3Char"/>
    <w:uiPriority w:val="9"/>
    <w:unhideWhenUsed/>
    <w:qFormat/>
    <w:rsid w:val="00FC693F"/>
    <w:pPr>
      <w:keepNext/>
      <w:keepLines/>
      <w:spacing w:before="280" w:after="160"/>
      <w:jc w:val="left"/>
      <w:outlineLvl w:val="2"/>
    </w:pPr>
    <w:rPr>
      <w:rFonts w:asciiTheme="majorHAnsi" w:eastAsiaTheme="majorEastAsia" w:hAnsiTheme="majorHAnsi" w:cstheme="majorBidi" w:ascii="Times New Roman" w:hAnsi="Times New Roman"/>
      <w:b/>
      <w:bCs/>
      <w:color w:val="11233A"/>
      <w:sz w:val="26"/>
    </w:rPr>
  </w:style>
  <w:style w:type="paragraph" w:styleId="Heading4">
    <w:name w:val="heading 4"/>
    <w:basedOn w:val="Normal"/>
    <w:next w:val="Normal"/>
    <w:link w:val="Heading4Char"/>
    <w:uiPriority w:val="9"/>
    <w:semiHidden/>
    <w:unhideWhenUsed/>
    <w:qFormat/>
    <w:rsid w:val="00FC693F"/>
    <w:pPr>
      <w:keepNext/>
      <w:keepLines/>
      <w:spacing w:before="280" w:after="160"/>
      <w:jc w:val="left"/>
      <w:outlineLvl w:val="3"/>
    </w:pPr>
    <w:rPr>
      <w:rFonts w:asciiTheme="majorHAnsi" w:eastAsiaTheme="majorEastAsia" w:hAnsiTheme="majorHAnsi" w:cstheme="majorBidi" w:ascii="Times New Roman" w:hAnsi="Times New Roman"/>
      <w:b/>
      <w:bCs/>
      <w:i/>
      <w:iCs/>
      <w:color w:val="11233A"/>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