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6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228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303270" cy="12966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3270" cy="1296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02" w:lineRule="exact" w:before="28" w:after="0"/>
        <w:ind w:left="2592" w:right="1872" w:firstLine="0"/>
        <w:jc w:val="center"/>
      </w:pPr>
      <w:r>
        <w:rPr>
          <w:rFonts w:ascii="Liberation Serif" w:hAnsi="Liberation Serif" w:eastAsia="Liberation Serif"/>
          <w:b/>
          <w:i w:val="0"/>
          <w:color w:val="11233A"/>
          <w:sz w:val="28"/>
        </w:rPr>
        <w:t xml:space="preserve">Future University in Egypt </w:t>
      </w:r>
      <w:r>
        <w:br/>
      </w:r>
      <w:r>
        <w:rPr>
          <w:rFonts w:ascii="Liberation Serif" w:hAnsi="Liberation Serif" w:eastAsia="Liberation Serif"/>
          <w:b/>
          <w:i w:val="0"/>
          <w:color w:val="11233A"/>
          <w:sz w:val="28"/>
        </w:rPr>
        <w:t>Faculty of Engineering and Technology</w:t>
      </w:r>
    </w:p>
    <w:p>
      <w:pPr>
        <w:autoSpaceDN w:val="0"/>
        <w:autoSpaceDE w:val="0"/>
        <w:widowControl/>
        <w:spacing w:line="240" w:lineRule="auto" w:before="638" w:after="0"/>
        <w:ind w:left="0" w:right="3584" w:firstLine="0"/>
        <w:jc w:val="right"/>
      </w:pPr>
      <w:r>
        <w:drawing>
          <wp:inline xmlns:a="http://schemas.openxmlformats.org/drawingml/2006/main" xmlns:pic="http://schemas.openxmlformats.org/drawingml/2006/picture">
            <wp:extent cx="944880" cy="9334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44880" cy="93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54" w:lineRule="exact" w:before="564" w:after="0"/>
        <w:ind w:left="720" w:right="0" w:firstLine="0"/>
        <w:jc w:val="center"/>
      </w:pPr>
      <w:r>
        <w:rPr>
          <w:rFonts w:ascii="Liberation Serif" w:hAnsi="Liberation Serif" w:eastAsia="Liberation Serif"/>
          <w:b/>
          <w:i w:val="0"/>
          <w:color w:val="1F7576"/>
          <w:sz w:val="60"/>
        </w:rPr>
        <w:t xml:space="preserve">Together </w:t>
      </w:r>
      <w:r>
        <w:br/>
      </w:r>
      <w:r>
        <w:rPr>
          <w:rFonts w:ascii="Liberation Serif" w:hAnsi="Liberation Serif" w:eastAsia="Liberation Serif"/>
          <w:b/>
          <w:i w:val="0"/>
          <w:color w:val="11233A"/>
          <w:sz w:val="36"/>
        </w:rPr>
        <w:t>An AI-Based Sign-Language Translator (ASL &amp; ArSL)</w:t>
      </w:r>
    </w:p>
    <w:p>
      <w:pPr>
        <w:autoSpaceDN w:val="0"/>
        <w:autoSpaceDE w:val="0"/>
        <w:widowControl/>
        <w:spacing w:line="288" w:lineRule="exact" w:before="212" w:after="0"/>
        <w:ind w:left="0" w:right="2822" w:firstLine="0"/>
        <w:jc w:val="right"/>
      </w:pPr>
      <w:r>
        <w:rPr>
          <w:rFonts w:ascii="Liberation Serif" w:hAnsi="Liberation Serif" w:eastAsia="Liberation Serif"/>
          <w:b w:val="0"/>
          <w:i/>
          <w:color w:val="444444"/>
          <w:sz w:val="26"/>
        </w:rPr>
        <w:t>A Graduation Project Thesis</w:t>
      </w:r>
    </w:p>
    <w:p>
      <w:pPr>
        <w:autoSpaceDN w:val="0"/>
        <w:autoSpaceDE w:val="0"/>
        <w:widowControl/>
        <w:spacing w:line="356" w:lineRule="exact" w:before="292" w:after="162"/>
        <w:ind w:left="0" w:right="4130" w:firstLine="0"/>
        <w:jc w:val="righ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By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952.0" w:type="dxa"/>
      </w:tblPr>
      <w:tblGrid>
        <w:gridCol w:w="4680"/>
        <w:gridCol w:w="4680"/>
      </w:tblGrid>
      <w:tr>
        <w:trPr>
          <w:trHeight w:hRule="exact" w:val="540"/>
        </w:trPr>
        <w:tc>
          <w:tcPr>
            <w:tcW w:type="dxa" w:w="402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Abdelfattah Moustafa</w:t>
            </w:r>
          </w:p>
        </w:tc>
        <w:tc>
          <w:tcPr>
            <w:tcW w:type="dxa" w:w="214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100" w:firstLine="0"/>
              <w:jc w:val="righ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20225889</w:t>
            </w:r>
          </w:p>
        </w:tc>
      </w:tr>
      <w:tr>
        <w:trPr>
          <w:trHeight w:hRule="exact" w:val="544"/>
        </w:trPr>
        <w:tc>
          <w:tcPr>
            <w:tcW w:type="dxa" w:w="402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Michael Abdallah</w:t>
            </w:r>
          </w:p>
        </w:tc>
        <w:tc>
          <w:tcPr>
            <w:tcW w:type="dxa" w:w="214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100" w:firstLine="0"/>
              <w:jc w:val="righ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20213601</w:t>
            </w:r>
          </w:p>
        </w:tc>
      </w:tr>
      <w:tr>
        <w:trPr>
          <w:trHeight w:hRule="exact" w:val="544"/>
        </w:trPr>
        <w:tc>
          <w:tcPr>
            <w:tcW w:type="dxa" w:w="402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Ahmed Mohamed Nagib</w:t>
            </w:r>
          </w:p>
        </w:tc>
        <w:tc>
          <w:tcPr>
            <w:tcW w:type="dxa" w:w="214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100" w:firstLine="0"/>
              <w:jc w:val="righ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20170423</w:t>
            </w:r>
          </w:p>
        </w:tc>
      </w:tr>
      <w:tr>
        <w:trPr>
          <w:trHeight w:hRule="exact" w:val="542"/>
        </w:trPr>
        <w:tc>
          <w:tcPr>
            <w:tcW w:type="dxa" w:w="402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Ahmed Ashraf Shawareb</w:t>
            </w:r>
          </w:p>
        </w:tc>
        <w:tc>
          <w:tcPr>
            <w:tcW w:type="dxa" w:w="214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100" w:firstLine="0"/>
              <w:jc w:val="righ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20180097</w:t>
            </w:r>
          </w:p>
        </w:tc>
      </w:tr>
    </w:tbl>
    <w:p>
      <w:pPr>
        <w:autoSpaceDN w:val="0"/>
        <w:autoSpaceDE w:val="0"/>
        <w:widowControl/>
        <w:spacing w:line="316" w:lineRule="exact" w:before="494" w:after="0"/>
        <w:ind w:left="1152" w:right="432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11233A"/>
          <w:sz w:val="24"/>
        </w:rPr>
        <w:t xml:space="preserve">Submitted to the Department of Computers and Intelligent Systems Engineering </w:t>
      </w:r>
      <w:r>
        <w:rPr>
          <w:rFonts w:ascii="Liberation Serif" w:hAnsi="Liberation Serif" w:eastAsia="Liberation Serif"/>
          <w:b w:val="0"/>
          <w:i w:val="0"/>
          <w:color w:val="11233A"/>
          <w:sz w:val="24"/>
        </w:rPr>
        <w:t xml:space="preserve">in Partial Fulfilment of the Requirements for the Degree of </w:t>
      </w:r>
      <w:r>
        <w:br/>
      </w:r>
      <w:r>
        <w:rPr>
          <w:rFonts w:ascii="Liberation Serif" w:hAnsi="Liberation Serif" w:eastAsia="Liberation Serif"/>
          <w:b/>
          <w:i w:val="0"/>
          <w:color w:val="11233A"/>
          <w:sz w:val="24"/>
        </w:rPr>
        <w:t>Bachelor of Science in Computers and Intelligent Systems Engineering</w:t>
      </w:r>
    </w:p>
    <w:p>
      <w:pPr>
        <w:autoSpaceDN w:val="0"/>
        <w:tabs>
          <w:tab w:pos="470" w:val="left"/>
        </w:tabs>
        <w:autoSpaceDE w:val="0"/>
        <w:widowControl/>
        <w:spacing w:line="356" w:lineRule="exact" w:before="200" w:after="0"/>
        <w:ind w:left="362" w:right="648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4"/>
        </w:rPr>
        <w:t xml:space="preserve">Supervisor(s): </w:t>
      </w:r>
      <w:r>
        <w:br/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Prof. Medhat Awadallah</w:t>
      </w:r>
    </w:p>
    <w:p>
      <w:pPr>
        <w:autoSpaceDN w:val="0"/>
        <w:autoSpaceDE w:val="0"/>
        <w:widowControl/>
        <w:spacing w:line="288" w:lineRule="exact" w:before="802" w:after="0"/>
        <w:ind w:left="0" w:right="3786" w:firstLine="0"/>
        <w:jc w:val="righ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July 2026</w:t>
      </w:r>
    </w:p>
    <w:p>
      <w:pPr>
        <w:sectPr>
          <w:pgSz w:w="12240" w:h="15840"/>
          <w:pgMar w:top="26" w:right="1440" w:bottom="1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Declaration</w:t>
      </w:r>
    </w:p>
    <w:p>
      <w:pPr>
        <w:autoSpaceDN w:val="0"/>
        <w:autoSpaceDE w:val="0"/>
        <w:widowControl/>
        <w:spacing w:line="414" w:lineRule="exact" w:before="274" w:after="796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We confirm that this thesis, presented for the degree of Bachelor of Science in Computers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Intelligent Systems Engineering, has been composed entirely by ourselves, has been solely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result of our own work, and has not been submitted for any other degree or professional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qualification. Where the work of others has been used, it has been duly acknowledged and cited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in the text.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8"/>
        <w:gridCol w:w="3268"/>
        <w:gridCol w:w="3268"/>
      </w:tblGrid>
      <w:tr>
        <w:trPr>
          <w:trHeight w:hRule="exact" w:val="540"/>
        </w:trPr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Author</w:t>
            </w:r>
          </w:p>
        </w:tc>
        <w:tc>
          <w:tcPr>
            <w:tcW w:type="dxa" w:w="2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Signature</w:t>
            </w:r>
          </w:p>
        </w:tc>
        <w:tc>
          <w:tcPr>
            <w:tcW w:type="dxa" w:w="18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Date</w:t>
            </w:r>
          </w:p>
        </w:tc>
      </w:tr>
      <w:tr>
        <w:trPr>
          <w:trHeight w:hRule="exact" w:val="546"/>
        </w:trPr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Abdelfattah Moustafa (20225889)</w:t>
            </w:r>
          </w:p>
        </w:tc>
        <w:tc>
          <w:tcPr>
            <w:tcW w:type="dxa" w:w="2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7-7-2026</w:t>
            </w:r>
          </w:p>
        </w:tc>
      </w:tr>
      <w:tr>
        <w:trPr>
          <w:trHeight w:hRule="exact" w:val="542"/>
        </w:trPr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Michael Abdallah (20213601)</w:t>
            </w:r>
          </w:p>
        </w:tc>
        <w:tc>
          <w:tcPr>
            <w:tcW w:type="dxa" w:w="2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7-7-2026</w:t>
            </w:r>
          </w:p>
        </w:tc>
      </w:tr>
      <w:tr>
        <w:trPr>
          <w:trHeight w:hRule="exact" w:val="542"/>
        </w:trPr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Ahmed Mohamed Nagib (20170423)</w:t>
            </w:r>
          </w:p>
        </w:tc>
        <w:tc>
          <w:tcPr>
            <w:tcW w:type="dxa" w:w="2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7-7-2026</w:t>
            </w:r>
          </w:p>
        </w:tc>
      </w:tr>
      <w:tr>
        <w:trPr>
          <w:trHeight w:hRule="exact" w:val="542"/>
        </w:trPr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Ahmed Ashraf Shawareb (20180097)</w:t>
            </w:r>
          </w:p>
        </w:tc>
        <w:tc>
          <w:tcPr>
            <w:tcW w:type="dxa" w:w="2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7-7-2026</w:t>
            </w:r>
          </w:p>
        </w:tc>
      </w:tr>
    </w:tbl>
    <w:p>
      <w:pPr>
        <w:autoSpaceDN w:val="0"/>
        <w:autoSpaceDE w:val="0"/>
        <w:widowControl/>
        <w:spacing w:line="266" w:lineRule="exact" w:before="6688" w:after="0"/>
        <w:ind w:left="0" w:right="46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ii</w:t>
      </w:r>
    </w:p>
    <w:p>
      <w:pPr>
        <w:sectPr>
          <w:pgSz w:w="12240" w:h="15840"/>
          <w:pgMar w:top="91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Abstract</w:t>
      </w:r>
    </w:p>
    <w:p>
      <w:pPr>
        <w:autoSpaceDN w:val="0"/>
        <w:autoSpaceDE w:val="0"/>
        <w:widowControl/>
        <w:spacing w:line="414" w:lineRule="exact" w:before="27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Everyday communication remains a persistent barrier for deaf and hard-of-hearing individuals.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Current assistive tools usually fall short: they are often unidirectional, restricted to a single high-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resource sign language, or require specialized hardware.</w:t>
      </w:r>
    </w:p>
    <w:p>
      <w:pPr>
        <w:autoSpaceDN w:val="0"/>
        <w:autoSpaceDE w:val="0"/>
        <w:widowControl/>
        <w:spacing w:line="414" w:lineRule="exact" w:before="12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solve this, we created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: a real-time, bidirectional sign-language translation system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operating entirely in a standard web browser. It supports American Sign Language (ASL)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comparatively low-resource Arabic/Egyptian Sign Language (ArSL). The system translates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signs into text and synthesized speech, and turns text or speech back into sign via a landmark-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driven avatar. It also features a live two-person meeting mode, mediating conversations between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 signer and speaker over WebRTC.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Under the hood, the pipeline extracts pose, hand, and face landmarks in the browser using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MediaPipe Holistic. Server-side, isolated signs are classified by two models: a 250-class TFLite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network for ASL and a PyTorch CNN-GRU for the 20-class ArSL set. Recognized signs gather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 a voting buffer and are passed as "gloss" to a large language model (Gemini 3.5 Flash with 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offline Ollama fallback). This AI reconstructs grammatical sentences, bridging the structural gap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between spoken-language syntax and sign-language gloss.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Evaluations confirmed the system's strength. On a within-dataset (70/15/15) split, recognition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 achieved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80%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accuracy for ASL and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99.41%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for ArSL. The ASL model also hit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62.4%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accuracy during evaluation on SignASL dataset, confirming generalization to unseen signers.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Also, ArSL hit 88% accuracy during signer-independent evaluation. Translation quality against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human references reached a BLEU-4 of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0.80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and chrF of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0.91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for ASL, and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0.42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and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0.59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for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ArSL, beating raw-gloss chrF baselines of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0.54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and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0.34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. These word- and character-level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improvements prove the language model effectively supplies the grammatical structure raw gloss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lacks. Ultimately, gloss-mediated, LLM-assisted translation provides a viable, accessible path for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bidirectional communication, particularly for under-resourced sign languages.</w:t>
      </w:r>
    </w:p>
    <w:p>
      <w:pPr>
        <w:autoSpaceDN w:val="0"/>
        <w:autoSpaceDE w:val="0"/>
        <w:widowControl/>
        <w:spacing w:line="266" w:lineRule="exact" w:before="1978" w:after="0"/>
        <w:ind w:left="0" w:right="466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iii</w:t>
      </w:r>
    </w:p>
    <w:p>
      <w:pPr>
        <w:sectPr>
          <w:pgSz w:w="12240" w:h="15840"/>
          <w:pgMar w:top="91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Contents</w:t>
      </w:r>
    </w:p>
    <w:p>
      <w:pPr>
        <w:autoSpaceDN w:val="0"/>
        <w:autoSpaceDE w:val="0"/>
        <w:widowControl/>
        <w:spacing w:line="522" w:lineRule="exact" w:before="172" w:after="0"/>
        <w:ind w:left="288" w:right="2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Declaration......................................................................................................................................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ii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Abstract..........................................................................................................................................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iii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Contents..........................................................................................................................................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 iv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List of Figures..............................................................................................................................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viii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List of Tables...................................................................................................................................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 x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List of Acronyms............................................................................................................................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 xi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List of Symbols.............................................................................................................................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xiii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Chapter 1: Introduction....................................................................................................................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1.1 Motivation.............................................................................................................................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1.2 Aims and Objectives..............................................................................................................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1.3 Proposed Approach...............................................................................................................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1.4 Thesis Organization...............................................................................................................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Chapter 2: Review of Literature......................................................................................................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2.1 Technical Background...........................................................................................................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2.2. Existing Applications and Systems......................................................................................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2.2.1 SignAll............................................................................................................................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2.2.2 Hand Talk.......................................................................................................................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 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2.2.3 SLAIT.............................................................................................................................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2.2.4 KinTrans.......................................................................................................................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2.2.5 Signapse.......................................................................................................................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2.3 Comparison with Together..................................................................................................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2.4 Comparative Analysis.........................................................................................................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>12</w:t>
      </w:r>
    </w:p>
    <w:p>
      <w:pPr>
        <w:autoSpaceDN w:val="0"/>
        <w:autoSpaceDE w:val="0"/>
        <w:widowControl/>
        <w:spacing w:line="266" w:lineRule="exact" w:before="912" w:after="0"/>
        <w:ind w:left="0" w:right="45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iv</w:t>
      </w:r>
    </w:p>
    <w:p>
      <w:pPr>
        <w:sectPr>
          <w:pgSz w:w="12240" w:h="15840"/>
          <w:pgMar w:top="910" w:right="106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510" w:lineRule="exact" w:before="0" w:after="0"/>
        <w:ind w:left="288" w:right="2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Chapter 3: System Analysis and Design.......................................................................................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3.1 Development Process and Methodology.............................................................................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3.2 Requirements and Analysis.................................................................................................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3.2.1 Functional Requirements..............................................................................................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3.2.2 Non-Functional Requirements.....................................................................................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3.2.3 Hardware Requirements...............................................................................................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3.2.4 Use Cases.....................................................................................................................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3.3 System Design and Architecture.........................................................................................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3.3.1 UML Models................................................................................................................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3.3.2 Data Model...................................................................................................................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3.4 Datasets...............................................................................................................................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Chapter 4: Implementation............................................................................................................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4.1 Technology Stack................................................................................................................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4.2 The ASL Recognition Model..............................................................................................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4.2.1 Input and preprocessing...............................................................................................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4.2.2 Architecture..................................................................................................................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4.2.3 Data augmentation........................................................................................................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33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4.2.4 Training and results......................................................................................................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34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4.3 The ArSL Recognition model.............................................................................................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36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4.3.1 Preprocessing...............................................................................................................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36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4.3.2 Architecture..................................................................................................................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36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4.3.3 Data augmentation........................................................................................................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38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4.3.4 Training and results......................................................................................................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>39</w:t>
      </w:r>
    </w:p>
    <w:p>
      <w:pPr>
        <w:autoSpaceDN w:val="0"/>
        <w:autoSpaceDE w:val="0"/>
        <w:widowControl/>
        <w:spacing w:line="266" w:lineRule="exact" w:before="1310" w:after="0"/>
        <w:ind w:left="0" w:right="463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v</w:t>
      </w:r>
    </w:p>
    <w:p>
      <w:pPr>
        <w:sectPr>
          <w:pgSz w:w="12240" w:h="15840"/>
          <w:pgMar w:top="900" w:right="106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510" w:lineRule="exact" w:before="0" w:after="0"/>
        <w:ind w:left="288" w:right="2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4.4 Gloss-to-Sentence Translation............................................................................................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4.5 Sign Synthesis.....................................................................................................................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4.6 Real-Time Integration.........................................................................................................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4.6.1 ASL model...................................................................................................................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4.6.2 ArSL model..................................................................................................................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4.7 Model Comparison..............................................................................................................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4.8 Comparison with Prior Recognition Architectures.............................................................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4.9 The Together Application: Modules and User Interface.....................................................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4.9.1 Translation modules and the shared dashboard............................................................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4.9.2 Dictionary.....................................................................................................................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4.9.3 Analytics.......................................................................................................................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4.9.4 Practice.........................................................................................................................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4.9.5 Bilingual, responsive interface.....................................................................................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4.10 Authentication and Security..............................................................................................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Chapter 5: Testing, Validation and Results...................................................................................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5.1 Evaluation Methodology.....................................................................................................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5.2 Recognition Results.............................................................................................................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5.2.1 Accuracy and generalization........................................................................................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5.2.2 ASL model evaluation metrics.....................................................................................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5.2.3 ArSL model evaluation metrics....................................................................................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5.2.4 Confusion analysis.......................................................................................................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5.3 Translation Quality..............................................................................................................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5.3.1 Results..........................................................................................................................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 58</w:t>
      </w:r>
    </w:p>
    <w:p>
      <w:pPr>
        <w:autoSpaceDN w:val="0"/>
        <w:autoSpaceDE w:val="0"/>
        <w:widowControl/>
        <w:spacing w:line="266" w:lineRule="exact" w:before="1310" w:after="0"/>
        <w:ind w:left="0" w:right="45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vi</w:t>
      </w:r>
    </w:p>
    <w:p>
      <w:pPr>
        <w:sectPr>
          <w:pgSz w:w="12240" w:h="15840"/>
          <w:pgMar w:top="900" w:right="106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506" w:lineRule="exact" w:before="0" w:after="0"/>
        <w:ind w:left="288" w:right="2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5.3.2 Precision–recall analysis..............................................................................................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5.3.3 Discussion....................................................................................................................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5.4 System Performance............................................................................................................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5.4.1 Latency.........................................................................................................................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5.4.1.1 Measured CPU Micro-benchmarks...........................................................................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5.4.2 Model Quantization and CPU Deployment.................................................................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5.5 Functional and System Testing...........................................................................................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5.6 Limitations and Threats to Validity....................................................................................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Chapter 6: Conclusion and Future Work.......................................................................................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6.1 Conclusion...........................................................................................................................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6.2 Contributions.......................................................................................................................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6.3 Limitations..........................................................................................................................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6.4 Future Work........................................................................................................................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6.5 Closing Remarks.................................................................................................................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References.....................................................................................................................................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 67</w:t>
      </w:r>
    </w:p>
    <w:p>
      <w:pPr>
        <w:autoSpaceDN w:val="0"/>
        <w:autoSpaceDE w:val="0"/>
        <w:widowControl/>
        <w:spacing w:line="266" w:lineRule="exact" w:before="5478" w:after="0"/>
        <w:ind w:left="0" w:right="4564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vii</w:t>
      </w:r>
    </w:p>
    <w:p>
      <w:pPr>
        <w:sectPr>
          <w:pgSz w:w="12240" w:h="15840"/>
          <w:pgMar w:top="900" w:right="106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List of Figures</w:t>
      </w:r>
    </w:p>
    <w:p>
      <w:pPr>
        <w:autoSpaceDN w:val="0"/>
        <w:autoSpaceDE w:val="0"/>
        <w:widowControl/>
        <w:spacing w:line="454" w:lineRule="exact" w:before="23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1.1: High-Level Architecture of the Together system..........................................................4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1.2: The bidirectional translation pipeline............................................................................5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1.3: The live two-person meeting pipeline...........................................................................6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3.1: Use-case diagram of the Together platform................................................................16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3.2: High-level system architecture of the Together platform...........................................18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3.3: Context diagram (Data-Flow Diagram, Level 0)........................................................18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3.4: Data-Flow Diagram (Level 1).....................................................................................19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3.5: Component diagram of the backend and frontend......................................................20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3.6: Deployment diagram...................................................................................................21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3.7: Class diagram of the recognition and sign-lookup subsystem....................................22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3.8: Sequence diagram: real-time sign-to-text request flow...............................................23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3.9: Activity diagram of the streaming recognition workflow...........................................24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3.10: State-machine diagram of the capture/recognition states..........................................25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3.11: Entity-Relationship diagram of the PostgreSQL schema..........................................26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4.1: ASL model..................................................................................................................28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4.2: ASL preprocessing......................................................................................................29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4.3: ASL macro architecture...............................................................................................30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4.4: Conv1DBlock internals...............................................................................................31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4.5: Efficient Channel Attention.........................................................................................31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4.6: TransformerBlock.......................................................................................................32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4.7: Causal vs. "same" padding..........................................................................................33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4.8: ASL data augmentation...............................................................................................33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4.9: ASL training configuration &amp; regularization..............................................................34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4.10a: Training and validation accuracies..........................................................................35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Figure 4.10b: Training and validation loss....................................................................................35</w:t>
      </w:r>
    </w:p>
    <w:p>
      <w:pPr>
        <w:autoSpaceDN w:val="0"/>
        <w:autoSpaceDE w:val="0"/>
        <w:widowControl/>
        <w:spacing w:line="266" w:lineRule="exact" w:before="964" w:after="0"/>
        <w:ind w:left="0" w:right="45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viii</w:t>
      </w:r>
    </w:p>
    <w:p>
      <w:pPr>
        <w:sectPr>
          <w:pgSz w:w="12240" w:h="15840"/>
          <w:pgMar w:top="910" w:right="105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444" w:lineRule="exact" w:before="0" w:after="0"/>
        <w:ind w:left="288" w:right="0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4.11: ArSL model...............................................................................................................36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4.12: ArSL CNN-GRU architecture...................................................................................37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4.13: Bidirectional GRU (unfolded)...................................................................................38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4.14: ArSL data augmentation............................................................................................39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4.15: ArSL training configuration......................................................................................39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4.16a: Training and validation accuracies..........................................................................40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4.16b: Training and validation loss....................................................................................40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4.17: ASL Runtime inference &amp; integration pipeline........................................................42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4.18: ArSL runtime inference &amp; integration pipeline........................................................42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4.19: The shared real-time translation dashboard (HandScript, sign-to-text)....................46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4.20: Dictionary: category browsing and search, with avatar and original-signer video...47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4.21: Session Analytics: on-device detection statistics, confidence trend,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language/module breakdown.........................................................................................................48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4.22: Practice: avatar-prompted rounds of ten signs with live attempt feedback...............49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4.23: Representative desktop screen (English, left-to-right)..............................................50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4.24: Representative mobile screen, including the right-to-left Arabic interface..............50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5.1: Recognition accuracy: in-distribution vs. generalization............................................55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5.2: ArSL 20×20 confusion matrix.....................................................................................57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5.3: ASL confusion analysis (most-confused sign pairs)...................................................57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5.4: Translation quality (chrF): LLM vs. raw gloss...........................................................59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5.5: Cumulative BLEU-n profiles......................................................................................59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Figure 5.6: chrF precision vs. recall (the LLM supplies grammar = recall)..................................60</w:t>
      </w:r>
    </w:p>
    <w:p>
      <w:pPr>
        <w:autoSpaceDN w:val="0"/>
        <w:autoSpaceDE w:val="0"/>
        <w:widowControl/>
        <w:spacing w:line="266" w:lineRule="exact" w:before="3284" w:after="0"/>
        <w:ind w:left="0" w:right="466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ix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0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List of Tables</w:t>
      </w:r>
    </w:p>
    <w:p>
      <w:pPr>
        <w:autoSpaceDN w:val="0"/>
        <w:autoSpaceDE w:val="0"/>
        <w:widowControl/>
        <w:spacing w:line="452" w:lineRule="exact" w:before="236" w:after="0"/>
        <w:ind w:left="288" w:right="0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2.1: Comparison of different Datasets...................................................................................8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2.2: Comparison of existing sign-language systems with Together....................................12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3.1: Project development phases and milestones.................................................................13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3.2: Functional requirements...............................................................................................14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3.3: Non-functional requirements........................................................................................14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3.4: Hardware requirements.................................................................................................15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3.5: Principal use cases of the Together platform................................................................17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3.6: Datasets used to train the two recognition models.......................................................26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4.1: ASL vs. ArSL model comparison.................................................................................43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4.2: Neural architecture families for sign-language recognition and where Together's two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 sit....................................................................................................................................... 44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4.3: The five translation modules and the pipelines they expose........................................45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5.1: Evaluation metrics used in this chapter........................................................................53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5.2: Recognition accuracy: in-distribution versus generalization........................................54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5.3: ASL model evaluation metrics.....................................................................................55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5.4: ArSL model evaluation metrics....................................................................................56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5.5: Translation quality (gloss → sentence): LLM vs. raw gloss........................................58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5.6: Inference latency of the two recognition models..........................................................61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5.7: Measured CPU micro-benchmarks...............................................................................61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Table 5.8: Functional test coverage...............................................................................................62</w:t>
      </w:r>
    </w:p>
    <w:p>
      <w:pPr>
        <w:autoSpaceDN w:val="0"/>
        <w:autoSpaceDE w:val="0"/>
        <w:widowControl/>
        <w:spacing w:line="266" w:lineRule="exact" w:before="3034" w:after="0"/>
        <w:ind w:left="0" w:right="470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x</w:t>
      </w:r>
    </w:p>
    <w:p>
      <w:pPr>
        <w:sectPr>
          <w:pgSz w:w="12240" w:h="15840"/>
          <w:pgMar w:top="1030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488" w:lineRule="exact" w:before="0" w:after="412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List of Acronyms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03"/>
        <w:gridCol w:w="4803"/>
      </w:tblGrid>
      <w:tr>
        <w:trPr>
          <w:trHeight w:hRule="exact" w:val="508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1"/>
              </w:rPr>
              <w:t>Acronym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1"/>
              </w:rPr>
              <w:t>Definition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AI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Artificial Intelligence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API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Application Programming Interface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ArSL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Arabic Sign Language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ASGI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Asynchronous Server Gateway Interface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ASL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American Sign Language</w:t>
            </w:r>
          </w:p>
        </w:tc>
      </w:tr>
      <w:tr>
        <w:trPr>
          <w:trHeight w:hRule="exact" w:val="51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BLEU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Bilingual Evaluation Understudy (translation metric)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BN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Batch Normalization</w:t>
            </w:r>
          </w:p>
        </w:tc>
      </w:tr>
      <w:tr>
        <w:trPr>
          <w:trHeight w:hRule="exact" w:val="506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chrF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Character n-gram F-score (translation metric)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CNN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Convolutional Neural Network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CORS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Cross-Origin Resource Sharing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CPU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Central Processing Unit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DFD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Data-Flow Diagram</w:t>
            </w:r>
          </w:p>
        </w:tc>
      </w:tr>
      <w:tr>
        <w:trPr>
          <w:trHeight w:hRule="exact" w:val="51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ECA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Efficient Channel Attention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ECE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Electronics and Communication Engineering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EMA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Exponential Moving Average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ER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Entity-Relationship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FPS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Frames Per Second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1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GAP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Global Average Pooling</w:t>
            </w:r>
          </w:p>
        </w:tc>
      </w:tr>
      <w:tr>
        <w:trPr>
          <w:trHeight w:hRule="exact" w:val="51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GCN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Graph Convolutional Network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GISLR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Google Isolated Sign Language Recognition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GRU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Gated Recurrent Unit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GPU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Graphics Processing Unit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HNSW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Hierarchical Navigable Small World (index)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HoH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Hard-of-Hearing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HTTP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Hypertext Transfer Protocol</w:t>
            </w:r>
          </w:p>
        </w:tc>
      </w:tr>
      <w:tr>
        <w:trPr>
          <w:trHeight w:hRule="exact" w:val="51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I3D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Inflated 3D ConvNet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INT8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8-bit Integer (quantization)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JWT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JSON Web Token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LLM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Large Language Model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LSTM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Long Short-Term Memory</w:t>
            </w:r>
          </w:p>
        </w:tc>
      </w:tr>
      <w:tr>
        <w:trPr>
          <w:trHeight w:hRule="exact" w:val="25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MBConv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Mobile Inverted Bottleneck Convolution</w:t>
            </w:r>
          </w:p>
        </w:tc>
      </w:tr>
    </w:tbl>
    <w:p>
      <w:pPr>
        <w:autoSpaceDN w:val="0"/>
        <w:autoSpaceDE w:val="0"/>
        <w:widowControl/>
        <w:spacing w:line="266" w:lineRule="exact" w:before="1010" w:after="0"/>
        <w:ind w:left="0" w:right="447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xi</w:t>
      </w:r>
    </w:p>
    <w:p>
      <w:pPr>
        <w:sectPr>
          <w:pgSz w:w="12240" w:h="15840"/>
          <w:pgMar w:top="910" w:right="1194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03"/>
        <w:gridCol w:w="4803"/>
      </w:tblGrid>
      <w:tr>
        <w:trPr>
          <w:trHeight w:hRule="exact" w:val="51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MENA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Middle East and North Africa</w:t>
            </w:r>
          </w:p>
        </w:tc>
      </w:tr>
      <w:tr>
        <w:trPr>
          <w:trHeight w:hRule="exact" w:val="508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MHSA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Multi-Head Self-Attention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ML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Machine Learning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MSA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Modern Standard Arabic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NMM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Non-Manual Marker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ORM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Object-Relational Mapping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PCM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Pulse-Code Modulation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PWA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Progressive Web Application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REST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Representational State Transfer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RTL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Right-to-Left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SBERT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Sentence-BERT (sentence embeddings)</w:t>
            </w:r>
          </w:p>
        </w:tc>
      </w:tr>
      <w:tr>
        <w:trPr>
          <w:trHeight w:hRule="exact" w:val="51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SiLU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Sigmoid Linear Unit (Swish activation)</w:t>
            </w:r>
          </w:p>
        </w:tc>
      </w:tr>
    </w:tbl>
    <w:p>
      <w:pPr>
        <w:autoSpaceDN w:val="0"/>
        <w:autoSpaceDE w:val="0"/>
        <w:widowControl/>
        <w:spacing w:line="266" w:lineRule="exact" w:before="8598" w:after="0"/>
        <w:ind w:left="0" w:right="443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xii</w:t>
      </w:r>
    </w:p>
    <w:p>
      <w:pPr>
        <w:sectPr>
          <w:pgSz w:w="12240" w:h="15840"/>
          <w:pgMar w:top="898" w:right="1194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488" w:lineRule="exact" w:before="0" w:after="412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List of Symbols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4680"/>
        <w:gridCol w:w="4680"/>
      </w:tblGrid>
      <w:tr>
        <w:trPr>
          <w:trHeight w:hRule="exact" w:val="508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1"/>
              </w:rPr>
              <w:t>Symbol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1"/>
              </w:rPr>
              <w:t>Meaning</w:t>
            </w:r>
          </w:p>
        </w:tc>
      </w:tr>
      <w:tr>
        <w:trPr>
          <w:trHeight w:hRule="exact" w:val="292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N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Number of frames in a landmark sequence (rolling window, up to 60)</w:t>
            </w:r>
          </w:p>
        </w:tc>
      </w:tr>
      <w:tr>
        <w:trPr>
          <w:trHeight w:hRule="exact" w:val="294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w, h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Captured video frame width and height in pixels</w:t>
            </w:r>
          </w:p>
        </w:tc>
      </w:tr>
      <w:tr>
        <w:trPr>
          <w:trHeight w:hRule="exact" w:val="290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x = (x, y, z)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 single 3-D landmark coordinate (z zeroed for the Arabic model)</w:t>
            </w:r>
          </w:p>
        </w:tc>
      </w:tr>
      <w:tr>
        <w:trPr>
          <w:trHeight w:hRule="exact" w:val="294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Shoulder-centre point used to translate-normalize landmarks</w:t>
            </w:r>
          </w:p>
        </w:tc>
      </w:tr>
      <w:tr>
        <w:trPr>
          <w:trHeight w:hRule="exact" w:val="290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Shoulder-width scale used to size-normalize landmarks</w:t>
            </w:r>
          </w:p>
        </w:tc>
      </w:tr>
      <w:tr>
        <w:trPr>
          <w:trHeight w:hRule="exact" w:val="292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α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Exponential-moving-average smoothing weight (α = 0.65)</w:t>
            </w:r>
          </w:p>
        </w:tc>
      </w:tr>
      <w:tr>
        <w:trPr>
          <w:trHeight w:hRule="exact" w:val="294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pᵢ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Soft-max probability of class i</w:t>
            </w:r>
          </w:p>
        </w:tc>
      </w:tr>
      <w:tr>
        <w:trPr>
          <w:trHeight w:hRule="exact" w:val="292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τ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Confidence-acceptance threshold (τ = 0.80 ASL, 0.45 ArSL)</w:t>
            </w:r>
          </w:p>
        </w:tc>
      </w:tr>
      <w:tr>
        <w:trPr>
          <w:trHeight w:hRule="exact" w:val="290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d_cos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Cosine distance between SBERT embeddings (1 − cosine similarity)</w:t>
            </w:r>
          </w:p>
        </w:tc>
      </w:tr>
      <w:tr>
        <w:trPr>
          <w:trHeight w:hRule="exact" w:val="960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σ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Per-clip landmark standard deviation used to normalize the ASL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features</w:t>
            </w:r>
          </w:p>
        </w:tc>
      </w:tr>
      <w:tr>
        <w:trPr>
          <w:trHeight w:hRule="exact" w:val="956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Δ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(1)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, Δ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(2)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First- and second-order motion (velocity, acceleration) landmark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features</w:t>
            </w:r>
          </w:p>
        </w:tc>
      </w:tr>
      <w:tr>
        <w:trPr>
          <w:trHeight w:hRule="exact" w:val="544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d_k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Self-attention head dimension (d_k = 48)</w:t>
            </w:r>
          </w:p>
        </w:tc>
      </w:tr>
      <w:tr>
        <w:trPr>
          <w:trHeight w:hRule="exact" w:val="540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Number of self-attention heads (H = 4)</w:t>
            </w:r>
          </w:p>
        </w:tc>
      </w:tr>
      <w:tr>
        <w:trPr>
          <w:trHeight w:hRule="exact" w:val="544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Label-smoothing coefficient (ε = 0.1)</w:t>
            </w:r>
          </w:p>
        </w:tc>
      </w:tr>
    </w:tbl>
    <w:p>
      <w:pPr>
        <w:autoSpaceDN w:val="0"/>
        <w:autoSpaceDE w:val="0"/>
        <w:widowControl/>
        <w:spacing w:line="266" w:lineRule="exact" w:before="5446" w:after="0"/>
        <w:ind w:left="0" w:right="415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xiii</w:t>
      </w:r>
    </w:p>
    <w:p>
      <w:pPr>
        <w:sectPr>
          <w:pgSz w:w="12240" w:h="15840"/>
          <w:pgMar w:top="910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6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Chapter 1: Introduction</w:t>
      </w:r>
    </w:p>
    <w:p>
      <w:pPr>
        <w:autoSpaceDN w:val="0"/>
        <w:autoSpaceDE w:val="0"/>
        <w:widowControl/>
        <w:spacing w:line="414" w:lineRule="exact" w:before="27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Communication is a fundamental human right, yet millions of Deaf and hard-of-hearing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individuals find it obstructed on a daily basis. The World Health Organization estimates that over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1.5 billion people currently live with some degree of hearing loss—a number expected to grow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significantly in the coming decades [1]. For many in this community, their first and most natural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 is a signed one, not spoken. Languages like American Sign Language (ASL)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Arabic/Egyptian Sign Language (ArSL) aren't just gestures; they are complete, rule-governed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languages with their own unique grammar, structure, and syntax, completely distinct from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spoken languages around them [2]. The divide between the Deaf and hearing worlds isn't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linguistic deficit—it's simply a translation gap. Most hearing people do not know how to sign,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and we lack the everyday tools to fluently bridge these two worlds in real time.</w:t>
      </w:r>
    </w:p>
    <w:p>
      <w:pPr>
        <w:autoSpaceDN w:val="0"/>
        <w:autoSpaceDE w:val="0"/>
        <w:widowControl/>
        <w:spacing w:line="414" w:lineRule="exact" w:before="12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While automatic sign-language processing has made impressive strides, today's systems still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stumble over three major hurdles [3]. First, they are almost entirely one-way streets: they either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convert sign into text, or animate text into sign, but rarely handle both within the same platform.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Second, research and development tend to focus almost exclusively on high-resource languages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—usually ASL—leaving regional languages like ArSL critically underserved. Finally, many of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these systems require bulky, expensive hardware like data gloves or depth cameras, or they only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work flawlessly in a controlled lab setting. This makes them highly impractical for everyday,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spontaneous use.</w:t>
      </w:r>
    </w:p>
    <w:p>
      <w:pPr>
        <w:autoSpaceDN w:val="0"/>
        <w:autoSpaceDE w:val="0"/>
        <w:widowControl/>
        <w:spacing w:line="414" w:lineRule="exact" w:before="12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solve this, this thesis introduces Together: a real-time, two-way, and bilingual sign-language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translation platform that runs entirely in a standard web browser. It requires zero installation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uses nothing more than an everyday webcam. Together supports both ASL and ArSL, seamlessly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translating in both directions—turning signs into text and spoken audio, while animating text 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speech back into sign language via a responsive, landmark-driven avatar. Beyond standalone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translation, it features a live meeting mode where a signer and a speaker can hold a natural, face-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to-face conversation mediated by a peer-to-peer video connection. These capabilities are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delivered through eight modules — HandScript, VoiceBridge, SignType, TalkSide and SignLine </w:t>
      </w:r>
    </w:p>
    <w:p>
      <w:pPr>
        <w:autoSpaceDN w:val="0"/>
        <w:autoSpaceDE w:val="0"/>
        <w:widowControl/>
        <w:spacing w:line="266" w:lineRule="exact" w:before="1110" w:after="0"/>
        <w:ind w:left="0" w:right="47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</w:t>
      </w:r>
    </w:p>
    <w:p>
      <w:pPr>
        <w:sectPr>
          <w:pgSz w:w="12240" w:h="15840"/>
          <w:pgMar w:top="99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translation, plus Dictionary, Practice and Analytics for reference and learning — within one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bilingual web application.</w:t>
      </w:r>
    </w:p>
    <w:p>
      <w:pPr>
        <w:autoSpaceDN w:val="0"/>
        <w:autoSpaceDE w:val="0"/>
        <w:widowControl/>
        <w:spacing w:line="354" w:lineRule="exact" w:before="96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1.1 Motivation</w:t>
      </w:r>
    </w:p>
    <w:p>
      <w:pPr>
        <w:autoSpaceDN w:val="0"/>
        <w:autoSpaceDE w:val="0"/>
        <w:widowControl/>
        <w:spacing w:line="414" w:lineRule="exact" w:before="206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Socially, accessible communication has a direct effect on the education, employment,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independence of Deaf individuals. A tool that lowers the barrier between signers and non-signers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therefore carries tangible human value. This need is especially pronounced in the Arabic-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speaking world: Arabic Sign Language is used by a large population, yet it remains a low-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resource language in computational terms, with few public datasets and almost no fluent,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bidirectional translation systems. Treating ArSL as a first-class language alongside ASL —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rather than as an afterthought — addresses a genuine and under-explored need.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Technically, recent advances make a practical solution feasible for the first time. Browser-based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landmark extraction removes the dependence on specialised cameras and allows sign articulation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be captured on ordinary consumer devices [4]. Lightweight neural inference makes real-time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recognition possible on commodity hardware. Most importantly, the emergence of capable large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 models offers, for the first time, a robust way to transform the terse, grammatically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distinct gloss produced by sign recognition into fluent, natural-language sentences without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relying on brittle hand-crafted rules [5]. The convergence of these technologies enables a system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that is simultaneously real-time, bidirectional, bilingual, and universally deployable through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web browser — a combination not previously demonstrated.</w:t>
      </w:r>
    </w:p>
    <w:p>
      <w:pPr>
        <w:autoSpaceDN w:val="0"/>
        <w:autoSpaceDE w:val="0"/>
        <w:widowControl/>
        <w:spacing w:line="354" w:lineRule="exact" w:before="96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1.2 Aims and Objectives</w:t>
      </w:r>
    </w:p>
    <w:p>
      <w:pPr>
        <w:autoSpaceDN w:val="0"/>
        <w:autoSpaceDE w:val="0"/>
        <w:widowControl/>
        <w:spacing w:line="414" w:lineRule="exact" w:before="206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core aim of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is to design, build, and evaluate a real-time, two-way sign-language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translation system that operates entirely within a standard web browser. Crucially, it bridges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current technological divide by supporting both a widely researched language (ASL) and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historically under-resourced one (ArSL).</w:t>
      </w:r>
    </w:p>
    <w:p>
      <w:pPr>
        <w:autoSpaceDN w:val="0"/>
        <w:autoSpaceDE w:val="0"/>
        <w:widowControl/>
        <w:spacing w:line="266" w:lineRule="exact" w:before="912" w:after="0"/>
        <w:ind w:left="0" w:right="47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266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To bring this vision to life, we set out to achieve the following key objectives:</w:t>
      </w:r>
    </w:p>
    <w:p>
      <w:pPr>
        <w:autoSpaceDN w:val="0"/>
        <w:tabs>
          <w:tab w:pos="1082" w:val="left"/>
        </w:tabs>
        <w:autoSpaceDE w:val="0"/>
        <w:widowControl/>
        <w:spacing w:line="422" w:lineRule="exact" w:before="9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Build an accessible front-end: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Develop a browser-based tool that uses landmark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extraction to capture live sign movements instantly, requiring no specialized cameras or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hardware.</w:t>
      </w:r>
    </w:p>
    <w:p>
      <w:pPr>
        <w:autoSpaceDN w:val="0"/>
        <w:tabs>
          <w:tab w:pos="1082" w:val="left"/>
        </w:tabs>
        <w:autoSpaceDE w:val="0"/>
        <w:widowControl/>
        <w:spacing w:line="422" w:lineRule="exact" w:before="9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Train robust recognition models: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Train and rigorously test sign-recognition models for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both ASL and ArSL, ensuring they genuinely generalize to new, unseen signers rather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than just memorizing training data.</w:t>
      </w:r>
    </w:p>
    <w:p>
      <w:pPr>
        <w:autoSpaceDN w:val="0"/>
        <w:tabs>
          <w:tab w:pos="1082" w:val="left"/>
        </w:tabs>
        <w:autoSpaceDE w:val="0"/>
        <w:widowControl/>
        <w:spacing w:line="424" w:lineRule="exact" w:before="92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Bridge the grammar gap: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Design a translation stage where a large language model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transforms raw, recognized signs (gloss) into fluent, natural spoken-language sentences,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complete with a reliable offline fallback.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Enable reverse translation: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Bring the system full circle by turning text and spoken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words back into sign language using the semantic retrieval of sign animations.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Unify the experience: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Seamlessly integrate all these moving parts into a single, bilingual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web application, featuring a live, two-person meeting mode for natural conversations.</w:t>
      </w:r>
    </w:p>
    <w:p>
      <w:pPr>
        <w:autoSpaceDN w:val="0"/>
        <w:tabs>
          <w:tab w:pos="1082" w:val="left"/>
        </w:tabs>
        <w:autoSpaceDE w:val="0"/>
        <w:widowControl/>
        <w:spacing w:line="422" w:lineRule="exact" w:before="9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Measure the impact: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Quantitatively evaluate the entire platform—focusing on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recognition accuracy and translation quality—to clearly demonstrate exactly how much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AI language model improves the final translation.</w:t>
      </w:r>
    </w:p>
    <w:p>
      <w:pPr>
        <w:autoSpaceDN w:val="0"/>
        <w:autoSpaceDE w:val="0"/>
        <w:widowControl/>
        <w:spacing w:line="266" w:lineRule="exact" w:before="5434" w:after="0"/>
        <w:ind w:left="0" w:right="470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</w:t>
      </w:r>
    </w:p>
    <w:p>
      <w:pPr>
        <w:sectPr>
          <w:pgSz w:w="12240" w:h="15840"/>
          <w:pgMar w:top="904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1953260</wp:posOffset>
            </wp:positionH>
            <wp:positionV relativeFrom="page">
              <wp:posOffset>3288029</wp:posOffset>
            </wp:positionV>
            <wp:extent cx="4323080" cy="2965444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3080" cy="296544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1.3 Proposed Approach</w:t>
      </w:r>
    </w:p>
    <w:p>
      <w:pPr>
        <w:autoSpaceDN w:val="0"/>
        <w:autoSpaceDE w:val="0"/>
        <w:widowControl/>
        <w:spacing w:line="414" w:lineRule="exact" w:before="206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Together seamlessly weaves computer vision, machine learning, and natural language processing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into one unified pipeline. This high-level architecture is outlined in Fig. 1.1. The client operates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entirely within the web browser, where MediaPipe Holistic instantly captures pose, hand,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face landmarks from a standard webcam feed [4] and streams them server-side. Behind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scenes, a FastAPI back-end smoothly routes requests, runs model inference, and manages real-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time communication. Meanwhile, a PostgreSQL database equipped with a vector extension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stores user data alongside the sign animations needed for the avatar. </w:t>
      </w:r>
    </w:p>
    <w:p>
      <w:pPr>
        <w:autoSpaceDN w:val="0"/>
        <w:autoSpaceDE w:val="0"/>
        <w:widowControl/>
        <w:spacing w:line="222" w:lineRule="exact" w:before="4176" w:after="0"/>
        <w:ind w:left="0" w:right="231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1.1: High-Level Architecture of the Together system</w:t>
      </w:r>
    </w:p>
    <w:p>
      <w:pPr>
        <w:autoSpaceDN w:val="0"/>
        <w:autoSpaceDE w:val="0"/>
        <w:widowControl/>
        <w:spacing w:line="414" w:lineRule="exact" w:before="33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two distinct translation pathways are illustrated in Fig. 1.2. When translating from sign to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text or speech, the incoming landmark stream is classified into specific signs by one of two AI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models: a network for the ASL vocabulary and a recurrent network for ArSL. Because these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 recognize isolated signs, their outputs gather in a voting buffer to form a raw sequence of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words (gloss). This sequence is then handed to a large language model, which reconstructs it into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 natural, grammatically correct sentence and optionally reads it aloud via text-to-speech.</w:t>
      </w:r>
    </w:p>
    <w:p>
      <w:pPr>
        <w:autoSpaceDN w:val="0"/>
        <w:autoSpaceDE w:val="0"/>
        <w:widowControl/>
        <w:spacing w:line="266" w:lineRule="exact" w:before="2366" w:after="0"/>
        <w:ind w:left="0" w:right="47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</w:t>
      </w:r>
    </w:p>
    <w:p>
      <w:pPr>
        <w:sectPr>
          <w:pgSz w:w="12240" w:h="15840"/>
          <w:pgMar w:top="908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3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1487170</wp:posOffset>
            </wp:positionH>
            <wp:positionV relativeFrom="page">
              <wp:posOffset>1187450</wp:posOffset>
            </wp:positionV>
            <wp:extent cx="5256530" cy="251704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251704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72" w:lineRule="exact" w:before="0" w:after="0"/>
        <w:ind w:left="362" w:right="0" w:firstLine="2654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1.2: The bidirectional translation pipeline </w:t>
      </w:r>
      <w:r>
        <w:br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the reverse journey—from speech or text back to sign—spoken input is transcribed, mapped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gloss, and paired with stored sign animations via semantic embedding search, which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digital avatar then plays back. Crucially, the entire system is designed to degrade gracefully to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offline components, ensuring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remains fully functional even if cloud connectivity drops.</w:t>
      </w:r>
    </w:p>
    <w:p>
      <w:pPr>
        <w:autoSpaceDN w:val="0"/>
        <w:autoSpaceDE w:val="0"/>
        <w:widowControl/>
        <w:spacing w:line="414" w:lineRule="exact" w:before="12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These two directions are combined in the live meeting mode, shown in Fig. 1.3, which lets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signer and a speaker hold a real-time conversation. The two participants join a shared room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exchange audio and video over a peer-to-peer connection, with the server coordinating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session and performing translation. The signer's articulation is processed through the sign-to-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text/speech pipeline and delivered to the speaker as live captions and synthesised speech, while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speaker's voice is processed through the speech-to-sign pipeline and presented to the signer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as a sign avatar. The two pipelines therefore run concurrently, one per participant, so that each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person receives the conversation in their own modality.</w:t>
      </w:r>
    </w:p>
    <w:p>
      <w:pPr>
        <w:autoSpaceDN w:val="0"/>
        <w:autoSpaceDE w:val="0"/>
        <w:widowControl/>
        <w:spacing w:line="266" w:lineRule="exact" w:before="4072" w:after="0"/>
        <w:ind w:left="0" w:right="47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</w:t>
      </w:r>
    </w:p>
    <w:p>
      <w:pPr>
        <w:sectPr>
          <w:pgSz w:w="12240" w:h="15840"/>
          <w:pgMar w:top="144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26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3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2330" cy="31000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310007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Liberation Serif" w:hAnsi="Liberation Serif" w:eastAsia="Liberation Serif"/>
          <w:b/>
          <w:i/>
          <w:color w:val="000000"/>
          <w:sz w:val="20"/>
        </w:rPr>
        <w:t>Figure 1.3: The live two-person meeting pipeline</w:t>
      </w:r>
    </w:p>
    <w:p>
      <w:pPr>
        <w:autoSpaceDN w:val="0"/>
        <w:autoSpaceDE w:val="0"/>
        <w:widowControl/>
        <w:spacing w:line="354" w:lineRule="exact" w:before="828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1.4 Thesis Organization</w:t>
      </w:r>
    </w:p>
    <w:p>
      <w:pPr>
        <w:autoSpaceDN w:val="0"/>
        <w:tabs>
          <w:tab w:pos="722" w:val="left"/>
          <w:tab w:pos="1082" w:val="left"/>
        </w:tabs>
        <w:autoSpaceDE w:val="0"/>
        <w:widowControl/>
        <w:spacing w:line="474" w:lineRule="exact" w:before="146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remainder of this thesis explores the system's complete development:</w:t>
      </w:r>
      <w:r>
        <w:br/>
      </w:r>
      <w:r>
        <w:tab/>
      </w: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Chapter 2: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Reviews sign-language linguistics, previous translation research, and existing </w:t>
      </w:r>
      <w:r>
        <w:tab/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ArSL resources.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Chapter 3: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Outlines our system analysis, core requirements, datasets, and architectural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blueprint.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Chapter 4: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Details the technical implementation, including the recognition models, AI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translation, sign synthesis, and real-time infrastructure.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Chapter 5: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Evaluates the platform's accuracy, translation quality, and real-world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behaviour.</w:t>
      </w:r>
    </w:p>
    <w:p>
      <w:pPr>
        <w:autoSpaceDN w:val="0"/>
        <w:tabs>
          <w:tab w:pos="1082" w:val="left"/>
        </w:tabs>
        <w:autoSpaceDE w:val="0"/>
        <w:widowControl/>
        <w:spacing w:line="276" w:lineRule="exact" w:before="240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Chapter 6: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Summarizes our key achievements and highlights directions for future work.</w:t>
      </w:r>
    </w:p>
    <w:p>
      <w:pPr>
        <w:autoSpaceDN w:val="0"/>
        <w:autoSpaceDE w:val="0"/>
        <w:widowControl/>
        <w:spacing w:line="266" w:lineRule="exact" w:before="2070" w:after="0"/>
        <w:ind w:left="0" w:right="470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</w:t>
      </w:r>
    </w:p>
    <w:p>
      <w:pPr>
        <w:sectPr>
          <w:pgSz w:w="12240" w:h="15840"/>
          <w:pgMar w:top="844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6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Chapter 2: Review of Literature</w:t>
      </w:r>
    </w:p>
    <w:p>
      <w:pPr>
        <w:autoSpaceDN w:val="0"/>
        <w:autoSpaceDE w:val="0"/>
        <w:widowControl/>
        <w:spacing w:line="356" w:lineRule="exact" w:before="54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2.1 Technical Background</w:t>
      </w:r>
    </w:p>
    <w:p>
      <w:pPr>
        <w:autoSpaceDN w:val="0"/>
        <w:autoSpaceDE w:val="0"/>
        <w:widowControl/>
        <w:spacing w:line="414" w:lineRule="exact" w:before="20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Sign-language translation decomposes into two directions, and the systems reviewed later differ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chiefly in which they implement and how. The sign-to-spoken direction begins with recognition.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Research benchmarks such as the Word-Level ASL dataset have shown that recognition models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split into appearance-based networks — two-dimensional CNNs with recurrent aggregation, 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three-dimensional CNNs such as I3D — and pose-based networks that operate on extracted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skeleton keypoints, of which graph convolutional networks are the strongest; on a 2,000-sign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vocabulary both families remain below ~35% top-1 accuracy, but pose-based models match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appearance models at far lower cost [6]. Microsoft's MS-ASL provides a comparably large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American benchmark of 1,000 signs recorded from 222 signers in unconstrained conditions [7],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while the Turkish AUTSL corpus added depth and skeleton modalities for 226 signs [8].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skeleton-aware graph approach later won the signer-independent recognition challenge 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AUTSL with around 98% accuracy, confirming that keypoint models generalise to unseen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signers when training data is diverse [9].</w:t>
      </w:r>
    </w:p>
    <w:p>
      <w:pPr>
        <w:autoSpaceDN w:val="0"/>
        <w:autoSpaceDE w:val="0"/>
        <w:widowControl/>
        <w:spacing w:line="414" w:lineRule="exact" w:before="120" w:after="0"/>
        <w:ind w:left="288" w:right="0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spoken-to-sign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direction, and full translation, was formalised by Camgöz et al., who paired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CNN visual encoder with an attention-based recurrent encoder–decoder and used gloss as 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intermediate representation [10], later replacing it with a transformer trained jointly for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recognition and translation via a CTC loss, which roughly doubled quality on the German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PHOENIX14T corpus [11]. Comparable continuous corpora such as How2Sign offer many hours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of aligned ASL video and English text [12], but these resources exist only for high-resource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languages. They are powerful yet depend on large parallel corpora of continuous signing —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resource that does not exist for Arabic Sign Language, whose datasets are small, recorded from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few signers, and often limited to the alphabet (Table 2.1) [13], [14], [15]. Finally, all of these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pipelines terminate in gloss, which is not a grammatical sentence: sign languages use space, non-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manual markers, and a Topic–Comment order that differ from spoken syntax [16], [17], so fluent </w:t>
      </w:r>
    </w:p>
    <w:p>
      <w:pPr>
        <w:autoSpaceDN w:val="0"/>
        <w:autoSpaceDE w:val="0"/>
        <w:widowControl/>
        <w:spacing w:line="266" w:lineRule="exact" w:before="1226" w:after="0"/>
        <w:ind w:left="0" w:right="47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7</w:t>
      </w:r>
    </w:p>
    <w:p>
      <w:pPr>
        <w:sectPr>
          <w:pgSz w:w="12240" w:h="15840"/>
          <w:pgMar w:top="99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362" w:right="74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output requires a dedicated language-generation stage. These three facts — the cost of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recognition, the corpus dependence of translation, and the grammar gap — are the lenses through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which the following systems are assessed.</w:t>
      </w:r>
    </w:p>
    <w:p>
      <w:pPr>
        <w:autoSpaceDN w:val="0"/>
        <w:autoSpaceDE w:val="0"/>
        <w:widowControl/>
        <w:spacing w:line="222" w:lineRule="exact" w:before="266" w:after="122"/>
        <w:ind w:left="0" w:right="300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2.1: Comparison of different Datasets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rHeight w:hRule="exact" w:val="958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Dataset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Language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Level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Size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44" w:right="144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Signer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Modality</w:t>
            </w:r>
          </w:p>
        </w:tc>
      </w:tr>
      <w:tr>
        <w:trPr>
          <w:trHeight w:hRule="exact" w:val="956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WLASL [6]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Isolated (word)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~21,000 videos,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2,000 glosses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100+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RGB video</w:t>
            </w:r>
          </w:p>
        </w:tc>
      </w:tr>
      <w:tr>
        <w:trPr>
          <w:trHeight w:hRule="exact" w:val="958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MS-ASL [7]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Isolated (word)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~25,000 videos,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1,000 signs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RGB video</w:t>
            </w:r>
          </w:p>
        </w:tc>
      </w:tr>
      <w:tr>
        <w:trPr>
          <w:trHeight w:hRule="exact" w:val="958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AUTSL [8]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Turkish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Isolated (word)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38,336 samples,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226 signs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43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RGB, depth,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skeleton</w:t>
            </w:r>
          </w:p>
        </w:tc>
      </w:tr>
      <w:tr>
        <w:trPr>
          <w:trHeight w:hRule="exact" w:val="954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How2Sign [12]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2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Continuous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(sentence)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80+ hours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RGB, depth,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pose, speech</w:t>
            </w:r>
          </w:p>
        </w:tc>
      </w:tr>
      <w:tr>
        <w:trPr>
          <w:trHeight w:hRule="exact" w:val="958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PHOENIX14T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[10]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German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2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Continuous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(sentence)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8,257 sentences,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1,066 glosses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RGB video</w:t>
            </w:r>
          </w:p>
        </w:tc>
      </w:tr>
      <w:tr>
        <w:trPr>
          <w:trHeight w:hRule="exact" w:val="958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KArSL [13]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Isolated (word)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502 signs, 75,300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samples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RGB, depth,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skeleton</w:t>
            </w:r>
          </w:p>
        </w:tc>
      </w:tr>
      <w:tr>
        <w:trPr>
          <w:trHeight w:hRule="exact" w:val="958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ArASL/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ArSL2018 [14]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2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Alphabet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(static)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54,049 images,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32 classes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Grayscale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image</w:t>
            </w:r>
          </w:p>
        </w:tc>
      </w:tr>
    </w:tbl>
    <w:p>
      <w:pPr>
        <w:autoSpaceDN w:val="0"/>
        <w:autoSpaceDE w:val="0"/>
        <w:widowControl/>
        <w:spacing w:line="356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2.2. Existing Applications and Systems</w:t>
      </w:r>
    </w:p>
    <w:p>
      <w:pPr>
        <w:autoSpaceDN w:val="0"/>
        <w:autoSpaceDE w:val="0"/>
        <w:widowControl/>
        <w:spacing w:line="288" w:lineRule="exact" w:before="47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2.2.1 SignAll</w:t>
      </w:r>
    </w:p>
    <w:p>
      <w:pPr>
        <w:autoSpaceDN w:val="0"/>
        <w:autoSpaceDE w:val="0"/>
        <w:widowControl/>
        <w:spacing w:line="414" w:lineRule="exact" w:before="170" w:after="0"/>
        <w:ind w:left="362" w:right="76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SignAll [18] translates American Sign Language into English text at kiosks and in educational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tools, and is one of the few systems to attempt sign-to-text rather than the easier reverse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direction.</w:t>
      </w:r>
    </w:p>
    <w:p>
      <w:pPr>
        <w:autoSpaceDN w:val="0"/>
        <w:autoSpaceDE w:val="0"/>
        <w:widowControl/>
        <w:spacing w:line="266" w:lineRule="exact" w:before="852" w:after="0"/>
        <w:ind w:left="0" w:right="475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8</w:t>
      </w:r>
    </w:p>
    <w:p>
      <w:pPr>
        <w:sectPr>
          <w:pgSz w:w="12240" w:h="15840"/>
          <w:pgMar w:top="904" w:right="942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tabs>
          <w:tab w:pos="1082" w:val="left"/>
        </w:tabs>
        <w:autoSpaceDE w:val="0"/>
        <w:widowControl/>
        <w:spacing w:line="340" w:lineRule="exact" w:before="0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Dataset.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large proprietary corpus of ASL recorded from native Deaf signers, built in-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house to train the recogniser; it is not publicly available.</w:t>
      </w:r>
    </w:p>
    <w:p>
      <w:pPr>
        <w:autoSpaceDN w:val="0"/>
        <w:tabs>
          <w:tab w:pos="1082" w:val="left"/>
        </w:tabs>
        <w:autoSpaceDE w:val="0"/>
        <w:widowControl/>
        <w:spacing w:line="420" w:lineRule="exact" w:before="96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Architecture.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multi-camera rig (typically three or more cameras) combined with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colour-marked gloves for precise finger tracking; computer-vision modules perform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hand-shape and motion recognition, and a rule-based linguistic component maps the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recognised manual and non-manual features to English grammar.</w:t>
      </w:r>
    </w:p>
    <w:p>
      <w:pPr>
        <w:autoSpaceDN w:val="0"/>
        <w:tabs>
          <w:tab w:pos="1082" w:val="left"/>
        </w:tabs>
        <w:autoSpaceDE w:val="0"/>
        <w:widowControl/>
        <w:spacing w:line="422" w:lineRule="exact" w:before="92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Limitation.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The dependence on multiple calibrated cameras and gloves makes it non-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portable and impossible to run in a browser; it is unidirectional (sign → text) and ASL-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only, and its proprietary dataset prevents reproduction.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2.2.2 Hand Talk</w:t>
      </w:r>
    </w:p>
    <w:p>
      <w:pPr>
        <w:autoSpaceDN w:val="0"/>
        <w:autoSpaceDE w:val="0"/>
        <w:widowControl/>
        <w:spacing w:line="414" w:lineRule="exact" w:before="17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Hand Talk [19] is a widely adopted mobile application and website plug-in that converts written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spoken language into sign through a three-dimensional avatar (Hugo), for ASL and Brazilian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 Language (Libras).</w:t>
      </w:r>
    </w:p>
    <w:p>
      <w:pPr>
        <w:autoSpaceDN w:val="0"/>
        <w:tabs>
          <w:tab w:pos="1082" w:val="left"/>
        </w:tabs>
        <w:autoSpaceDE w:val="0"/>
        <w:widowControl/>
        <w:spacing w:line="422" w:lineRule="exact" w:before="9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Dataset.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Rather than a recognition dataset, it relies on a curated dictionary of signs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animated by human translators, paired with a text-processing engine; the translation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component is reported to combine linguistic rules with machine learning.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Architecture.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natural-language layer maps input text to a gloss sequence, which a 3D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character-animation engine renders by playing and blending pre-built sign animations.</w:t>
      </w:r>
    </w:p>
    <w:p>
      <w:pPr>
        <w:autoSpaceDN w:val="0"/>
        <w:tabs>
          <w:tab w:pos="1082" w:val="left"/>
        </w:tabs>
        <w:autoSpaceDE w:val="0"/>
        <w:widowControl/>
        <w:spacing w:line="424" w:lineRule="exact" w:before="92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Limitation.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It is strictly one-directional (spoken → sign) and cannot interpret a user's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own signing; output is bounded by the curated animation vocabulary, and avatar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comprehensibility is a known constraint for fluent signers.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2.2.3 SLAIT</w:t>
      </w:r>
    </w:p>
    <w:p>
      <w:pPr>
        <w:autoSpaceDN w:val="0"/>
        <w:autoSpaceDE w:val="0"/>
        <w:widowControl/>
        <w:spacing w:line="414" w:lineRule="exact" w:before="17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SLAIT [20] demonstrated real-time American Sign Language recognition running directly in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web browser from an ordinary webcam, and is the closest competitor in deployment model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66" w:lineRule="exact" w:before="1294" w:after="0"/>
        <w:ind w:left="0" w:right="47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9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tabs>
          <w:tab w:pos="1082" w:val="left"/>
        </w:tabs>
        <w:autoSpaceDE w:val="0"/>
        <w:widowControl/>
        <w:spacing w:line="340" w:lineRule="exact" w:before="0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Dataset.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self-collected set of recorded signs; public demonstrations covered only a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limited vocabulary of words and phrases.</w:t>
      </w:r>
    </w:p>
    <w:p>
      <w:pPr>
        <w:autoSpaceDN w:val="0"/>
        <w:tabs>
          <w:tab w:pos="1082" w:val="left"/>
        </w:tabs>
        <w:autoSpaceDE w:val="0"/>
        <w:widowControl/>
        <w:spacing w:line="424" w:lineRule="exact" w:before="92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Architecture.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In-browser landmark/keypoint extraction (MediaPipe-style) followed by a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deep sequence model — a recurrent or transformer network over the keypoint stream —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producing text in real time.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Limitation.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Restricted vocabulary, ASL-only, and unidirectional (sign → text); as an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early-stage start-up product its availability and robustness in the wild are uncertain.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2.2.4 KinTrans</w:t>
      </w:r>
    </w:p>
    <w:p>
      <w:pPr>
        <w:autoSpaceDN w:val="0"/>
        <w:autoSpaceDE w:val="0"/>
        <w:widowControl/>
        <w:spacing w:line="414" w:lineRule="exact" w:before="17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KinTrans [21] converts signing into text and voice for enterprise settings such as service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counters, and is notable for supporting Arabic Sign Language alongside ASL.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Dataset.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large proprietary multi-signer corpus recorded by the company, reportedly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spanning thousands of signs and including Arabic content; not public.</w:t>
      </w:r>
    </w:p>
    <w:p>
      <w:pPr>
        <w:autoSpaceDN w:val="0"/>
        <w:tabs>
          <w:tab w:pos="1082" w:val="left"/>
        </w:tabs>
        <w:autoSpaceDE w:val="0"/>
        <w:widowControl/>
        <w:spacing w:line="424" w:lineRule="exact" w:before="9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Architecture.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three-dimensional depth camera captures skeletal joint positions, and a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machine-learning classifier recognises signs from the resulting body- and hand-joint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motion sequences.</w:t>
      </w:r>
    </w:p>
    <w:p>
      <w:pPr>
        <w:autoSpaceDN w:val="0"/>
        <w:tabs>
          <w:tab w:pos="1082" w:val="left"/>
        </w:tabs>
        <w:autoSpaceDE w:val="0"/>
        <w:widowControl/>
        <w:spacing w:line="424" w:lineRule="exact" w:before="92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Limitation.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It requires dedicated 3D-camera hardware and a fixed installation, so it is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neither mobile nor browser-based; it is unidirectional (sign → spoken) and its data is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closed.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2.2.5 Signapse</w:t>
      </w:r>
    </w:p>
    <w:p>
      <w:pPr>
        <w:autoSpaceDN w:val="0"/>
        <w:autoSpaceDE w:val="0"/>
        <w:widowControl/>
        <w:spacing w:line="414" w:lineRule="exact" w:before="17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Signapse [22] generates photorealistic sign-language video from text for fixed contexts such as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transport announcements and website content, in British and American Sign Language.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Dataset.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proprietary corpus of professionally recorded signer footage used to train its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generative models.</w:t>
      </w:r>
    </w:p>
    <w:p>
      <w:pPr>
        <w:autoSpaceDN w:val="0"/>
        <w:autoSpaceDE w:val="0"/>
        <w:widowControl/>
        <w:spacing w:line="266" w:lineRule="exact" w:before="2002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10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tabs>
          <w:tab w:pos="1082" w:val="left"/>
        </w:tabs>
        <w:autoSpaceDE w:val="0"/>
        <w:widowControl/>
        <w:spacing w:line="364" w:lineRule="exact" w:before="0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Architecture.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Deep generative models (GAN-based video synthesis) produce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continuous, photorealistic signing; a text-to-gloss stage drives which signs are generated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and stitched.</w:t>
      </w:r>
    </w:p>
    <w:p>
      <w:pPr>
        <w:autoSpaceDN w:val="0"/>
        <w:tabs>
          <w:tab w:pos="1082" w:val="left"/>
        </w:tabs>
        <w:autoSpaceDE w:val="0"/>
        <w:widowControl/>
        <w:spacing w:line="424" w:lineRule="exact" w:before="9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Limitation.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It is one-directional (spoken → sign), oriented to pre-rendered, domain-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specific announcements rather than open conversation, and does not interpret a user's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signing</w:t>
      </w:r>
    </w:p>
    <w:p>
      <w:pPr>
        <w:autoSpaceDN w:val="0"/>
        <w:autoSpaceDE w:val="0"/>
        <w:widowControl/>
        <w:spacing w:line="354" w:lineRule="exact" w:before="96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2.3 Comparison with Together</w:t>
      </w:r>
    </w:p>
    <w:p>
      <w:pPr>
        <w:autoSpaceDN w:val="0"/>
        <w:autoSpaceDE w:val="0"/>
        <w:widowControl/>
        <w:spacing w:line="414" w:lineRule="exact" w:before="206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Three core differences set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apart, directly addressing the critical gaps left by existing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systems:</w:t>
      </w:r>
    </w:p>
    <w:p>
      <w:pPr>
        <w:autoSpaceDN w:val="0"/>
        <w:tabs>
          <w:tab w:pos="1082" w:val="left"/>
        </w:tabs>
        <w:autoSpaceDE w:val="0"/>
        <w:widowControl/>
        <w:spacing w:line="418" w:lineRule="exact" w:before="98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It is fully bidirectional.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Every other product we reviewed commits to just one direction.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Tools like SignAll, SLAIT, and KinTrans can interpret sign language but cannot produce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it, while Hand Talk and Signapse generate signs but cannot interpret them.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Together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handles both. Furthermore, its live meeting mode runs these processes concurrently,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empowering a signer and a speaker to have a genuine, back-and-forth conversation—a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feature none of the other five systems offer.</w:t>
      </w:r>
    </w:p>
    <w:p>
      <w:pPr>
        <w:autoSpaceDN w:val="0"/>
        <w:tabs>
          <w:tab w:pos="1082" w:val="left"/>
        </w:tabs>
        <w:autoSpaceDE w:val="0"/>
        <w:widowControl/>
        <w:spacing w:line="418" w:lineRule="exact" w:before="98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It champions both high- and low-resource languages.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While KinTrans does include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Arabic, it only translates from sign to spoken language and requires closed hardware.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Together elevates Arabic Sign Language (ArSL) to a first-class language alongside ASL,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seamlessly translating it in both directions. Rather than sidestepping the data-scarcity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problem documented in Table 2.1, Together tackles it head-on.</w:t>
      </w:r>
    </w:p>
    <w:p>
      <w:pPr>
        <w:autoSpaceDN w:val="0"/>
        <w:tabs>
          <w:tab w:pos="1082" w:val="left"/>
        </w:tabs>
        <w:autoSpaceDE w:val="0"/>
        <w:widowControl/>
        <w:spacing w:line="418" w:lineRule="exact" w:before="98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It is hardware-free and reproducible.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SignAll demands a calibrated multi-camera rig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data gloves, and KinTrans requires a depth camera. While SLAIT shares our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browser-and-webcam model, it only works in one direction.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runs effortlessly in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an ordinary web browser. Because it relies on public datasets and an LLM-driven gloss-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to-text pipeline, it is readily deployable without specialized equipment and—unlike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proprietary products—fully reproducible.</w:t>
      </w:r>
    </w:p>
    <w:p>
      <w:pPr>
        <w:autoSpaceDN w:val="0"/>
        <w:autoSpaceDE w:val="0"/>
        <w:widowControl/>
        <w:spacing w:line="266" w:lineRule="exact" w:before="836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11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tabs>
          <w:tab w:pos="2064" w:val="left"/>
        </w:tabs>
        <w:autoSpaceDE w:val="0"/>
        <w:widowControl/>
        <w:spacing w:line="464" w:lineRule="exact" w:before="0" w:after="122"/>
        <w:ind w:left="362" w:right="1728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 xml:space="preserve">2.4 Comparative Analysis </w:t>
      </w:r>
      <w:r>
        <w:br/>
      </w:r>
      <w:r>
        <w:tab/>
      </w:r>
      <w:r>
        <w:rPr>
          <w:rFonts w:ascii="Liberation Serif" w:hAnsi="Liberation Serif" w:eastAsia="Liberation Serif"/>
          <w:b/>
          <w:i/>
          <w:color w:val="000000"/>
          <w:sz w:val="20"/>
        </w:rPr>
        <w:t>Table 2.2: Comparison of existing sign-language systems with Together.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rHeight w:hRule="exact" w:val="544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System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Direction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Languages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Dataset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Architecture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Key limitation</w:t>
            </w:r>
          </w:p>
        </w:tc>
      </w:tr>
      <w:tr>
        <w:trPr>
          <w:trHeight w:hRule="exact" w:val="1370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SignAll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[18]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64" w:val="left"/>
              </w:tabs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→ </w:t>
            </w:r>
          </w:p>
          <w:p>
            <w:pPr>
              <w:autoSpaceDN w:val="0"/>
              <w:autoSpaceDE w:val="0"/>
              <w:widowControl/>
              <w:spacing w:line="266" w:lineRule="exact" w:before="1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Spoken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Proprietary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 corpus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42" w:firstLine="0"/>
              <w:jc w:val="both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Multi-camera CV +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marker gloves +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rule-based NLP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40" w:firstLine="0"/>
              <w:jc w:val="both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Needs camera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rig + gloves;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not portable</w:t>
            </w:r>
          </w:p>
        </w:tc>
      </w:tr>
      <w:tr>
        <w:trPr>
          <w:trHeight w:hRule="exact" w:val="1786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Hand Talk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[19]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Spoken →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0" w:right="576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ASL,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Libras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4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Curated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animation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dictionary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Text→gloss + 3D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avatar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0" w:lineRule="exact" w:before="0" w:after="0"/>
              <w:ind w:left="106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One-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directional;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fixed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vocabulary</w:t>
            </w:r>
          </w:p>
        </w:tc>
      </w:tr>
      <w:tr>
        <w:trPr>
          <w:trHeight w:hRule="exact" w:val="1372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SLAIT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[20]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64" w:val="left"/>
              </w:tabs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→ </w:t>
            </w:r>
          </w:p>
          <w:p>
            <w:pPr>
              <w:autoSpaceDN w:val="0"/>
              <w:autoSpaceDE w:val="0"/>
              <w:widowControl/>
              <w:spacing w:line="266" w:lineRule="exact" w:before="1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Spoken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4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Self-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collected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(small)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42" w:firstLine="0"/>
              <w:jc w:val="both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Webcam landmarks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+ deep sequence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model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Limited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vocabulary;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one-directional</w:t>
            </w:r>
          </w:p>
        </w:tc>
      </w:tr>
      <w:tr>
        <w:trPr>
          <w:trHeight w:hRule="exact" w:val="1782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KinTrans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[21]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64" w:val="left"/>
              </w:tabs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→ </w:t>
            </w:r>
          </w:p>
          <w:p>
            <w:pPr>
              <w:autoSpaceDN w:val="0"/>
              <w:autoSpaceDE w:val="0"/>
              <w:widowControl/>
              <w:spacing w:line="264" w:lineRule="exact" w:before="15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Spoken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ASL, ArSL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4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Proprietary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multi-signer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corpus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3D-camera skeleton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 ML classifier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44" w:val="left"/>
              </w:tabs>
              <w:autoSpaceDE w:val="0"/>
              <w:widowControl/>
              <w:spacing w:line="380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Needs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3D-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camera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hardware; one-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directional</w:t>
            </w:r>
          </w:p>
        </w:tc>
      </w:tr>
      <w:tr>
        <w:trPr>
          <w:trHeight w:hRule="exact" w:val="1374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Signapse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[22]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Spoken →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BSL, ASL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0" w:right="144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Proprietary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signer video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10" w:val="left"/>
              </w:tabs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Deep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generative </w:t>
            </w:r>
          </w:p>
          <w:p>
            <w:pPr>
              <w:autoSpaceDN w:val="0"/>
              <w:autoSpaceDE w:val="0"/>
              <w:widowControl/>
              <w:spacing w:line="266" w:lineRule="exact" w:before="1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(GAN) video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One-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directional;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domain-limited</w:t>
            </w:r>
          </w:p>
        </w:tc>
      </w:tr>
      <w:tr>
        <w:trPr>
          <w:trHeight w:hRule="exact" w:val="1784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Together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(this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work)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Bidirectional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ASL, ArSL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Public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datasets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948" w:val="left"/>
              </w:tabs>
              <w:autoSpaceDE w:val="0"/>
              <w:widowControl/>
              <w:spacing w:line="37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Landmarks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+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isolated models +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LLM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gloss→sentence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Isolated (not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continuous)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signing</w:t>
            </w:r>
          </w:p>
        </w:tc>
      </w:tr>
    </w:tbl>
    <w:p>
      <w:pPr>
        <w:autoSpaceDN w:val="0"/>
        <w:autoSpaceDE w:val="0"/>
        <w:widowControl/>
        <w:spacing w:line="266" w:lineRule="exact" w:before="1970" w:after="0"/>
        <w:ind w:left="0" w:right="46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12</w:t>
      </w:r>
    </w:p>
    <w:p>
      <w:pPr>
        <w:sectPr>
          <w:pgSz w:w="12240" w:h="15840"/>
          <w:pgMar w:top="906" w:right="942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2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Chapter 3: System Analysis and Design</w:t>
      </w:r>
    </w:p>
    <w:p>
      <w:pPr>
        <w:autoSpaceDN w:val="0"/>
        <w:autoSpaceDE w:val="0"/>
        <w:widowControl/>
        <w:spacing w:line="414" w:lineRule="exact" w:before="27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This chapter presents the analysis and design of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through a complete set of models: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requirements and system context, the architecture, the static structure (class and data models),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dynamic behaviour (data-flow, activity, and state models), the interaction (sequence) diagrams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each major scenario, and the datasets used. The detailed design of the two recognition models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is deferred to Chapter 4.</w:t>
      </w:r>
    </w:p>
    <w:p>
      <w:pPr>
        <w:autoSpaceDN w:val="0"/>
        <w:autoSpaceDE w:val="0"/>
        <w:widowControl/>
        <w:spacing w:line="356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3.1 Development Process and Methodology</w:t>
      </w:r>
    </w:p>
    <w:p>
      <w:pPr>
        <w:autoSpaceDN w:val="0"/>
        <w:autoSpaceDE w:val="0"/>
        <w:widowControl/>
        <w:spacing w:line="414" w:lineRule="exact" w:before="204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project followed an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iterative, incremental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process. Rather than specifying the whole system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up front, the team built a thin end-to-end slice first — webcam capture, a single recognition path,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a minimal UI — and then grew it feature by feature, hardening each layer once it worked.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work proceeded in clear phases: a research and data phase; a recognition-model phase for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ASL and then ArSL; a backend-services phase (gloss, providers, sign lookup); a frontend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bilingual-UI phase; a real-time meeting phase; and finally a hardening phase covering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authentication, latency profiling and deployment. </w:t>
      </w:r>
    </w:p>
    <w:p>
      <w:pPr>
        <w:autoSpaceDN w:val="0"/>
        <w:autoSpaceDE w:val="0"/>
        <w:widowControl/>
        <w:spacing w:line="222" w:lineRule="exact" w:before="268" w:after="122"/>
        <w:ind w:left="0" w:right="252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3.1: Project development phases and milestones.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8"/>
        <w:gridCol w:w="3268"/>
        <w:gridCol w:w="3268"/>
      </w:tblGrid>
      <w:tr>
        <w:trPr>
          <w:trHeight w:hRule="exact" w:val="484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9"/>
              </w:rPr>
              <w:t>Phase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9"/>
              </w:rPr>
              <w:t>Period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9"/>
              </w:rPr>
              <w:t>Milestone / deliverable</w:t>
            </w:r>
          </w:p>
        </w:tc>
      </w:tr>
      <w:tr>
        <w:trPr>
          <w:trHeight w:hRule="exact" w:val="490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1. Research &amp; datasets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Oct 2025–Jan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 xml:space="preserve">Literature review; landmark representation; sign-video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corpus</w:t>
            </w:r>
          </w:p>
        </w:tc>
      </w:tr>
      <w:tr>
        <w:trPr>
          <w:trHeight w:hRule="exact" w:val="270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2. ASL recognition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Jan 2026–Feb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250-class TFLite pipeline; live capture &amp; voting</w:t>
            </w:r>
          </w:p>
        </w:tc>
      </w:tr>
      <w:tr>
        <w:trPr>
          <w:trHeight w:hRule="exact" w:val="266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3. ArSL recognition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Feb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20-class CNN-GRU model; bilingual switch</w:t>
            </w:r>
          </w:p>
        </w:tc>
      </w:tr>
      <w:tr>
        <w:trPr>
          <w:trHeight w:hRule="exact" w:val="490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4. Language &amp; lookup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March–Apr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 xml:space="preserve">Gloss engine + NMM; SBERT/pgvector sign lookup;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providers</w:t>
            </w:r>
          </w:p>
        </w:tc>
      </w:tr>
      <w:tr>
        <w:trPr>
          <w:trHeight w:hRule="exact" w:val="268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5. Frontend &amp; RTL UI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Apr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Dashboards (EN/AR), avatar player, design system</w:t>
            </w:r>
          </w:p>
        </w:tc>
      </w:tr>
      <w:tr>
        <w:trPr>
          <w:trHeight w:hRule="exact" w:val="270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6. Meetings &amp; realtime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Apr–May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WebRTC mesh; Socket.IO streaming recognition</w:t>
            </w:r>
          </w:p>
        </w:tc>
      </w:tr>
      <w:tr>
        <w:trPr>
          <w:trHeight w:hRule="exact" w:val="486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7. Evaluation &amp; hardening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May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106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 xml:space="preserve">Baseline eval (Top-1 0.80); auth; latency profiling;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deploy</w:t>
            </w:r>
          </w:p>
        </w:tc>
      </w:tr>
      <w:tr>
        <w:trPr>
          <w:trHeight w:hRule="exact" w:val="270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8. Documentation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Jun–Jul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Thesis, diagrams, final submission</w:t>
            </w:r>
          </w:p>
        </w:tc>
      </w:tr>
    </w:tbl>
    <w:p>
      <w:pPr>
        <w:autoSpaceDN w:val="0"/>
        <w:autoSpaceDE w:val="0"/>
        <w:widowControl/>
        <w:spacing w:line="266" w:lineRule="exact" w:before="212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13</w:t>
      </w:r>
    </w:p>
    <w:p>
      <w:pPr>
        <w:sectPr>
          <w:pgSz w:w="12240" w:h="15840"/>
          <w:pgMar w:top="105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3.2 Requirements and Analysis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requirements were derived from the project aim (Section 1.2) and refined during the iterative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process. They are grouped into functional and non-functional requirements, followed by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hardware and software needed to run the system, and the principal use cases.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3.2.1 Functional Requirements</w:t>
      </w:r>
    </w:p>
    <w:p>
      <w:pPr>
        <w:autoSpaceDN w:val="0"/>
        <w:autoSpaceDE w:val="0"/>
        <w:widowControl/>
        <w:spacing w:line="222" w:lineRule="exact" w:before="316" w:after="122"/>
        <w:ind w:left="0" w:right="3266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3.2: Functional requirements.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7"/>
        <w:gridCol w:w="3267"/>
        <w:gridCol w:w="3267"/>
      </w:tblGrid>
      <w:tr>
        <w:trPr>
          <w:trHeight w:hRule="exact" w:val="47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Requirement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Realised by</w:t>
            </w:r>
          </w:p>
        </w:tc>
      </w:tr>
      <w:tr>
        <w:trPr>
          <w:trHeight w:hRule="exact" w:val="466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FR1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6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Capture webcam video and extract body/hand/face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landmarks in the browser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MediaPipe Holistic</w:t>
            </w:r>
          </w:p>
        </w:tc>
      </w:tr>
      <w:tr>
        <w:trPr>
          <w:trHeight w:hRule="exact" w:val="25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FR2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Recognise isolated ASL signs from a landmark sequence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ASLService.predict_sign</w:t>
            </w:r>
          </w:p>
        </w:tc>
      </w:tr>
      <w:tr>
        <w:trPr>
          <w:trHeight w:hRule="exact" w:val="466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FR3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0" w:after="0"/>
              <w:ind w:left="106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Recognise isolated ArSL signs from a landmark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sequence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SignLanguagePredictor</w:t>
            </w:r>
          </w:p>
        </w:tc>
      </w:tr>
      <w:tr>
        <w:trPr>
          <w:trHeight w:hRule="exact" w:val="258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FR4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Debounce per-frame predictions into stable sign tokens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Vote/cooldown buffer</w:t>
            </w:r>
          </w:p>
        </w:tc>
      </w:tr>
      <w:tr>
        <w:trPr>
          <w:trHeight w:hRule="exact" w:val="25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FR5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Convert recognized gloss into a natural sentence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gloss_to_sentence</w:t>
            </w:r>
          </w:p>
        </w:tc>
      </w:tr>
      <w:tr>
        <w:trPr>
          <w:trHeight w:hRule="exact" w:val="260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FR6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Convert a typed/spoken sentence into sign gloss + NMM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english_to_gloss, annotate_nmm</w:t>
            </w:r>
          </w:p>
        </w:tc>
      </w:tr>
      <w:tr>
        <w:trPr>
          <w:trHeight w:hRule="exact" w:val="25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FR7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Host a live two-party signer–speaker meeting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WebRTC + Socket.IO</w:t>
            </w:r>
          </w:p>
        </w:tc>
      </w:tr>
      <w:tr>
        <w:trPr>
          <w:trHeight w:hRule="exact" w:val="258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FR8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Support English (LTR) and Arabic (RTL) interfaces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Jinja2 templates</w:t>
            </w:r>
          </w:p>
        </w:tc>
      </w:tr>
      <w:tr>
        <w:trPr>
          <w:trHeight w:hRule="exact" w:val="258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FR9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Authenticate users and protect the API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JWT, rate limits</w:t>
            </w:r>
          </w:p>
        </w:tc>
      </w:tr>
    </w:tbl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3.2.2 Non-Functional Requirements</w:t>
      </w:r>
    </w:p>
    <w:p>
      <w:pPr>
        <w:autoSpaceDN w:val="0"/>
        <w:autoSpaceDE w:val="0"/>
        <w:widowControl/>
        <w:spacing w:line="222" w:lineRule="exact" w:before="316" w:after="122"/>
        <w:ind w:left="0" w:right="308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3.3: Non-functional requirements.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7"/>
        <w:gridCol w:w="3267"/>
        <w:gridCol w:w="3267"/>
      </w:tblGrid>
      <w:tr>
        <w:trPr>
          <w:trHeight w:hRule="exact" w:val="472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ID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Quality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Target / mechanism</w:t>
            </w:r>
          </w:p>
        </w:tc>
      </w:tr>
      <w:tr>
        <w:trPr>
          <w:trHeight w:hRule="exact" w:val="46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NFR1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Real-time responsiveness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8" w:right="72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Per-frame streaming at ~20 fps; sign accepted in a few hundred ms;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blocking work off the event loop</w:t>
            </w:r>
          </w:p>
        </w:tc>
      </w:tr>
      <w:tr>
        <w:trPr>
          <w:trHeight w:hRule="exact" w:val="46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NFR2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Concurrency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" w:after="0"/>
              <w:ind w:left="108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No endpoint blocks the event loop; thread-locked single-instance models;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DB pool (size 5, overflow 10)</w:t>
            </w:r>
          </w:p>
        </w:tc>
      </w:tr>
      <w:tr>
        <w:trPr>
          <w:trHeight w:hRule="exact" w:val="466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NFR3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Offline resilience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8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Provider fallback chains (Gemini→Ollama / pyttsx3 / Whisper); rule-based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gloss fallback</w:t>
            </w:r>
          </w:p>
        </w:tc>
      </w:tr>
      <w:tr>
        <w:trPr>
          <w:trHeight w:hRule="exact" w:val="46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NFR4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Security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8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Argon2id hashing; JWT with rotating refresh tokens; sliding-window rate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limiting; security headers</w:t>
            </w:r>
          </w:p>
        </w:tc>
      </w:tr>
      <w:tr>
        <w:trPr>
          <w:trHeight w:hRule="exact" w:val="256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NFR5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Portability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Browser client (no install); Dockerised server; runs on CPU only</w:t>
            </w:r>
          </w:p>
        </w:tc>
      </w:tr>
      <w:tr>
        <w:trPr>
          <w:trHeight w:hRule="exact" w:val="258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NFR6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Accessibility &amp; i18n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Bilingual EN/AR, RTL mirroring, reduced-motion &amp; focus-visible support</w:t>
            </w:r>
          </w:p>
        </w:tc>
      </w:tr>
      <w:tr>
        <w:trPr>
          <w:trHeight w:hRule="exact" w:val="256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NFR7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Observability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Per-stage latency metrics</w:t>
            </w:r>
          </w:p>
        </w:tc>
      </w:tr>
      <w:tr>
        <w:trPr>
          <w:trHeight w:hRule="exact" w:val="256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NFR8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Privacy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Only landmarks (not raw video) are sent to the server for recognition</w:t>
            </w:r>
          </w:p>
        </w:tc>
      </w:tr>
    </w:tbl>
    <w:p>
      <w:pPr>
        <w:autoSpaceDN w:val="0"/>
        <w:autoSpaceDE w:val="0"/>
        <w:widowControl/>
        <w:spacing w:line="266" w:lineRule="exact" w:before="2044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14</w:t>
      </w:r>
    </w:p>
    <w:p>
      <w:pPr>
        <w:sectPr>
          <w:pgSz w:w="12240" w:h="15840"/>
          <w:pgMar w:top="906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2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3.2.3 Hardware Requirements</w:t>
      </w:r>
    </w:p>
    <w:p>
      <w:pPr>
        <w:autoSpaceDN w:val="0"/>
        <w:autoSpaceDE w:val="0"/>
        <w:widowControl/>
        <w:spacing w:line="222" w:lineRule="exact" w:before="316" w:after="120"/>
        <w:ind w:left="0" w:right="331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3.4: Hardware requirements.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7"/>
        <w:gridCol w:w="3267"/>
        <w:gridCol w:w="3267"/>
      </w:tblGrid>
      <w:tr>
        <w:trPr>
          <w:trHeight w:hRule="exact" w:val="474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Component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Minimum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Notes</w:t>
            </w:r>
          </w:p>
        </w:tc>
      </w:tr>
      <w:tr>
        <w:trPr>
          <w:trHeight w:hRule="exact" w:val="464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Client device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Any laptop/desktop/phone with a webcam and a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modern browser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2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MediaPipe runs via WebAssembly; GPU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optional</w:t>
            </w:r>
          </w:p>
        </w:tc>
      </w:tr>
      <w:tr>
        <w:trPr>
          <w:trHeight w:hRule="exact" w:val="466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Camera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Standard 480p+ webcam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" w:after="0"/>
              <w:ind w:left="102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Capture configured at ~480×360, 15–20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fps</w:t>
            </w:r>
          </w:p>
        </w:tc>
      </w:tr>
      <w:tr>
        <w:trPr>
          <w:trHeight w:hRule="exact" w:val="464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Server CPU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2+ cores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102" w:right="86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Inference is CPU-only (TFLite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XNNPACK; PyTorch INT8)</w:t>
            </w:r>
          </w:p>
        </w:tc>
      </w:tr>
      <w:tr>
        <w:trPr>
          <w:trHeight w:hRule="exact" w:val="256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Server RAM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~2–4 GB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SBERT + two models + Postgres client</w:t>
            </w:r>
          </w:p>
        </w:tc>
      </w:tr>
      <w:tr>
        <w:trPr>
          <w:trHeight w:hRule="exact" w:val="256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GPU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Not required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All inference runs on CPU</w:t>
            </w:r>
          </w:p>
        </w:tc>
      </w:tr>
      <w:tr>
        <w:trPr>
          <w:trHeight w:hRule="exact" w:val="466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Network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Broadband / Wi-Fi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" w:after="0"/>
              <w:ind w:left="102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Socket.IO streaming + optional cloud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LLM/TTS/STT</w:t>
            </w:r>
          </w:p>
        </w:tc>
      </w:tr>
    </w:tbl>
    <w:p>
      <w:pPr>
        <w:autoSpaceDN w:val="0"/>
        <w:autoSpaceDE w:val="0"/>
        <w:widowControl/>
        <w:spacing w:line="288" w:lineRule="exact" w:before="52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3.2.4 Use Cases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3.1 shows the use-case diagram with the two human actors — a Deaf/HoH user and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hearing user — and the system/provider actor that fulfils language tasks. Table 3.5 describes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principal use cases.</w:t>
      </w:r>
    </w:p>
    <w:p>
      <w:pPr>
        <w:autoSpaceDN w:val="0"/>
        <w:autoSpaceDE w:val="0"/>
        <w:widowControl/>
        <w:spacing w:line="266" w:lineRule="exact" w:before="7018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15</w:t>
      </w:r>
    </w:p>
    <w:p>
      <w:pPr>
        <w:sectPr>
          <w:pgSz w:w="12240" w:h="15840"/>
          <w:pgMar w:top="906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00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20640" cy="56540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654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03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3.1: Use-case diagram of the Together platform.</w:t>
      </w:r>
    </w:p>
    <w:p>
      <w:pPr>
        <w:autoSpaceDN w:val="0"/>
        <w:autoSpaceDE w:val="0"/>
        <w:widowControl/>
        <w:spacing w:line="266" w:lineRule="exact" w:before="3660" w:after="0"/>
        <w:ind w:left="0" w:right="419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16</w:t>
      </w:r>
    </w:p>
    <w:p>
      <w:pPr>
        <w:sectPr>
          <w:pgSz w:w="12240" w:h="15840"/>
          <w:pgMar w:top="900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4"/>
        <w:ind w:left="0" w:right="0"/>
      </w:pPr>
    </w:p>
    <w:p>
      <w:pPr>
        <w:autoSpaceDN w:val="0"/>
        <w:autoSpaceDE w:val="0"/>
        <w:widowControl/>
        <w:spacing w:line="222" w:lineRule="exact" w:before="0" w:after="120"/>
        <w:ind w:left="0" w:right="247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3.5: Principal use cases of the Together platform.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8"/>
        <w:gridCol w:w="3268"/>
        <w:gridCol w:w="3268"/>
      </w:tblGrid>
      <w:tr>
        <w:trPr>
          <w:trHeight w:hRule="exact" w:val="476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Use case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Actor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Description</w:t>
            </w:r>
          </w:p>
        </w:tc>
      </w:tr>
      <w:tr>
        <w:trPr>
          <w:trHeight w:hRule="exact" w:val="464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0" w:right="72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Sign → Text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(HandScript)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Deaf/HoH user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2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Sign to the webcam; the system recognises signs and shows a natural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sentence</w:t>
            </w:r>
          </w:p>
        </w:tc>
      </w:tr>
      <w:tr>
        <w:trPr>
          <w:trHeight w:hRule="exact" w:val="462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106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Sign → Speech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(VoiceBridge)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Deaf/HoH user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As above, then the sentence is spoken aloud via TTS</w:t>
            </w:r>
          </w:p>
        </w:tc>
      </w:tr>
      <w:tr>
        <w:trPr>
          <w:trHeight w:hRule="exact" w:val="464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6" w:right="72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Text → Sign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(SignType)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Hearing user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Type a sentence; the avatar signs it (gloss → landmark lookup)</w:t>
            </w:r>
          </w:p>
        </w:tc>
      </w:tr>
      <w:tr>
        <w:trPr>
          <w:trHeight w:hRule="exact" w:val="466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" w:after="0"/>
              <w:ind w:left="106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Speech → Sign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(TalkSide)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Hearing user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Speak; STT transcribes, then the avatar signs the text</w:t>
            </w:r>
          </w:p>
        </w:tc>
      </w:tr>
      <w:tr>
        <w:trPr>
          <w:trHeight w:hRule="exact" w:val="464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106" w:right="72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Live meeting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(SignLine)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Both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Two-party WebRTC call with live captions / sign avatar per role</w:t>
            </w:r>
          </w:p>
        </w:tc>
      </w:tr>
      <w:tr>
        <w:trPr>
          <w:trHeight w:hRule="exact" w:val="256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Practice / Dictionary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Deaf/HoH user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Browse the recognised vocabulary and practise individual signs</w:t>
            </w:r>
          </w:p>
        </w:tc>
      </w:tr>
      <w:tr>
        <w:trPr>
          <w:trHeight w:hRule="exact" w:val="256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Register / Login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Both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Create an account and authenticate to use the API</w:t>
            </w:r>
          </w:p>
        </w:tc>
      </w:tr>
      <w:tr>
        <w:trPr>
          <w:trHeight w:hRule="exact" w:val="256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Switch language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Both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Toggle the EN (LTR) and AR (RTL) interface and model</w:t>
            </w:r>
          </w:p>
        </w:tc>
      </w:tr>
    </w:tbl>
    <w:p>
      <w:pPr>
        <w:autoSpaceDN w:val="0"/>
        <w:autoSpaceDE w:val="0"/>
        <w:widowControl/>
        <w:spacing w:line="354" w:lineRule="exact" w:before="29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3.3 System Design and Architecture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Together is a client–server web application. The browser is responsible for capture, landmark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extraction, the avatar and the WebRTC media path; the server hosts the recognition models,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 layer, the sign database and the provider chains. Figure 3.2 gives the high-level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architecture. Four design decisions anchor the system: the frontend is server-rendered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HTML/CSS/JS with no SPA framework or build step; the machine-learning stack uses TFLite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the English model and PyTorch for the Arabic model, with MediaPipe Holistic extracting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landmarks in the browser; real-time communication uses Socket.IO for both streaming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recognition and WebRTC signalling; and persistence uses PostgreSQL with the pgvector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extension for semantic search.</w:t>
      </w:r>
    </w:p>
    <w:p>
      <w:pPr>
        <w:autoSpaceDN w:val="0"/>
        <w:autoSpaceDE w:val="0"/>
        <w:widowControl/>
        <w:spacing w:line="266" w:lineRule="exact" w:before="454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17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7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86400" cy="34150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5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6" w:after="0"/>
        <w:ind w:left="2232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3.2: High-level system architecture of the Together platform.</w:t>
      </w:r>
    </w:p>
    <w:p>
      <w:pPr>
        <w:autoSpaceDN w:val="0"/>
        <w:autoSpaceDE w:val="0"/>
        <w:widowControl/>
        <w:spacing w:line="414" w:lineRule="exact" w:before="33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context diagram frames the system as a single process exchanging data with two human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actors and the external Gemini API, and the Level-1 data-flow diagram (Figure 3.4) decomposes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it into the six functional processes that mirror the use cases.</w:t>
      </w:r>
    </w:p>
    <w:p>
      <w:pPr>
        <w:autoSpaceDN w:val="0"/>
        <w:autoSpaceDE w:val="0"/>
        <w:widowControl/>
        <w:spacing w:line="240" w:lineRule="auto" w:before="256" w:after="0"/>
        <w:ind w:left="100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20640" cy="109727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097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28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3.3: Context diagram (Data-Flow Diagram, Level 0).</w:t>
      </w:r>
    </w:p>
    <w:p>
      <w:pPr>
        <w:autoSpaceDN w:val="0"/>
        <w:autoSpaceDE w:val="0"/>
        <w:widowControl/>
        <w:spacing w:line="266" w:lineRule="exact" w:before="313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18</w:t>
      </w:r>
    </w:p>
    <w:p>
      <w:pPr>
        <w:sectPr>
          <w:pgSz w:w="12240" w:h="15840"/>
          <w:pgMar w:top="90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15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937759" cy="64998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759" cy="6499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6" w:after="0"/>
        <w:ind w:left="0" w:right="302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3.4: Data-Flow Diagram (Level 1).</w:t>
      </w:r>
    </w:p>
    <w:p>
      <w:pPr>
        <w:autoSpaceDN w:val="0"/>
        <w:autoSpaceDE w:val="0"/>
        <w:widowControl/>
        <w:spacing w:line="414" w:lineRule="exact" w:before="33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Internally the server is organised into cooperating components: the FastAPI/Socket.IO entry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point routes requests to the recognition service, the gloss engine, the sign-lookup layer and the </w:t>
      </w:r>
    </w:p>
    <w:p>
      <w:pPr>
        <w:autoSpaceDN w:val="0"/>
        <w:autoSpaceDE w:val="0"/>
        <w:widowControl/>
        <w:spacing w:line="266" w:lineRule="exact" w:before="116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19</w:t>
      </w:r>
    </w:p>
    <w:p>
      <w:pPr>
        <w:sectPr>
          <w:pgSz w:w="12240" w:h="15840"/>
          <w:pgMar w:top="90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84" w:lineRule="exact" w:before="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provider chains, while the database package and the on-disk landmark store provide persistence.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deployment topology shows the browser talking to a containerised web service that is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backed by PostgreSQL and an optional local Ollama service, with Google Gemini reached over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HTTPS as the default cloud provider; in a meeting, media flows peer-to-peer over a WebRTC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mesh while only signalling passes through the server.</w:t>
      </w:r>
    </w:p>
    <w:p>
      <w:pPr>
        <w:autoSpaceDN w:val="0"/>
        <w:autoSpaceDE w:val="0"/>
        <w:widowControl/>
        <w:spacing w:line="240" w:lineRule="auto" w:before="258" w:after="0"/>
        <w:ind w:left="100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20640" cy="35001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0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20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3.5: Component diagram of the backend and frontend.</w:t>
      </w:r>
    </w:p>
    <w:p>
      <w:pPr>
        <w:autoSpaceDN w:val="0"/>
        <w:autoSpaceDE w:val="0"/>
        <w:widowControl/>
        <w:spacing w:line="266" w:lineRule="exact" w:before="4862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20</w:t>
      </w:r>
    </w:p>
    <w:p>
      <w:pPr>
        <w:sectPr>
          <w:pgSz w:w="12240" w:h="15840"/>
          <w:pgMar w:top="904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44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561840" cy="45872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61840" cy="458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3384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3.6: Deployment diagram.</w:t>
      </w:r>
    </w:p>
    <w:p>
      <w:pPr>
        <w:autoSpaceDN w:val="0"/>
        <w:autoSpaceDE w:val="0"/>
        <w:widowControl/>
        <w:spacing w:line="288" w:lineRule="exact" w:before="64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3.3.1 UML Models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static structure of the recognition and lookup subsystem is shown in the class diagram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(Figure 3.7). SignDB encapsulates SBERT-backed semantic lookup over PostgreSQL;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ArabicSignDB and ASLService specialise it — the former for the 20-word Arabic vocab,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latter by adding the TFLite gesture model — and SignLanguagePredictor wraps the PyTorch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CNN-GRU used for Arabic recognition.</w:t>
      </w:r>
    </w:p>
    <w:p>
      <w:pPr>
        <w:autoSpaceDN w:val="0"/>
        <w:autoSpaceDE w:val="0"/>
        <w:widowControl/>
        <w:spacing w:line="266" w:lineRule="exact" w:before="216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21</w:t>
      </w:r>
    </w:p>
    <w:p>
      <w:pPr>
        <w:sectPr>
          <w:pgSz w:w="12240" w:h="15840"/>
          <w:pgMar w:top="90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7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86400" cy="334517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5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12" w:lineRule="exact" w:before="76" w:after="0"/>
        <w:ind w:left="362" w:right="0" w:firstLine="1702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3.7: Class diagram of the recognition and sign-lookup subsystem </w:t>
      </w:r>
      <w:r>
        <w:br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dynamic behaviour of the principal real-time path — a signer producing text — is shown in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sequence diagram (Figure 3.8) and the activity diagram (Figure 3.9). The browser opens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streaming session, sends one landmark frame per tick, and the server maintains a rolling buffer,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runs inference in a worker thread, votes over recent predictions and emits an accepted sign;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separate request then turns the accumulated gloss into a sentence. The capture/recognition logic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itself is a small state machine (Figure 3.10) cycling through idle, buffering, inferring, voting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cooldown states.</w:t>
      </w:r>
    </w:p>
    <w:p>
      <w:pPr>
        <w:autoSpaceDN w:val="0"/>
        <w:autoSpaceDE w:val="0"/>
        <w:widowControl/>
        <w:spacing w:line="266" w:lineRule="exact" w:before="441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22</w:t>
      </w:r>
    </w:p>
    <w:p>
      <w:pPr>
        <w:sectPr>
          <w:pgSz w:w="12240" w:h="15840"/>
          <w:pgMar w:top="90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7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86400" cy="47447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2338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3.8: Sequence diagram: real-time sign-to-text request flow </w:t>
      </w:r>
    </w:p>
    <w:p>
      <w:pPr>
        <w:autoSpaceDN w:val="0"/>
        <w:autoSpaceDE w:val="0"/>
        <w:widowControl/>
        <w:spacing w:line="266" w:lineRule="exact" w:before="5094" w:after="0"/>
        <w:ind w:left="0" w:right="421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23</w:t>
      </w:r>
    </w:p>
    <w:p>
      <w:pPr>
        <w:sectPr>
          <w:pgSz w:w="12240" w:h="15840"/>
          <w:pgMar w:top="900" w:right="142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9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910329" cy="71729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10329" cy="7172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2268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3.9: Activity diagram of the streaming recognition workflow </w:t>
      </w:r>
    </w:p>
    <w:p>
      <w:pPr>
        <w:autoSpaceDN w:val="0"/>
        <w:autoSpaceDE w:val="0"/>
        <w:widowControl/>
        <w:spacing w:line="266" w:lineRule="exact" w:before="1268" w:after="0"/>
        <w:ind w:left="0" w:right="419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24</w:t>
      </w:r>
    </w:p>
    <w:p>
      <w:pPr>
        <w:sectPr>
          <w:pgSz w:w="12240" w:h="15840"/>
          <w:pgMar w:top="900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00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20640" cy="37490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74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2188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3.10: State-machine diagram of the capture/recognition states </w:t>
      </w:r>
    </w:p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3.3.2 Data Model</w:t>
      </w:r>
    </w:p>
    <w:p>
      <w:pPr>
        <w:autoSpaceDN w:val="0"/>
        <w:autoSpaceDE w:val="0"/>
        <w:widowControl/>
        <w:spacing w:line="414" w:lineRule="exact" w:before="170" w:after="0"/>
        <w:ind w:left="288" w:right="0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persistent state is modelled by three entities, shown in Fig. 3.11: users (credentials stored as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hash), refresh_tokens (hashed, expiring, one-to-many with users), and signs (per-language sign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metadata with a vector embedding queried by semantic similarity through pgvector).</w:t>
      </w:r>
    </w:p>
    <w:p>
      <w:pPr>
        <w:autoSpaceDN w:val="0"/>
        <w:autoSpaceDE w:val="0"/>
        <w:widowControl/>
        <w:spacing w:line="266" w:lineRule="exact" w:before="4670" w:after="0"/>
        <w:ind w:left="0" w:right="46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25</w:t>
      </w:r>
    </w:p>
    <w:p>
      <w:pPr>
        <w:sectPr>
          <w:pgSz w:w="12240" w:h="15840"/>
          <w:pgMar w:top="900" w:right="103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57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669280" cy="407289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2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2202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3.11: Entity-Relationship diagram of the PostgreSQL schema </w:t>
      </w:r>
    </w:p>
    <w:p>
      <w:pPr>
        <w:autoSpaceDN w:val="0"/>
        <w:autoSpaceDE w:val="0"/>
        <w:widowControl/>
        <w:spacing w:line="354" w:lineRule="exact" w:before="29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3.4 Datasets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two recognition models are trained on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public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datasets. The ASL model uses 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Google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Isolated Sign Language Recognition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dataset [23] (~100,000 landmark sequences, 250 signs, 21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Deaf signers); a working subset of 4,078 sequences is split 70/15/15 for training, validation,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test. The ArSL model uses 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Arabic Sign Language 20-Words dataset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of Balaha [24] (8,437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samples, 20 signs, 72 signers), split 70/15/15. </w:t>
      </w:r>
    </w:p>
    <w:p>
      <w:pPr>
        <w:autoSpaceDN w:val="0"/>
        <w:autoSpaceDE w:val="0"/>
        <w:widowControl/>
        <w:spacing w:line="222" w:lineRule="exact" w:before="266" w:after="124"/>
        <w:ind w:left="0" w:right="227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3.6: Datasets used to train the two recognition models.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634"/>
        <w:gridCol w:w="1634"/>
        <w:gridCol w:w="1634"/>
        <w:gridCol w:w="1634"/>
        <w:gridCol w:w="1634"/>
        <w:gridCol w:w="1634"/>
      </w:tblGrid>
      <w:tr>
        <w:trPr>
          <w:trHeight w:hRule="exact" w:val="956"/>
        </w:trPr>
        <w:tc>
          <w:tcPr>
            <w:tcW w:type="dxa" w:w="189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Dataset</w:t>
            </w:r>
          </w:p>
        </w:tc>
        <w:tc>
          <w:tcPr>
            <w:tcW w:type="dxa" w:w="123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2" w:lineRule="exact" w:before="0" w:after="0"/>
              <w:ind w:left="144" w:right="144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 xml:space="preserve">Languag </w:t>
            </w: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e</w:t>
            </w:r>
          </w:p>
        </w:tc>
        <w:tc>
          <w:tcPr>
            <w:tcW w:type="dxa" w:w="96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Classes</w:t>
            </w:r>
          </w:p>
        </w:tc>
        <w:tc>
          <w:tcPr>
            <w:tcW w:type="dxa" w:w="112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Samples</w:t>
            </w:r>
          </w:p>
        </w:tc>
        <w:tc>
          <w:tcPr>
            <w:tcW w:type="dxa" w:w="97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2" w:lineRule="exact" w:before="0" w:after="0"/>
              <w:ind w:left="144" w:right="144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 xml:space="preserve">Signer </w:t>
            </w: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</w:t>
            </w:r>
          </w:p>
        </w:tc>
        <w:tc>
          <w:tcPr>
            <w:tcW w:type="dxa" w:w="323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Representation</w:t>
            </w:r>
          </w:p>
        </w:tc>
      </w:tr>
      <w:tr>
        <w:trPr>
          <w:trHeight w:hRule="exact" w:val="544"/>
        </w:trPr>
        <w:tc>
          <w:tcPr>
            <w:tcW w:type="dxa" w:w="189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Google ISLR</w:t>
            </w:r>
          </w:p>
        </w:tc>
        <w:tc>
          <w:tcPr>
            <w:tcW w:type="dxa" w:w="123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96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12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~100,000</w:t>
            </w:r>
          </w:p>
        </w:tc>
        <w:tc>
          <w:tcPr>
            <w:tcW w:type="dxa" w:w="97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323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MediaPipe landmarks (543 pts)</w:t>
            </w:r>
          </w:p>
        </w:tc>
      </w:tr>
      <w:tr>
        <w:trPr>
          <w:trHeight w:hRule="exact" w:val="286"/>
        </w:trPr>
        <w:tc>
          <w:tcPr>
            <w:tcW w:type="dxa" w:w="189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Balaha ArSL-20</w:t>
            </w:r>
          </w:p>
        </w:tc>
        <w:tc>
          <w:tcPr>
            <w:tcW w:type="dxa" w:w="123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96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12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8,437</w:t>
            </w:r>
          </w:p>
        </w:tc>
        <w:tc>
          <w:tcPr>
            <w:tcW w:type="dxa" w:w="97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72</w:t>
            </w:r>
          </w:p>
        </w:tc>
        <w:tc>
          <w:tcPr>
            <w:tcW w:type="dxa" w:w="323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MediaPipe landmarks (59 pts)</w:t>
            </w:r>
          </w:p>
        </w:tc>
      </w:tr>
    </w:tbl>
    <w:p>
      <w:pPr>
        <w:autoSpaceDN w:val="0"/>
        <w:autoSpaceDE w:val="0"/>
        <w:widowControl/>
        <w:spacing w:line="266" w:lineRule="exact" w:before="820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26</w:t>
      </w:r>
    </w:p>
    <w:p>
      <w:pPr>
        <w:sectPr>
          <w:pgSz w:w="12240" w:h="15840"/>
          <w:pgMar w:top="900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2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Chapter 4: Implementation</w:t>
      </w:r>
    </w:p>
    <w:p>
      <w:pPr>
        <w:autoSpaceDN w:val="0"/>
        <w:autoSpaceDE w:val="0"/>
        <w:widowControl/>
        <w:spacing w:line="414" w:lineRule="exact" w:before="27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This chapter describes the implementation of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, concentrating on the two recognition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 — the heart of the system — and then the translation, synthesis, and real-time integration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that surround them. Every model is documented from input representation through architecture,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augmentation, and training. It closes by presenting the eight user-facing modules and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bilingual interface through which all of this reaches the user (Section 4.9).</w:t>
      </w:r>
    </w:p>
    <w:p>
      <w:pPr>
        <w:autoSpaceDN w:val="0"/>
        <w:autoSpaceDE w:val="0"/>
        <w:widowControl/>
        <w:spacing w:line="356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4.1 Technology Stack</w:t>
      </w:r>
    </w:p>
    <w:p>
      <w:pPr>
        <w:autoSpaceDN w:val="0"/>
        <w:autoSpaceDE w:val="0"/>
        <w:widowControl/>
        <w:spacing w:line="414" w:lineRule="exact" w:before="20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system is implemented in Python with a FastAPI + Socket.IO back-end and a server-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rendered, vanilla-JavaScript front-end. Landmarks are extracted in the browser with MediaPipe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Holistic, which builds on the on-device hand-tracking models of MediaPipe [25]. The ASL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 runs through the TensorFlow Lite (LiteRT) interpreter; the ArSL model runs in PyTorch.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Semantic sign retrieval uses Sentence-BERT [26] over a PostgreSQL + pgvector store,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language generation uses Gemini [27] with a local LLaMA-based Ollama fallback [28].</w:t>
      </w:r>
    </w:p>
    <w:p>
      <w:pPr>
        <w:autoSpaceDN w:val="0"/>
        <w:autoSpaceDE w:val="0"/>
        <w:widowControl/>
        <w:spacing w:line="356" w:lineRule="exact" w:before="96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4.2 The ASL Recognition Model</w:t>
      </w:r>
    </w:p>
    <w:p>
      <w:pPr>
        <w:autoSpaceDN w:val="0"/>
        <w:autoSpaceDE w:val="0"/>
        <w:widowControl/>
        <w:spacing w:line="288" w:lineRule="exact" w:before="47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4.2.1 Input and preprocessing</w:t>
      </w:r>
    </w:p>
    <w:p>
      <w:pPr>
        <w:autoSpaceDN w:val="0"/>
        <w:autoSpaceDE w:val="0"/>
        <w:widowControl/>
        <w:spacing w:line="414" w:lineRule="exact" w:before="17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end-to-end shape flow of the ASL model is shown in Fig. 4.1. The network core operates 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feature tensor of shape (L, C); at inference the deployed TFLite model instead accepts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raw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MediaPipe landmarks of shape (60, 543, 3) and performs all preprocessing inside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graph, so the browser only sends raw coordinates.</w:t>
      </w:r>
    </w:p>
    <w:p>
      <w:pPr>
        <w:autoSpaceDN w:val="0"/>
        <w:autoSpaceDE w:val="0"/>
        <w:widowControl/>
        <w:spacing w:line="266" w:lineRule="exact" w:before="253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27</w:t>
      </w:r>
    </w:p>
    <w:p>
      <w:pPr>
        <w:sectPr>
          <w:pgSz w:w="12240" w:h="15840"/>
          <w:pgMar w:top="105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3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2498090</wp:posOffset>
            </wp:positionH>
            <wp:positionV relativeFrom="page">
              <wp:posOffset>701040</wp:posOffset>
            </wp:positionV>
            <wp:extent cx="3233420" cy="4209547"/>
            <wp:wrapNone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33420" cy="420954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22" w:lineRule="exact" w:before="0" w:after="0"/>
        <w:ind w:left="0" w:right="381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4.1: ASL model</w:t>
      </w:r>
    </w:p>
    <w:p>
      <w:pPr>
        <w:autoSpaceDN w:val="0"/>
        <w:autoSpaceDE w:val="0"/>
        <w:widowControl/>
        <w:spacing w:line="414" w:lineRule="exact" w:before="51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preprocessing stage (Fig. 4.2) selects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118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of the 543 landmarks (lips, both hands, and upper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body),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drops the z axis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to keep only (x, y), centres the coordinates on the nose landmark,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normalises by the sequence standard deviation. First- and second-order motion features (dx, dy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dx², dy²) are concatenated with the coordinates, yielding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708 features per frame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(118 × 6).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During training, sequences are padded to a maximum length of 384, giving a feature tensor of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shape (384, 708).</w:t>
      </w:r>
    </w:p>
    <w:p>
      <w:pPr>
        <w:autoSpaceDN w:val="0"/>
        <w:autoSpaceDE w:val="0"/>
        <w:widowControl/>
        <w:spacing w:line="414" w:lineRule="exact" w:before="12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Formally, with p_t the (x, y) landmark vector at frame t and p_nose the nose landmark, the per-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clip standardization and motion features are:</w:t>
      </w:r>
    </w:p>
    <w:p>
      <w:pPr>
        <w:autoSpaceDN w:val="0"/>
        <w:autoSpaceDE w:val="0"/>
        <w:widowControl/>
        <w:spacing w:line="388" w:lineRule="exact" w:before="172" w:after="72"/>
        <w:ind w:left="0" w:right="4014" w:firstLine="0"/>
        <w:jc w:val="right"/>
      </w:pPr>
      <w:r>
        <w:rPr>
          <w:rFonts w:ascii="OpenSymbol" w:hAnsi="OpenSymbol" w:eastAsia="OpenSymbol"/>
          <w:b w:val="0"/>
          <w:i w:val="0"/>
          <w:color w:val="000000"/>
          <w:sz w:val="22"/>
        </w:rPr>
        <w:t>~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p</w:t>
      </w:r>
      <w:r>
        <w:rPr>
          <w:w w:val="103.22583743504114"/>
          <w:rFonts w:ascii="Liberation Serif" w:hAnsi="Liberation Serif" w:eastAsia="Liberation Serif"/>
          <w:b w:val="0"/>
          <w:i/>
          <w:color w:val="000000"/>
          <w:sz w:val="14"/>
        </w:rPr>
        <w:t>t ,i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</w:t>
      </w:r>
      <w:r>
        <w:rPr>
          <w:w w:val="103.22583743504114"/>
          <w:rFonts w:ascii="Liberation Serif" w:hAnsi="Liberation Serif" w:eastAsia="Liberation Serif"/>
          <w:b w:val="0"/>
          <w:i/>
          <w:color w:val="000000"/>
          <w:sz w:val="14"/>
        </w:rPr>
        <w:t>t ,i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-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</w:t>
      </w:r>
      <w:r>
        <w:rPr>
          <w:w w:val="103.22583743504114"/>
          <w:rFonts w:ascii="Liberation Serif" w:hAnsi="Liberation Serif" w:eastAsia="Liberation Serif"/>
          <w:b w:val="0"/>
          <w:i/>
          <w:color w:val="000000"/>
          <w:sz w:val="14"/>
        </w:rPr>
        <w:t>t ,nose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60.0" w:type="dxa"/>
      </w:tblPr>
      <w:tblGrid>
        <w:gridCol w:w="3267"/>
        <w:gridCol w:w="3267"/>
        <w:gridCol w:w="3267"/>
      </w:tblGrid>
      <w:tr>
        <w:trPr>
          <w:trHeight w:hRule="exact" w:val="906"/>
        </w:trPr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302" w:after="0"/>
              <w:ind w:left="0" w:right="16" w:firstLine="0"/>
              <w:jc w:val="right"/>
            </w:pPr>
            <w:r>
              <w:rPr>
                <w:w w:val="98.97433008466449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>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 ,i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</w:p>
        </w:tc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4" w:val="left"/>
                <w:tab w:pos="1536" w:val="left"/>
              </w:tabs>
              <w:autoSpaceDE w:val="0"/>
              <w:widowControl/>
              <w:spacing w:line="376" w:lineRule="exact" w:before="74" w:after="0"/>
              <w:ind w:left="28" w:right="0" w:firstLine="0"/>
              <w:jc w:val="left"/>
            </w:pPr>
            <w:r>
              <w:rPr>
                <w:rFonts w:ascii="OpenSymbol" w:hAnsi="OpenSymbol" w:eastAsia="OpenSymbol"/>
                <w:b w:val="0"/>
                <w:i w:val="0"/>
                <w:color w:val="000000"/>
                <w:sz w:val="22"/>
              </w:rPr>
              <w:t>~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 ,i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σ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,σ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w w:val="98.97433689662388"/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√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/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|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V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|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∑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 ,i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w w:val="102.85714013235909"/>
                <w:rFonts w:ascii="NimbusRoman" w:hAnsi="NimbusRoman" w:eastAsia="NimbusRoman"/>
                <w:b w:val="0"/>
                <w:i/>
                <w:color w:val="000000"/>
                <w:sz w:val="14"/>
              </w:rPr>
              <w:t>∈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V</w:t>
            </w:r>
          </w:p>
        </w:tc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232" w:after="0"/>
              <w:ind w:left="0" w:right="0" w:firstLine="0"/>
              <w:jc w:val="left"/>
            </w:pP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∥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2"/>
              </w:rPr>
              <w:t>~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 ,i</w:t>
            </w: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∥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</w:t>
            </w:r>
          </w:p>
        </w:tc>
      </w:tr>
      <w:tr>
        <w:trPr>
          <w:trHeight w:hRule="exact" w:val="560"/>
        </w:trPr>
        <w:tc>
          <w:tcPr>
            <w:tcW w:type="dxa" w:w="6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exact" w:before="44" w:after="0"/>
              <w:ind w:left="0" w:right="1564" w:firstLine="0"/>
              <w:jc w:val="righ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Δ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rPr>
                <w:w w:val="103.2738481249128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1</w:t>
            </w:r>
            <w:r>
              <w:rPr>
                <w:w w:val="103.2738481249128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w w:val="98.27235766819545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 xml:space="preserve"> 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-</w:t>
            </w:r>
            <w:r>
              <w:rPr>
                <w:w w:val="98.27235766819545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 xml:space="preserve"> 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-1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 Δ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rPr>
                <w:w w:val="103.2738481249128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</w:t>
            </w:r>
            <w:r>
              <w:rPr>
                <w:w w:val="103.2738481249128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w w:val="98.27235766819545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 xml:space="preserve"> 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+1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-2</w:t>
            </w:r>
            <w:r>
              <w:rPr>
                <w:w w:val="98.27235766819545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 xml:space="preserve"> 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+</w:t>
            </w:r>
            <w:r>
              <w:rPr>
                <w:w w:val="98.27235766819545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 xml:space="preserve"> 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-1</w:t>
            </w:r>
          </w:p>
        </w:tc>
      </w:tr>
      <w:tr>
        <w:trPr>
          <w:trHeight w:hRule="exact" w:val="526"/>
        </w:trPr>
        <w:tc>
          <w:tcPr>
            <w:tcW w:type="dxa" w:w="4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exact" w:before="86" w:after="0"/>
              <w:ind w:left="0" w:right="0" w:firstLine="0"/>
              <w:jc w:val="righ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f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t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[</w:t>
            </w:r>
            <w:r>
              <w:rPr>
                <w:w w:val="98.97433008466449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 xml:space="preserve"> 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‖ Δ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1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‖ Δ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]</w:t>
            </w: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∈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ℝ</w:t>
            </w:r>
          </w:p>
        </w:tc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10" w:after="0"/>
              <w:ind w:left="28" w:right="0" w:firstLine="0"/>
              <w:jc w:val="left"/>
            </w:pP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708</w:t>
            </w:r>
          </w:p>
        </w:tc>
      </w:tr>
    </w:tbl>
    <w:p>
      <w:pPr>
        <w:autoSpaceDN w:val="0"/>
        <w:autoSpaceDE w:val="0"/>
        <w:widowControl/>
        <w:spacing w:line="266" w:lineRule="exact" w:before="1168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28</w:t>
      </w:r>
    </w:p>
    <w:p>
      <w:pPr>
        <w:sectPr>
          <w:pgSz w:w="12240" w:h="15840"/>
          <w:pgMar w:top="1440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78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1143000</wp:posOffset>
            </wp:positionH>
            <wp:positionV relativeFrom="page">
              <wp:posOffset>953769</wp:posOffset>
            </wp:positionV>
            <wp:extent cx="5942330" cy="2228755"/>
            <wp:wrapNone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222875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22" w:lineRule="exact" w:before="0" w:after="0"/>
        <w:ind w:left="0" w:right="349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4.2: ASL preprocessing</w:t>
      </w:r>
    </w:p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4.2.2 Architecture</w:t>
      </w:r>
    </w:p>
    <w:p>
      <w:pPr>
        <w:autoSpaceDN w:val="0"/>
        <w:autoSpaceDE w:val="0"/>
        <w:widowControl/>
        <w:spacing w:line="414" w:lineRule="exact" w:before="17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model adapts the Squeezeformer design of the top-performing Google ISLR solution. As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shown in Fig. 4.3, a stem convolution projects the 708 input features to a 192-dimensional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representation, which passes through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two repetitions of three Conv1D blocks followed by a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transformer block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, then global average pooling and a 250-way softmax classifier.</w:t>
      </w:r>
    </w:p>
    <w:p>
      <w:pPr>
        <w:autoSpaceDN w:val="0"/>
        <w:autoSpaceDE w:val="0"/>
        <w:widowControl/>
        <w:spacing w:line="414" w:lineRule="exact" w:before="120" w:after="198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The stem projection maps each 708-dimensional frame to the 192-dimensional working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representation: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60.0" w:type="dxa"/>
      </w:tblPr>
      <w:tblGrid>
        <w:gridCol w:w="4902"/>
        <w:gridCol w:w="4902"/>
      </w:tblGrid>
      <w:tr>
        <w:trPr>
          <w:trHeight w:hRule="exact" w:val="460"/>
        </w:trPr>
        <w:tc>
          <w:tcPr>
            <w:tcW w:type="dxa" w:w="4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20" w:after="0"/>
              <w:ind w:left="0" w:right="0" w:firstLine="0"/>
              <w:jc w:val="righ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h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0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f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t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W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stem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b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stem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,W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stem</w:t>
            </w: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∈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ℝ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4" w:after="0"/>
              <w:ind w:left="22" w:right="0" w:firstLine="0"/>
              <w:jc w:val="left"/>
            </w:pP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708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×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192</w:t>
            </w:r>
          </w:p>
        </w:tc>
      </w:tr>
    </w:tbl>
    <w:p>
      <w:pPr>
        <w:autoSpaceDN w:val="0"/>
        <w:autoSpaceDE w:val="0"/>
        <w:widowControl/>
        <w:spacing w:line="266" w:lineRule="exact" w:before="6176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29</w:t>
      </w:r>
    </w:p>
    <w:p>
      <w:pPr>
        <w:sectPr>
          <w:pgSz w:w="12240" w:h="15840"/>
          <w:pgMar w:top="144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2635250</wp:posOffset>
            </wp:positionH>
            <wp:positionV relativeFrom="page">
              <wp:posOffset>875030</wp:posOffset>
            </wp:positionV>
            <wp:extent cx="2959100" cy="3961720"/>
            <wp:wrapNone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59100" cy="396172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22" w:lineRule="exact" w:before="0" w:after="0"/>
        <w:ind w:left="0" w:right="327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4.3: ASL macro architecture</w:t>
      </w:r>
    </w:p>
    <w:p>
      <w:pPr>
        <w:autoSpaceDN w:val="0"/>
        <w:autoSpaceDE w:val="0"/>
        <w:widowControl/>
        <w:spacing w:line="414" w:lineRule="exact" w:before="105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Each Conv1D block (Fig. 4.4) combines a point-wise convolution (kernel 1), a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causal depthwise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convolution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(kernel 17) with batch normalisation, Efficient Channel Attention, and a second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point-wise convolution, wrapped in a residual connection.</w:t>
      </w:r>
    </w:p>
    <w:p>
      <w:pPr>
        <w:autoSpaceDN w:val="0"/>
        <w:autoSpaceDE w:val="0"/>
        <w:widowControl/>
        <w:spacing w:line="414" w:lineRule="exact" w:before="120" w:after="20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Writing PW for a point-wise (kernel-1) convolution and DW for the depthwise convolution, one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Conv1D block computes: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60.0" w:type="dxa"/>
      </w:tblPr>
      <w:tblGrid>
        <w:gridCol w:w="4902"/>
        <w:gridCol w:w="4902"/>
      </w:tblGrid>
      <w:tr>
        <w:trPr>
          <w:trHeight w:hRule="exact" w:val="362"/>
        </w:trPr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88" w:after="0"/>
              <w:ind w:left="127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PW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xW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b,swish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 σ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,σ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=1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/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e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0" w:after="0"/>
              <w:ind w:left="16" w:right="0" w:firstLine="0"/>
              <w:jc w:val="left"/>
            </w:pPr>
            <w:r>
              <w:rPr>
                <w:w w:val="103.251736504691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-</w:t>
            </w:r>
            <w:r>
              <w:rPr>
                <w:w w:val="103.251736504691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x</w:t>
            </w:r>
          </w:p>
        </w:tc>
      </w:tr>
    </w:tbl>
    <w:p>
      <w:pPr>
        <w:autoSpaceDN w:val="0"/>
        <w:autoSpaceDE w:val="0"/>
        <w:widowControl/>
        <w:spacing w:line="14" w:lineRule="exact" w:before="0" w:after="214"/>
        <w:ind w:left="0" w:right="0"/>
      </w:pPr>
    </w:p>
    <w:p>
      <w:pPr>
        <w:sectPr>
          <w:pgSz w:w="12240" w:h="15840"/>
          <w:pgMar w:top="1440" w:right="996" w:bottom="360" w:left="1440" w:header="720" w:footer="720" w:gutter="0"/>
          <w:cols/>
          <w:docGrid w:linePitch="360"/>
        </w:sectPr>
      </w:pPr>
    </w:p>
    <w:p>
      <w:pPr>
        <w:autoSpaceDN w:val="0"/>
        <w:tabs>
          <w:tab w:pos="3856" w:val="left"/>
          <w:tab w:pos="3912" w:val="left"/>
        </w:tabs>
        <w:autoSpaceDE w:val="0"/>
        <w:widowControl/>
        <w:spacing w:line="216" w:lineRule="exact" w:before="0" w:after="0"/>
        <w:ind w:left="2692" w:right="0" w:firstLine="0"/>
        <w:jc w:val="left"/>
      </w:pPr>
      <w:r>
        <w:tab/>
      </w:r>
      <w:r>
        <w:tab/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16 </w:t>
      </w:r>
      <w:r>
        <w:br/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DW 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c ,t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</w:t>
      </w:r>
      <w:r>
        <w:rPr>
          <w:rFonts w:ascii="OpenSymbol" w:hAnsi="OpenSymbol" w:eastAsia="OpenSymbol"/>
          <w:b w:val="0"/>
          <w:i w:val="0"/>
          <w:color w:val="000000"/>
          <w:sz w:val="35"/>
        </w:rPr>
        <w:t>∑</w:t>
      </w:r>
      <w:r>
        <w:br/>
      </w:r>
      <w:r>
        <w:tab/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k</w:t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=0</w:t>
      </w:r>
    </w:p>
    <w:p>
      <w:pPr>
        <w:sectPr>
          <w:type w:val="continuous"/>
          <w:pgSz w:w="12240" w:h="15840"/>
          <w:pgMar w:top="1440" w:right="996" w:bottom="360" w:left="1440" w:header="720" w:footer="720" w:gutter="0"/>
          <w:cols w:num="2" w:equalWidth="0">
            <w:col w:w="4150" w:space="0"/>
            <w:col w:w="5654" w:space="0"/>
          </w:cols>
          <w:docGrid w:linePitch="360"/>
        </w:sectPr>
      </w:pPr>
    </w:p>
    <w:p>
      <w:pPr>
        <w:autoSpaceDN w:val="0"/>
        <w:autoSpaceDE w:val="0"/>
        <w:widowControl/>
        <w:spacing w:line="330" w:lineRule="exact" w:before="0" w:after="358"/>
        <w:ind w:left="26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c ,k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c ,t</w:t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-16+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k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causal ,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kernel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17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</w:p>
    <w:p>
      <w:pPr>
        <w:sectPr>
          <w:type w:val="nextColumn"/>
          <w:pgSz w:w="12240" w:h="15840"/>
          <w:pgMar w:top="1440" w:right="996" w:bottom="360" w:left="1440" w:header="720" w:footer="720" w:gutter="0"/>
          <w:cols w:num="2" w:equalWidth="0">
            <w:col w:w="4150" w:space="0"/>
            <w:col w:w="5654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00.0" w:type="dxa"/>
      </w:tblPr>
      <w:tblGrid>
        <w:gridCol w:w="2451"/>
        <w:gridCol w:w="2451"/>
        <w:gridCol w:w="2451"/>
        <w:gridCol w:w="2451"/>
      </w:tblGrid>
      <w:tr>
        <w:trPr>
          <w:trHeight w:hRule="exact" w:val="284"/>
        </w:trPr>
        <w:tc>
          <w:tcPr>
            <w:tcW w:type="dxa" w:w="3036"/>
            <w:tcBorders>
              <w:bottom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0" w:after="0"/>
              <w:ind w:left="0" w:right="56" w:firstLine="0"/>
              <w:jc w:val="righ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BN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γ</w:t>
            </w:r>
          </w:p>
        </w:tc>
        <w:tc>
          <w:tcPr>
            <w:tcW w:type="dxa" w:w="700"/>
            <w:gridSpan w:val="2"/>
            <w:tcBorders>
              <w:bottom w:sz="4.80000000000018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-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μ</w:t>
            </w:r>
          </w:p>
        </w:tc>
        <w:tc>
          <w:tcPr>
            <w:tcW w:type="dxa" w:w="2184"/>
            <w:tcBorders>
              <w:bottom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3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β</w:t>
            </w:r>
          </w:p>
        </w:tc>
      </w:tr>
      <w:tr>
        <w:trPr>
          <w:trHeight w:hRule="exact" w:val="468"/>
        </w:trPr>
        <w:tc>
          <w:tcPr>
            <w:tcW w:type="dxa" w:w="3036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4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0" w:right="0" w:firstLine="0"/>
              <w:jc w:val="center"/>
            </w:pPr>
            <w:r>
              <w:rPr>
                <w:w w:val="98.5024616636079"/>
                <w:rFonts w:ascii="OpenSymbol" w:hAnsi="OpenSymbol" w:eastAsia="OpenSymbol"/>
                <w:b w:val="0"/>
                <w:i w:val="0"/>
                <w:color w:val="000000"/>
                <w:sz w:val="29"/>
              </w:rPr>
              <w:t>√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σ</w:t>
            </w:r>
          </w:p>
        </w:tc>
        <w:tc>
          <w:tcPr>
            <w:tcW w:type="dxa" w:w="416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34" w:after="0"/>
              <w:ind w:left="0" w:right="0" w:firstLine="0"/>
              <w:jc w:val="center"/>
            </w:pP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ϵ</w:t>
            </w:r>
          </w:p>
        </w:tc>
        <w:tc>
          <w:tcPr>
            <w:tcW w:type="dxa" w:w="2184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310" w:lineRule="exact" w:before="88" w:after="0"/>
        <w:ind w:left="0" w:right="2316" w:firstLine="0"/>
        <w:jc w:val="righ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x'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PW</w:t>
      </w:r>
      <w:r>
        <w:rPr>
          <w:w w:val="102.83614567347936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2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ECA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BN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DW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swish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PW</w:t>
      </w:r>
      <w:r>
        <w:rPr>
          <w:w w:val="102.83614567347936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1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))))))</w:t>
      </w:r>
    </w:p>
    <w:p>
      <w:pPr>
        <w:autoSpaceDN w:val="0"/>
        <w:autoSpaceDE w:val="0"/>
        <w:widowControl/>
        <w:spacing w:line="266" w:lineRule="exact" w:before="1674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30</w:t>
      </w:r>
    </w:p>
    <w:p>
      <w:pPr>
        <w:sectPr>
          <w:type w:val="continuous"/>
          <w:pgSz w:w="12240" w:h="15840"/>
          <w:pgMar w:top="144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51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1747520</wp:posOffset>
            </wp:positionH>
            <wp:positionV relativeFrom="page">
              <wp:posOffset>897890</wp:posOffset>
            </wp:positionV>
            <wp:extent cx="4734559" cy="2722448"/>
            <wp:wrapNone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34559" cy="272244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62" w:lineRule="exact" w:before="0" w:after="0"/>
        <w:ind w:left="1484" w:right="720" w:firstLine="322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4.4: Conv1DBlock internals </w:t>
      </w:r>
      <w:r>
        <w:br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Efficient Channel Attention (Fig. 4.5) recalibrates channels cheaply: it global-average-pools each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channel, applies a small 1-D convolution across channels, and scales the features by the resulting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sigmoid weights.</w:t>
      </w:r>
    </w:p>
    <w:p>
      <w:pPr>
        <w:autoSpaceDN w:val="0"/>
        <w:autoSpaceDE w:val="0"/>
        <w:widowControl/>
        <w:spacing w:line="266" w:lineRule="exact" w:before="268" w:after="198"/>
        <w:ind w:left="1484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With T the number of frames and sigma the logistic function, Efficient Channel Attention is: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902.0" w:type="dxa"/>
      </w:tblPr>
      <w:tblGrid>
        <w:gridCol w:w="5820"/>
        <w:gridCol w:w="5820"/>
      </w:tblGrid>
      <w:tr>
        <w:trPr>
          <w:trHeight w:hRule="exact" w:val="770"/>
        </w:trPr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308" w:val="left"/>
                <w:tab w:pos="2536" w:val="left"/>
                <w:tab w:pos="2602" w:val="left"/>
              </w:tabs>
              <w:autoSpaceDE w:val="0"/>
              <w:widowControl/>
              <w:spacing w:line="356" w:lineRule="exact" w:before="0" w:after="0"/>
              <w:ind w:left="1918" w:right="0" w:firstLine="0"/>
              <w:jc w:val="left"/>
            </w:pPr>
            <w:r>
              <w:tab/>
            </w:r>
            <w:r>
              <w:tab/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z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=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1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∑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=1</w:t>
            </w:r>
          </w:p>
        </w:tc>
        <w:tc>
          <w:tcPr>
            <w:tcW w:type="dxa" w:w="5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166" w:after="0"/>
              <w:ind w:left="5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x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 ,t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,a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σ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Conv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1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D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k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=5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z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</w:t>
            </w:r>
            <w:r>
              <w:rPr>
                <w:w w:val="101.29165649414062"/>
                <w:rFonts w:ascii="OpenSymbol" w:hAnsi="OpenSymbol" w:eastAsia="OpenSymbol"/>
                <w:b w:val="0"/>
                <w:i w:val="0"/>
                <w:color w:val="000000"/>
                <w:sz w:val="20"/>
              </w:rPr>
              <w:t>~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x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 ,t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a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 ,t</w:t>
            </w:r>
          </w:p>
        </w:tc>
      </w:tr>
    </w:tbl>
    <w:p>
      <w:pPr>
        <w:autoSpaceDN w:val="0"/>
        <w:autoSpaceDE w:val="0"/>
        <w:widowControl/>
        <w:spacing w:line="240" w:lineRule="auto" w:before="48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78700" cy="1123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78700" cy="1123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434" w:after="0"/>
        <w:ind w:left="0" w:right="3836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4.5: Efficient Channel Attention</w:t>
      </w:r>
    </w:p>
    <w:p>
      <w:pPr>
        <w:autoSpaceDN w:val="0"/>
        <w:autoSpaceDE w:val="0"/>
        <w:widowControl/>
        <w:spacing w:line="414" w:lineRule="exact" w:before="332" w:after="0"/>
        <w:ind w:left="1484" w:right="72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transformer block (Fig. 4.6) follows the standard design [29]: layer normalisation, multi-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head self-attention, a residual connection, then a feed-forward MLP with its own residual.</w:t>
      </w:r>
    </w:p>
    <w:p>
      <w:pPr>
        <w:autoSpaceDN w:val="0"/>
        <w:autoSpaceDE w:val="0"/>
        <w:widowControl/>
        <w:spacing w:line="414" w:lineRule="exact" w:before="120" w:after="0"/>
        <w:ind w:left="1484" w:right="72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The attention sub-layer uses scaled dot-product self-attention with H heads of dimension d_k;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the feed-forward sub-layer is a two-layer MLP:</w:t>
      </w:r>
    </w:p>
    <w:p>
      <w:pPr>
        <w:autoSpaceDN w:val="0"/>
        <w:autoSpaceDE w:val="0"/>
        <w:widowControl/>
        <w:spacing w:line="266" w:lineRule="exact" w:before="1714" w:after="0"/>
        <w:ind w:left="0" w:right="535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31</w:t>
      </w:r>
    </w:p>
    <w:p>
      <w:pPr>
        <w:sectPr>
          <w:pgSz w:w="12240" w:h="15840"/>
          <w:pgMar w:top="1440" w:right="282" w:bottom="360" w:left="31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2480310</wp:posOffset>
            </wp:positionH>
            <wp:positionV relativeFrom="page">
              <wp:posOffset>4762500</wp:posOffset>
            </wp:positionV>
            <wp:extent cx="3300729" cy="4138091"/>
            <wp:wrapNone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00729" cy="4138091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60.0" w:type="dxa"/>
      </w:tblPr>
      <w:tblGrid>
        <w:gridCol w:w="4901"/>
        <w:gridCol w:w="4901"/>
      </w:tblGrid>
      <w:tr>
        <w:trPr>
          <w:trHeight w:hRule="exact" w:val="764"/>
        </w:trPr>
        <w:tc>
          <w:tcPr>
            <w:tcW w:type="dxa" w:w="4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462" w:val="left"/>
                <w:tab w:pos="4770" w:val="left"/>
              </w:tabs>
              <w:autoSpaceDE w:val="0"/>
              <w:widowControl/>
              <w:spacing w:line="238" w:lineRule="exact" w:before="0" w:after="0"/>
              <w:ind w:left="1376" w:right="0" w:firstLine="0"/>
              <w:jc w:val="left"/>
            </w:pPr>
            <w:r>
              <w:tab/>
            </w:r>
            <w:r>
              <w:tab/>
            </w:r>
            <w:r>
              <w:rPr>
                <w:w w:val="102.85714013235909"/>
                <w:rFonts w:ascii="NimbusRoman" w:hAnsi="NimbusRoman" w:eastAsia="NimbusRoman"/>
                <w:b w:val="0"/>
                <w:i/>
                <w:color w:val="000000"/>
                <w:sz w:val="14"/>
              </w:rPr>
              <w:t>⊤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Attention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Q , K ,V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softmax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Q K</w:t>
            </w:r>
            <w:r>
              <w:tab/>
            </w:r>
            <w:r>
              <w:rPr>
                <w:w w:val="98.66454941885812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>√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d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k</w:t>
            </w:r>
          </w:p>
        </w:tc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172" w:after="0"/>
              <w:ind w:left="40" w:right="0" w:firstLine="0"/>
              <w:jc w:val="left"/>
            </w:pP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V ,d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k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=48</w:t>
            </w:r>
          </w:p>
        </w:tc>
      </w:tr>
    </w:tbl>
    <w:p>
      <w:pPr>
        <w:autoSpaceDN w:val="0"/>
        <w:autoSpaceDE w:val="0"/>
        <w:widowControl/>
        <w:spacing w:line="420" w:lineRule="exact" w:before="54" w:after="0"/>
        <w:ind w:left="0" w:right="2772" w:firstLine="0"/>
        <w:jc w:val="righ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MHSA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[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head</w:t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>1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‖</w:t>
      </w:r>
      <w:r>
        <w:rPr>
          <w:rFonts w:ascii="TeXGyreAdventor" w:hAnsi="TeXGyreAdventor" w:eastAsia="TeXGyreAdventor"/>
          <w:b w:val="0"/>
          <w:i/>
          <w:color w:val="000000"/>
          <w:sz w:val="24"/>
        </w:rPr>
        <w:t>⋯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‖head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 xml:space="preserve"> H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]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 xml:space="preserve"> O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 H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=4</w:t>
      </w:r>
    </w:p>
    <w:p>
      <w:pPr>
        <w:autoSpaceDN w:val="0"/>
        <w:autoSpaceDE w:val="0"/>
        <w:widowControl/>
        <w:spacing w:line="310" w:lineRule="exact" w:before="174" w:after="0"/>
        <w:ind w:left="0" w:right="3082" w:firstLine="0"/>
        <w:jc w:val="righ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FFN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swish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xW</w:t>
      </w:r>
      <w:r>
        <w:rPr>
          <w:w w:val="102.82656124659948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1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</w:t>
      </w:r>
      <w:r>
        <w:rPr>
          <w:w w:val="102.82656124659948"/>
          <w:rFonts w:ascii="Liberation Serif" w:hAnsi="Liberation Serif" w:eastAsia="Liberation Serif"/>
          <w:b w:val="0"/>
          <w:i w:val="0"/>
          <w:color w:val="000000"/>
          <w:sz w:val="14"/>
        </w:rPr>
        <w:t>1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2656124659948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2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</w:t>
      </w:r>
      <w:r>
        <w:rPr>
          <w:w w:val="102.82656124659948"/>
          <w:rFonts w:ascii="Liberation Serif" w:hAnsi="Liberation Serif" w:eastAsia="Liberation Serif"/>
          <w:b w:val="0"/>
          <w:i w:val="0"/>
          <w:color w:val="000000"/>
          <w:sz w:val="14"/>
        </w:rPr>
        <w:t>2</w:t>
      </w:r>
    </w:p>
    <w:p>
      <w:pPr>
        <w:autoSpaceDN w:val="0"/>
        <w:autoSpaceDE w:val="0"/>
        <w:widowControl/>
        <w:spacing w:line="414" w:lineRule="exact" w:before="78" w:after="202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The deployed TFLite model is a three-tower ensemble: three independently trained towers of this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architecture are averaged at the logit level before the final soft-max. Global average pooling, the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linear classifier, and the ensemble average are: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20.0" w:type="dxa"/>
      </w:tblPr>
      <w:tblGrid>
        <w:gridCol w:w="1400"/>
        <w:gridCol w:w="1400"/>
        <w:gridCol w:w="1400"/>
        <w:gridCol w:w="1400"/>
        <w:gridCol w:w="1400"/>
        <w:gridCol w:w="1400"/>
        <w:gridCol w:w="1400"/>
      </w:tblGrid>
      <w:tr>
        <w:trPr>
          <w:trHeight w:hRule="exact" w:val="804"/>
        </w:trPr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682" w:val="left"/>
                <w:tab w:pos="1912" w:val="left"/>
                <w:tab w:pos="1978" w:val="left"/>
              </w:tabs>
              <w:autoSpaceDE w:val="0"/>
              <w:widowControl/>
              <w:spacing w:line="354" w:lineRule="exact" w:before="0" w:after="0"/>
              <w:ind w:left="1352" w:right="0" w:firstLine="0"/>
              <w:jc w:val="left"/>
            </w:pPr>
            <w:r>
              <w:tab/>
            </w:r>
            <w:r>
              <w:tab/>
            </w:r>
            <w:r>
              <w:tab/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v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1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∑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=1</w:t>
            </w:r>
          </w:p>
        </w:tc>
        <w:tc>
          <w:tcPr>
            <w:tcW w:type="dxa" w:w="1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24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h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GAP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,l</w:t>
            </w:r>
          </w:p>
        </w:tc>
        <w:tc>
          <w:tcPr>
            <w:tcW w:type="dxa" w:w="2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210" w:after="0"/>
              <w:ind w:left="0" w:right="0" w:firstLine="0"/>
              <w:jc w:val="center"/>
            </w:pPr>
            <w:r>
              <w:rPr>
                <w:w w:val="102.70049231392997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m</w:t>
            </w:r>
            <w:r>
              <w:rPr>
                <w:w w:val="102.70049231392997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v W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cls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b,W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cls</w:t>
            </w: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∈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ℝ</w:t>
            </w:r>
          </w:p>
        </w:tc>
        <w:tc>
          <w:tcPr>
            <w:tcW w:type="dxa" w:w="1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216" w:after="0"/>
              <w:ind w:left="16" w:right="0" w:firstLine="0"/>
              <w:jc w:val="left"/>
            </w:pPr>
            <w:r>
              <w:rPr>
                <w:w w:val="102.70049231392997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192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×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250</w:t>
            </w:r>
          </w:p>
        </w:tc>
      </w:tr>
      <w:tr>
        <w:trPr>
          <w:trHeight w:hRule="exact" w:val="832"/>
        </w:trPr>
        <w:tc>
          <w:tcPr>
            <w:tcW w:type="dxa" w:w="2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360" w:val="left"/>
                <w:tab w:pos="2534" w:val="left"/>
                <w:tab w:pos="2640" w:val="left"/>
              </w:tabs>
              <w:autoSpaceDE w:val="0"/>
              <w:widowControl/>
              <w:spacing w:line="386" w:lineRule="exact" w:before="0" w:after="0"/>
              <w:ind w:left="2064" w:right="0" w:firstLine="0"/>
              <w:jc w:val="left"/>
            </w:pPr>
            <w:r>
              <w:tab/>
            </w:r>
            <w:r>
              <w:tab/>
            </w:r>
            <w:r>
              <w:tab/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3</w:t>
            </w:r>
            <w:r>
              <w:br/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´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l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=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1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∑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m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=1</w:t>
            </w:r>
          </w:p>
        </w:tc>
        <w:tc>
          <w:tcPr>
            <w:tcW w:type="dxa" w:w="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1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l</w:t>
            </w:r>
          </w:p>
        </w:tc>
        <w:tc>
          <w:tcPr>
            <w:tcW w:type="dxa" w:w="2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exact" w:before="242" w:after="0"/>
              <w:ind w:left="0" w:right="0" w:firstLine="0"/>
              <w:jc w:val="center"/>
            </w:pP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m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 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softmax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(´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l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∈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ℝ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80" w:after="0"/>
              <w:ind w:left="20" w:right="0" w:firstLine="0"/>
              <w:jc w:val="left"/>
            </w:pP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250</w:t>
            </w:r>
          </w:p>
        </w:tc>
        <w:tc>
          <w:tcPr>
            <w:tcW w:type="dxa" w:w="140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2" w:lineRule="exact" w:before="6692" w:after="0"/>
        <w:ind w:left="0" w:right="3504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4.6: TransformerBlock</w:t>
      </w:r>
    </w:p>
    <w:p>
      <w:pPr>
        <w:autoSpaceDN w:val="0"/>
        <w:autoSpaceDE w:val="0"/>
        <w:widowControl/>
        <w:spacing w:line="266" w:lineRule="exact" w:before="1268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32</w:t>
      </w:r>
    </w:p>
    <w:p>
      <w:pPr>
        <w:sectPr>
          <w:pgSz w:w="12240" w:h="15840"/>
          <w:pgMar w:top="896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362" w:right="846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key detail is the use of causal padding in the depthwise convolutions (Fig. 4.7): unlike "same"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padding, causal padding prevents padded future frames from contaminating the output,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preserving the temporal order during streaming inference.</w:t>
      </w:r>
    </w:p>
    <w:p>
      <w:pPr>
        <w:autoSpaceDN w:val="0"/>
        <w:autoSpaceDE w:val="0"/>
        <w:widowControl/>
        <w:spacing w:line="240" w:lineRule="auto" w:before="258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508750" cy="19989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508750" cy="1998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397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4.7: Causal vs. "same" padding</w:t>
      </w:r>
    </w:p>
    <w:p>
      <w:pPr>
        <w:autoSpaceDN w:val="0"/>
        <w:autoSpaceDE w:val="0"/>
        <w:widowControl/>
        <w:spacing w:line="288" w:lineRule="exact" w:before="134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4.2.3 Data augmentation</w:t>
      </w:r>
    </w:p>
    <w:p>
      <w:pPr>
        <w:autoSpaceDN w:val="0"/>
        <w:autoSpaceDE w:val="0"/>
        <w:widowControl/>
        <w:spacing w:line="414" w:lineRule="exact" w:before="170" w:after="0"/>
        <w:ind w:left="362" w:right="846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generalise across signing speeds, camera angles, and occlusions, the ASL model is trained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with the dual-modality augmentation of Fig. 4.8: temporal resampling (0.5×–1.5×), temporal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masking (20–40% of frames blanked), horizontal flipping (for left-handed signers), random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affine transforms (scale, shift, shear, rotation up to ±30°), and spatial cutout.</w:t>
      </w:r>
    </w:p>
    <w:p>
      <w:pPr>
        <w:autoSpaceDN w:val="0"/>
        <w:autoSpaceDE w:val="0"/>
        <w:widowControl/>
        <w:spacing w:line="240" w:lineRule="auto" w:before="258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22009" cy="12242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22009" cy="1224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403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4.8: ASL data augmentation. </w:t>
      </w:r>
    </w:p>
    <w:p>
      <w:pPr>
        <w:autoSpaceDN w:val="0"/>
        <w:autoSpaceDE w:val="0"/>
        <w:widowControl/>
        <w:spacing w:line="266" w:lineRule="exact" w:before="1920" w:after="0"/>
        <w:ind w:left="0" w:right="546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33</w:t>
      </w:r>
    </w:p>
    <w:p>
      <w:pPr>
        <w:sectPr>
          <w:pgSz w:w="12240" w:h="15840"/>
          <w:pgMar w:top="904" w:right="17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2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4.2.4 Training and results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training configuration is summarised in Fig. 4.9: the RAdam optimizer with a Lookahead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wrapper, a base learning rate of 5e-4 scaled to 4e-3 across replicas under a cosine decay (no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warmup), and a categorical cross-entropy loss with label smoothing of 0.1, over 400 epochs.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Three regularizers combat overfitting on the 250 classes: Drop-Path (stochastic depth, p =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0.2), late dropout (p = 0.8 on the final dense layer), and Adversarial Weight Perturbation (λ =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0.2).</w:t>
      </w:r>
    </w:p>
    <w:p>
      <w:pPr>
        <w:autoSpaceDN w:val="0"/>
        <w:autoSpaceDE w:val="0"/>
        <w:widowControl/>
        <w:spacing w:line="414" w:lineRule="exact" w:before="120" w:after="20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The training objective is categorical cross-entropy with label smoothing (epsilon = 0.1) over K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= 250 classes: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0.0" w:type="dxa"/>
      </w:tblPr>
      <w:tblGrid>
        <w:gridCol w:w="4902"/>
        <w:gridCol w:w="4902"/>
      </w:tblGrid>
      <w:tr>
        <w:trPr>
          <w:trHeight w:hRule="exact" w:val="718"/>
        </w:trPr>
        <w:tc>
          <w:tcPr>
            <w:tcW w:type="dxa" w:w="6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98" w:lineRule="exact" w:before="0" w:after="0"/>
              <w:ind w:left="0" w:right="1558" w:firstLine="0"/>
              <w:jc w:val="right"/>
            </w:pPr>
            <w:r>
              <w:rPr>
                <w:rFonts w:ascii="OpenSymbol" w:hAnsi="OpenSymbol" w:eastAsia="OpenSymbol"/>
                <w:b w:val="0"/>
                <w:i w:val="0"/>
                <w:color w:val="000000"/>
                <w:sz w:val="22"/>
              </w:rPr>
              <w:t>~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y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1-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ε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y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ε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K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,ε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=0.1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 K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=250</w:t>
            </w:r>
          </w:p>
        </w:tc>
      </w:tr>
      <w:tr>
        <w:trPr>
          <w:trHeight w:hRule="exact" w:val="836"/>
        </w:trPr>
        <w:tc>
          <w:tcPr>
            <w:tcW w:type="dxa" w:w="3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146" w:val="left"/>
                <w:tab w:pos="3220" w:val="left"/>
              </w:tabs>
              <w:autoSpaceDE w:val="0"/>
              <w:widowControl/>
              <w:spacing w:line="244" w:lineRule="exact" w:before="44" w:after="0"/>
              <w:ind w:left="2416" w:right="0" w:firstLine="0"/>
              <w:jc w:val="left"/>
            </w:pPr>
            <w:r>
              <w:tab/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K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L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CCE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=-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∑</w:t>
            </w:r>
            <w:r>
              <w:br/>
            </w:r>
            <w:r>
              <w:tab/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=1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232" w:after="0"/>
              <w:ind w:left="30" w:right="0" w:firstLine="0"/>
              <w:jc w:val="left"/>
            </w:pPr>
            <w:r>
              <w:rPr>
                <w:w w:val="101.087440143932"/>
                <w:rFonts w:ascii="OpenSymbol" w:hAnsi="OpenSymbol" w:eastAsia="OpenSymbol"/>
                <w:b w:val="0"/>
                <w:i w:val="0"/>
                <w:color w:val="000000"/>
                <w:sz w:val="22"/>
              </w:rPr>
              <w:t>~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y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log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p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</w:p>
        </w:tc>
      </w:tr>
    </w:tbl>
    <w:p>
      <w:pPr>
        <w:autoSpaceDN w:val="0"/>
        <w:autoSpaceDE w:val="0"/>
        <w:widowControl/>
        <w:spacing w:line="240" w:lineRule="auto" w:before="160" w:after="0"/>
        <w:ind w:left="53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716270" cy="209168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16270" cy="2091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08" w:lineRule="exact" w:before="82" w:after="0"/>
        <w:ind w:left="362" w:right="0" w:firstLine="2344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4.9: ASL training configuration &amp; regularization </w:t>
      </w:r>
      <w:r>
        <w:br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resulting training curve is shown in Fig. 4.10. The model reaches a validation accuracy of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approximately 0.80. Validation accuracy exceeding training accuracy is expected here, because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heavy augmentation and regularization are active only during training.</w:t>
      </w:r>
    </w:p>
    <w:p>
      <w:pPr>
        <w:autoSpaceDN w:val="0"/>
        <w:autoSpaceDE w:val="0"/>
        <w:widowControl/>
        <w:spacing w:line="266" w:lineRule="exact" w:before="223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34</w:t>
      </w:r>
    </w:p>
    <w:p>
      <w:pPr>
        <w:sectPr>
          <w:pgSz w:w="12240" w:h="15840"/>
          <w:pgMar w:top="906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8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140200" cy="287274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40200" cy="2872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28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4.10a: Training and validation accuracies</w:t>
      </w:r>
    </w:p>
    <w:p>
      <w:pPr>
        <w:autoSpaceDN w:val="0"/>
        <w:autoSpaceDE w:val="0"/>
        <w:widowControl/>
        <w:spacing w:line="240" w:lineRule="auto" w:before="74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978910" cy="276606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7891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130" w:after="0"/>
        <w:ind w:left="0" w:right="2564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4.10b: Training and validation loss</w:t>
      </w:r>
    </w:p>
    <w:p>
      <w:pPr>
        <w:autoSpaceDN w:val="0"/>
        <w:autoSpaceDE w:val="0"/>
        <w:widowControl/>
        <w:spacing w:line="266" w:lineRule="exact" w:before="3042" w:after="0"/>
        <w:ind w:left="0" w:right="419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35</w:t>
      </w:r>
    </w:p>
    <w:p>
      <w:pPr>
        <w:sectPr>
          <w:pgSz w:w="12240" w:h="15840"/>
          <w:pgMar w:top="1008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151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4.3 The ArSL Recognition model</w:t>
      </w:r>
    </w:p>
    <w:p>
      <w:pPr>
        <w:autoSpaceDN w:val="0"/>
        <w:autoSpaceDE w:val="0"/>
        <w:widowControl/>
        <w:spacing w:line="288" w:lineRule="exact" w:before="476" w:after="0"/>
        <w:ind w:left="151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4.3.1 Preprocessing</w:t>
      </w:r>
    </w:p>
    <w:p>
      <w:pPr>
        <w:autoSpaceDN w:val="0"/>
        <w:autoSpaceDE w:val="0"/>
        <w:widowControl/>
        <w:spacing w:line="414" w:lineRule="exact" w:before="170" w:after="0"/>
        <w:ind w:left="1514" w:right="746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ArSL pipeline (Fig. 4.11) extracts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59 MediaPipe landmarks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— 17 upper-body pose points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(indices 0–16) and 21 points per hand — from each clip. The z axis is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zeroed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(only x, y carry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information) to avoid depth-scaling distortion across phone cameras; coordinates are centred 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shoulder midpoint and scaled by the shoulder width for position and scale invariance;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every clip is resampled to a fixed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30 frames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, producing a (30, 177) tensor.</w:t>
      </w:r>
    </w:p>
    <w:p>
      <w:pPr>
        <w:autoSpaceDN w:val="0"/>
        <w:autoSpaceDE w:val="0"/>
        <w:widowControl/>
        <w:spacing w:line="414" w:lineRule="exact" w:before="120" w:after="0"/>
        <w:ind w:left="1514" w:right="72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With p_L, p_R the shoulder landmarks (indices 11, 12) and T the captured frame count, the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normalization and resampling are:</w:t>
      </w:r>
    </w:p>
    <w:p>
      <w:pPr>
        <w:autoSpaceDN w:val="0"/>
        <w:autoSpaceDE w:val="0"/>
        <w:widowControl/>
        <w:spacing w:line="316" w:lineRule="exact" w:before="250" w:after="160"/>
        <w:ind w:left="0" w:right="3630" w:firstLine="0"/>
        <w:jc w:val="righ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z←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0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,c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=1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/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L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R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NimbusRoman" w:hAnsi="NimbusRoman" w:eastAsia="NimbusRoman"/>
          <w:b w:val="0"/>
          <w:i/>
          <w:color w:val="000000"/>
          <w:sz w:val="24"/>
        </w:rPr>
        <w:t>∥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p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L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-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R</w:t>
      </w:r>
      <w:r>
        <w:rPr>
          <w:rFonts w:ascii="NimbusRoman" w:hAnsi="NimbusRoman" w:eastAsia="NimbusRoman"/>
          <w:b w:val="0"/>
          <w:i/>
          <w:color w:val="000000"/>
          <w:sz w:val="24"/>
        </w:rPr>
        <w:t>∥</w:t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>2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12.0" w:type="dxa"/>
      </w:tblPr>
      <w:tblGrid>
        <w:gridCol w:w="3893"/>
        <w:gridCol w:w="3893"/>
        <w:gridCol w:w="3893"/>
      </w:tblGrid>
      <w:tr>
        <w:trPr>
          <w:trHeight w:hRule="exact" w:val="710"/>
        </w:trPr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0" w:after="0"/>
              <w:ind w:left="0" w:right="26" w:firstLine="0"/>
              <w:jc w:val="right"/>
            </w:pPr>
            <w:r>
              <w:rPr>
                <w:w w:val="98.97433008466449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>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 ,i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 ,i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-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c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s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4" w:lineRule="exact" w:before="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,τ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k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DejaVu Serif" w:hAnsi="DejaVu Serif" w:eastAsia="DejaVu Serif"/>
                <w:b w:val="0"/>
                <w:i/>
                <w:color w:val="000000"/>
                <w:sz w:val="24"/>
              </w:rPr>
              <w:t xml:space="preserve"> ⌊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k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-1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)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224" w:after="0"/>
              <w:ind w:left="44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/>
                <w:color w:val="000000"/>
                <w:sz w:val="24"/>
              </w:rPr>
              <w:t>⌋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,k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=0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,…,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29</w:t>
            </w:r>
          </w:p>
        </w:tc>
      </w:tr>
    </w:tbl>
    <w:p>
      <w:pPr>
        <w:autoSpaceDN w:val="0"/>
        <w:autoSpaceDE w:val="0"/>
        <w:widowControl/>
        <w:spacing w:line="240" w:lineRule="auto" w:before="4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404100" cy="102996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404100" cy="1029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682" w:after="0"/>
        <w:ind w:left="0" w:right="444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4.11: ArSL model</w:t>
      </w:r>
    </w:p>
    <w:p>
      <w:pPr>
        <w:autoSpaceDN w:val="0"/>
        <w:autoSpaceDE w:val="0"/>
        <w:widowControl/>
        <w:spacing w:line="288" w:lineRule="exact" w:before="292" w:after="0"/>
        <w:ind w:left="151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4.3.2 Architecture</w:t>
      </w:r>
    </w:p>
    <w:p>
      <w:pPr>
        <w:autoSpaceDN w:val="0"/>
        <w:autoSpaceDE w:val="0"/>
        <w:widowControl/>
        <w:spacing w:line="414" w:lineRule="exact" w:before="170" w:after="0"/>
        <w:ind w:left="1514" w:right="744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ArSL model is a compact CNN-GRU (Fig. 4.12). Two 1-D convolutional blocks (177→128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then 128→128, kernel 3, each with batch normalisation and ReLU) extract local spatio-temporal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features; a two-layer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bidirectional GRU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[30] (128→64 hidden units, dropout 0.3) models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temporal dynamics; and two fully connected layers (128→64 with ReLU and dropout 0.5, then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64→20) with a softmax produce the prediction.</w:t>
      </w:r>
    </w:p>
    <w:p>
      <w:pPr>
        <w:autoSpaceDN w:val="0"/>
        <w:autoSpaceDE w:val="0"/>
        <w:widowControl/>
        <w:spacing w:line="414" w:lineRule="exact" w:before="120" w:after="0"/>
        <w:ind w:left="1514" w:right="72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Each convolutional block applies batch normalization and ReLU; at inference the soft-max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outputs are averaged over three temporal windows before thresholding:</w:t>
      </w:r>
    </w:p>
    <w:p>
      <w:pPr>
        <w:autoSpaceDN w:val="0"/>
        <w:autoSpaceDE w:val="0"/>
        <w:widowControl/>
        <w:spacing w:line="266" w:lineRule="exact" w:before="958" w:after="0"/>
        <w:ind w:left="0" w:right="536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36</w:t>
      </w:r>
    </w:p>
    <w:p>
      <w:pPr>
        <w:sectPr>
          <w:pgSz w:w="12240" w:h="15840"/>
          <w:pgMar w:top="906" w:right="272" w:bottom="360" w:left="28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1988820</wp:posOffset>
            </wp:positionH>
            <wp:positionV relativeFrom="page">
              <wp:posOffset>2923540</wp:posOffset>
            </wp:positionV>
            <wp:extent cx="4297680" cy="6115088"/>
            <wp:wrapNone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611508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96" w:lineRule="exact" w:before="0" w:after="154"/>
        <w:ind w:left="0" w:right="1918" w:firstLine="0"/>
        <w:jc w:val="righ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h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ReLU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BN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*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))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 ReLU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max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0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 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60.0" w:type="dxa"/>
      </w:tblPr>
      <w:tblGrid>
        <w:gridCol w:w="2340"/>
        <w:gridCol w:w="2340"/>
        <w:gridCol w:w="2340"/>
        <w:gridCol w:w="2340"/>
      </w:tblGrid>
      <w:tr>
        <w:trPr>
          <w:trHeight w:hRule="exact" w:val="492"/>
        </w:trPr>
        <w:tc>
          <w:tcPr>
            <w:tcW w:type="dxa" w:w="58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80" w:after="0"/>
              <w:ind w:left="138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o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softmax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W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2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drop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ReLU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W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1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g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b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∈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ℝ</w:t>
            </w:r>
          </w:p>
        </w:tc>
        <w:tc>
          <w:tcPr>
            <w:tcW w:type="dxa" w:w="1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0" w:after="0"/>
              <w:ind w:left="16" w:right="0" w:firstLine="0"/>
              <w:jc w:val="left"/>
            </w:pP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20</w:t>
            </w:r>
          </w:p>
        </w:tc>
      </w:tr>
      <w:tr>
        <w:trPr>
          <w:trHeight w:hRule="exact" w:val="820"/>
        </w:trPr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40" w:lineRule="exact" w:before="0" w:after="0"/>
              <w:ind w:left="0" w:right="0" w:firstLine="0"/>
              <w:jc w:val="right"/>
            </w:pP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´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1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|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W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|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∑</w:t>
            </w:r>
            <w:r>
              <w:rPr>
                <w:w w:val="102.68614632742745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w</w:t>
            </w:r>
            <w:r>
              <w:rPr>
                <w:w w:val="102.68614632742745"/>
                <w:rFonts w:ascii="NimbusRoman" w:hAnsi="NimbusRoman" w:eastAsia="NimbusRoman"/>
                <w:b w:val="0"/>
                <w:i/>
                <w:color w:val="000000"/>
                <w:sz w:val="14"/>
              </w:rPr>
              <w:t>∈</w:t>
            </w:r>
            <w:r>
              <w:rPr>
                <w:w w:val="102.68614632742745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W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252" w:after="0"/>
              <w:ind w:left="7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softmax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z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222" w:after="0"/>
              <w:ind w:left="0" w:right="0" w:firstLine="0"/>
              <w:jc w:val="center"/>
            </w:pPr>
            <w:r>
              <w:rPr>
                <w:w w:val="102.68614632742745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68614632742745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w</w:t>
            </w:r>
            <w:r>
              <w:rPr>
                <w:w w:val="102.68614632742745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,W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{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30,45,60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}</w:t>
            </w:r>
          </w:p>
        </w:tc>
        <w:tc>
          <w:tcPr>
            <w:tcW w:type="dxa" w:w="2340"/>
            <w:vMerge/>
            <w:tcBorders/>
          </w:tcPr>
          <w:p/>
        </w:tc>
      </w:tr>
      <w:tr>
        <w:trPr>
          <w:trHeight w:hRule="exact" w:val="604"/>
        </w:trPr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82" w:val="left"/>
              </w:tabs>
              <w:autoSpaceDE w:val="0"/>
              <w:widowControl/>
              <w:spacing w:line="144" w:lineRule="exact" w:before="256" w:after="0"/>
              <w:ind w:left="1718" w:right="0" w:firstLine="0"/>
              <w:jc w:val="left"/>
            </w:pPr>
            <w:r>
              <w:rPr>
                <w:w w:val="98.97433008466449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>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y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argmax </w:t>
            </w:r>
            <w:r>
              <w:br/>
            </w:r>
            <w:r>
              <w:tab/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i</w:t>
            </w:r>
          </w:p>
        </w:tc>
        <w:tc>
          <w:tcPr>
            <w:tcW w:type="dxa" w:w="3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100" w:after="0"/>
              <w:ind w:left="0" w:right="0" w:firstLine="0"/>
              <w:jc w:val="center"/>
            </w:pP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´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i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,accept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iff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´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97.80992620131549"/>
                <w:rFonts w:ascii="OpenSymbol" w:hAnsi="OpenSymbol" w:eastAsia="OpenSymbol"/>
                <w:b w:val="0"/>
                <w:i w:val="0"/>
                <w:color w:val="000000"/>
                <w:sz w:val="17"/>
              </w:rPr>
              <w:t>^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y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&gt;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τ ,τ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=0.45</w:t>
            </w:r>
          </w:p>
        </w:tc>
        <w:tc>
          <w:tcPr>
            <w:tcW w:type="dxa" w:w="234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2" w:lineRule="exact" w:before="8792" w:after="0"/>
        <w:ind w:left="0" w:right="255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4.12: ArSL CNN-GRU architecture</w:t>
      </w:r>
    </w:p>
    <w:p>
      <w:pPr>
        <w:autoSpaceDN w:val="0"/>
        <w:autoSpaceDE w:val="0"/>
        <w:widowControl/>
        <w:spacing w:line="266" w:lineRule="exact" w:before="1676" w:after="0"/>
        <w:ind w:left="0" w:right="419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37</w:t>
      </w:r>
    </w:p>
    <w:p>
      <w:pPr>
        <w:sectPr>
          <w:pgSz w:w="12240" w:h="15840"/>
          <w:pgMar w:top="900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362" w:right="1018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bidirectional GRU (Fig. 4.13) processes the 30-frame sequence in both temporal directions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concatenates the forward and backward hidden states, so each prediction is informed by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full context of the sign.</w:t>
      </w:r>
    </w:p>
    <w:p>
      <w:pPr>
        <w:autoSpaceDN w:val="0"/>
        <w:autoSpaceDE w:val="0"/>
        <w:widowControl/>
        <w:spacing w:line="414" w:lineRule="exact" w:before="120" w:after="0"/>
        <w:ind w:left="362" w:right="1008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Each GRU layer updates its hidden state through reset and update gates, and the bidirectional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layer concatenates the two directions:</w:t>
      </w:r>
    </w:p>
    <w:p>
      <w:pPr>
        <w:autoSpaceDN w:val="0"/>
        <w:autoSpaceDE w:val="0"/>
        <w:widowControl/>
        <w:spacing w:line="330" w:lineRule="exact" w:before="256" w:after="0"/>
        <w:ind w:left="2424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r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σ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 xml:space="preserve"> ir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 xml:space="preserve"> hr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h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-1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r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 z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σ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 xml:space="preserve"> iz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 xml:space="preserve"> hz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h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-1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z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336" w:lineRule="exact" w:before="190" w:after="0"/>
        <w:ind w:left="2002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n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=tanh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402396610804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in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r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NimbusRoman" w:hAnsi="NimbusRoman" w:eastAsia="NimbusRoman"/>
          <w:b w:val="0"/>
          <w:i/>
          <w:color w:val="000000"/>
          <w:sz w:val="24"/>
        </w:rPr>
        <w:t>⊙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 xml:space="preserve"> hn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h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w w:val="102.8402396610804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-1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n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,h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1-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z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NimbusRoman" w:hAnsi="NimbusRoman" w:eastAsia="NimbusRoman"/>
          <w:b w:val="0"/>
          <w:i/>
          <w:color w:val="000000"/>
          <w:sz w:val="24"/>
        </w:rPr>
        <w:t>⊙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n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z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NimbusRoman" w:hAnsi="NimbusRoman" w:eastAsia="NimbusRoman"/>
          <w:b w:val="0"/>
          <w:i/>
          <w:color w:val="000000"/>
          <w:sz w:val="24"/>
        </w:rPr>
        <w:t>⊙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h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w w:val="102.8402396610804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-1</w:t>
      </w:r>
    </w:p>
    <w:p>
      <w:pPr>
        <w:autoSpaceDN w:val="0"/>
        <w:autoSpaceDE w:val="0"/>
        <w:widowControl/>
        <w:spacing w:line="302" w:lineRule="exact" w:before="56" w:after="0"/>
        <w:ind w:left="4530" w:right="5184" w:hanging="12"/>
        <w:jc w:val="left"/>
      </w:pP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↔</w:t>
      </w:r>
      <w:r>
        <w:br/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h 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[</w:t>
      </w:r>
      <w:r>
        <w:rPr>
          <w:w w:val="98.33322004838423"/>
          <w:rFonts w:ascii="OpenSymbol" w:hAnsi="OpenSymbol" w:eastAsia="OpenSymbol"/>
          <w:b w:val="0"/>
          <w:i w:val="0"/>
          <w:color w:val="000000"/>
          <w:sz w:val="22"/>
        </w:rPr>
        <w:t>⃗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h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‖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´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h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]</w:t>
      </w:r>
    </w:p>
    <w:p>
      <w:pPr>
        <w:autoSpaceDN w:val="0"/>
        <w:autoSpaceDE w:val="0"/>
        <w:widowControl/>
        <w:spacing w:line="240" w:lineRule="auto" w:before="75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837680" cy="250316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837680" cy="2503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3986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4.13: Bidirectional GRU (unfolded)</w:t>
      </w:r>
    </w:p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4.3.3 Data augmentation</w:t>
      </w:r>
    </w:p>
    <w:p>
      <w:pPr>
        <w:autoSpaceDN w:val="0"/>
        <w:autoSpaceDE w:val="0"/>
        <w:widowControl/>
        <w:spacing w:line="414" w:lineRule="exact" w:before="170" w:after="0"/>
        <w:ind w:left="362" w:right="1016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ArSL model is trained with the four online augmentations of Fig. 4.14: horizontal mirroring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(50%), inactive-hand masking (70%, detected by spatial variance), affine scaling (0.92×–1.08×)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with Gaussian noise (σ = 0.008), and temporal jittering.</w:t>
      </w:r>
    </w:p>
    <w:p>
      <w:pPr>
        <w:autoSpaceDN w:val="0"/>
        <w:autoSpaceDE w:val="0"/>
        <w:widowControl/>
        <w:spacing w:line="266" w:lineRule="exact" w:before="2054" w:after="0"/>
        <w:ind w:left="0" w:right="563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38</w:t>
      </w:r>
    </w:p>
    <w:p>
      <w:pPr>
        <w:sectPr>
          <w:pgSz w:w="12240" w:h="15840"/>
          <w:pgMar w:top="904" w:right="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125983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9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320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4.14: ArSL data augmentation</w:t>
      </w:r>
    </w:p>
    <w:p>
      <w:pPr>
        <w:autoSpaceDN w:val="0"/>
        <w:autoSpaceDE w:val="0"/>
        <w:widowControl/>
        <w:spacing w:line="288" w:lineRule="exact" w:before="64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4.3.4 Training and results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training configuration is summarised in Fig. 4.15: the Adam optimizer (weight decay 1e-4)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at a learning rate of 1e-3 with a ReduceLROnPlateau schedule (halving after three stagnant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epochs), a standard cross-entropy loss, and a batch size of 64, for up to 100 epochs with early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stopping (patience 12). Regularisation is provided by dropout in the GRU (0.3) and the dense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layer (0.5) together with the augmentation above.</w:t>
      </w:r>
    </w:p>
    <w:p>
      <w:pPr>
        <w:autoSpaceDN w:val="0"/>
        <w:autoSpaceDE w:val="0"/>
        <w:widowControl/>
        <w:spacing w:line="240" w:lineRule="auto" w:before="258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216280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2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04" w:lineRule="exact" w:before="84" w:after="0"/>
        <w:ind w:left="362" w:right="0" w:firstLine="2966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4.15: ArSL training configuration </w:t>
      </w:r>
      <w:r>
        <w:br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resulting training curves are shown in Fig. 4.16. The model converges quickly on the 20-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class task and attains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99.41%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accuracy on its test split.</w:t>
      </w:r>
    </w:p>
    <w:p>
      <w:pPr>
        <w:autoSpaceDN w:val="0"/>
        <w:autoSpaceDE w:val="0"/>
        <w:widowControl/>
        <w:spacing w:line="266" w:lineRule="exact" w:before="244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39</w:t>
      </w:r>
    </w:p>
    <w:p>
      <w:pPr>
        <w:sectPr>
          <w:pgSz w:w="12240" w:h="15840"/>
          <w:pgMar w:top="90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0"/>
        <w:ind w:left="0" w:right="0"/>
      </w:pPr>
    </w:p>
    <w:p>
      <w:pPr>
        <w:autoSpaceDN w:val="0"/>
        <w:autoSpaceDE w:val="0"/>
        <w:widowControl/>
        <w:spacing w:line="222" w:lineRule="exact" w:before="5744" w:after="0"/>
        <w:ind w:left="0" w:right="372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4.16a: Training and validation accuracies</w:t>
      </w:r>
    </w:p>
    <w:p>
      <w:pPr>
        <w:autoSpaceDN w:val="0"/>
        <w:autoSpaceDE w:val="0"/>
        <w:widowControl/>
        <w:spacing w:line="222" w:lineRule="exact" w:before="5614" w:after="0"/>
        <w:ind w:left="0" w:right="395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4.16b: Training and validation loss </w:t>
      </w:r>
    </w:p>
    <w:p>
      <w:pPr>
        <w:autoSpaceDN w:val="0"/>
        <w:autoSpaceDE w:val="0"/>
        <w:widowControl/>
        <w:spacing w:line="266" w:lineRule="exact" w:before="1632" w:after="0"/>
        <w:ind w:left="0" w:right="563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40</w:t>
      </w:r>
    </w:p>
    <w:p>
      <w:pPr>
        <w:sectPr>
          <w:pgSz w:w="12240" w:h="15840"/>
          <w:pgMar w:top="710" w:right="0" w:bottom="36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4.4 Gloss-to-Sentence Translation</w:t>
      </w:r>
    </w:p>
    <w:p>
      <w:pPr>
        <w:autoSpaceDN w:val="0"/>
        <w:autoSpaceDE w:val="0"/>
        <w:widowControl/>
        <w:spacing w:line="414" w:lineRule="exact" w:before="206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Once a gloss sequence has been committed, it is converted into a fluent sentence by a large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 model behind a single endpoint. The primary provider is Gemini [27], prompted with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few-shot examples that enforce Topic–Comment reordering and the insertion of function words;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results are cached for repeated phrases. When no cloud provider is reachable, the chain falls back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a local LLaMA-based model served by Ollama [28], and ultimately to emitting the raw gloss,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so the feature degrades gracefully rather than failing.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4.5 Sign Synthesis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reverse direction maps a sentence to gloss and retrieves a sign for each token. Rather than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exact string matching, retrieval uses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Sentence-BERT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embeddings [26] stored in pgvector, so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synonym or paraphrase still selects the correct sign. The retrieved landmark sequences are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stitched and played by the avatar.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4.6 Real-Time Integration</w:t>
      </w:r>
    </w:p>
    <w:p>
      <w:pPr>
        <w:autoSpaceDN w:val="0"/>
        <w:autoSpaceDE w:val="0"/>
        <w:widowControl/>
        <w:spacing w:line="288" w:lineRule="exact" w:before="47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4.6.1 ASL model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runtime pipeline is shown in Fig. 4.17. In the browser, webcam frames at 30 FPS are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converted to landmarks, smoothed and gap-filled (missing hands sent as NaN, not zero),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buffered to 60 frames before being posted to /api/translate. The server runs the TFLite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interpreter, applies the 0.80 acceptance gate, performs a majority vote over the last 15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predictions, accumulates gloss, and — after five seconds of no hands — calls the language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 and /api/tts. The meeting mode layers this on a peer-to-peer WebRTC connection [31]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coordinated by Socket.IO.</w:t>
      </w:r>
    </w:p>
    <w:p>
      <w:pPr>
        <w:autoSpaceDN w:val="0"/>
        <w:autoSpaceDE w:val="0"/>
        <w:widowControl/>
        <w:spacing w:line="266" w:lineRule="exact" w:before="273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41</w:t>
      </w:r>
    </w:p>
    <w:p>
      <w:pPr>
        <w:sectPr>
          <w:pgSz w:w="12240" w:h="15840"/>
          <w:pgMar w:top="908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217297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2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30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4.17: ASL Runtime inference &amp; integration pipeline</w:t>
      </w:r>
    </w:p>
    <w:p>
      <w:pPr>
        <w:autoSpaceDN w:val="0"/>
        <w:autoSpaceDE w:val="0"/>
        <w:widowControl/>
        <w:spacing w:line="288" w:lineRule="exact" w:before="134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4.6.2 ArSL model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ArSL model follows an analogous pipeline, shown in Fig. 4.18, with two differences: its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preprocessing runs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server-side in PyTorch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rather than inside a TFLite graph — resampling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buffered clip to 30 frames over the 59 selected landmarks — and its acceptance gate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0.45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rather than 0.80.</w:t>
      </w:r>
    </w:p>
    <w:p>
      <w:pPr>
        <w:autoSpaceDN w:val="0"/>
        <w:autoSpaceDE w:val="0"/>
        <w:widowControl/>
        <w:spacing w:line="240" w:lineRule="auto" w:before="258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227203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2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29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4.18: ArSL runtime inference &amp; integration pipeline</w:t>
      </w:r>
    </w:p>
    <w:p>
      <w:pPr>
        <w:autoSpaceDN w:val="0"/>
        <w:autoSpaceDE w:val="0"/>
        <w:widowControl/>
        <w:spacing w:line="266" w:lineRule="exact" w:before="1360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42</w:t>
      </w:r>
    </w:p>
    <w:p>
      <w:pPr>
        <w:sectPr>
          <w:pgSz w:w="12240" w:h="15840"/>
          <w:pgMar w:top="900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4.7 Model Comparison</w:t>
      </w:r>
    </w:p>
    <w:p>
      <w:pPr>
        <w:autoSpaceDN w:val="0"/>
        <w:autoSpaceDE w:val="0"/>
        <w:widowControl/>
        <w:spacing w:line="222" w:lineRule="exact" w:before="704" w:after="120"/>
        <w:ind w:left="0" w:right="3004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4.1: ASL vs. ArSL model comparison.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86"/>
        <w:gridCol w:w="3286"/>
        <w:gridCol w:w="3286"/>
      </w:tblGrid>
      <w:tr>
        <w:trPr>
          <w:trHeight w:hRule="exact" w:val="406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Attribute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ASL (English Model)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ArSL (Arabic Model)</w:t>
            </w:r>
          </w:p>
        </w:tc>
      </w:tr>
      <w:tr>
        <w:trPr>
          <w:trHeight w:hRule="exact" w:val="408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Dataset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Google ISLR (250 classes)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Balaha ArSL (20 classes)</w:t>
            </w:r>
          </w:p>
        </w:tc>
      </w:tr>
      <w:tr>
        <w:trPr>
          <w:trHeight w:hRule="exact" w:val="686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Input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Shape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8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raw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60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×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543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×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DejaVu Serif" w:hAnsi="DejaVu Serif" w:eastAsia="DejaVu Serif"/>
                <w:b w:val="0"/>
                <w:i w:val="0"/>
                <w:color w:val="000000"/>
                <w:sz w:val="24"/>
              </w:rPr>
              <w:t xml:space="preserve"> →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708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features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30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×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177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(59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keypoints)</w:t>
            </w:r>
          </w:p>
        </w:tc>
      </w:tr>
      <w:tr>
        <w:trPr>
          <w:trHeight w:hRule="exact" w:val="406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Z-Coordinate Used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No (x, y only)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No (explicitly zeroed to 0.0)</w:t>
            </w:r>
          </w:p>
        </w:tc>
      </w:tr>
      <w:tr>
        <w:trPr>
          <w:trHeight w:hRule="exact" w:val="684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Backbone Architecture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8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1D-CNN + Squeezeformer /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Transformer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CNN + Bi-GRU</w:t>
            </w:r>
          </w:p>
        </w:tc>
      </w:tr>
      <w:tr>
        <w:trPr>
          <w:trHeight w:hRule="exact" w:val="404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Export Format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TFLite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PyTorch (.pth)</w:t>
            </w:r>
          </w:p>
        </w:tc>
      </w:tr>
      <w:tr>
        <w:trPr>
          <w:trHeight w:hRule="exact" w:val="684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Loss Function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8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CCE with label smoothing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(0.1)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Cross-Entropy Loss</w:t>
            </w:r>
          </w:p>
        </w:tc>
      </w:tr>
      <w:tr>
        <w:trPr>
          <w:trHeight w:hRule="exact" w:val="404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Model Accuracy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80.00%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99.41%</w:t>
            </w:r>
          </w:p>
        </w:tc>
      </w:tr>
    </w:tbl>
    <w:p>
      <w:pPr>
        <w:autoSpaceDN w:val="0"/>
        <w:autoSpaceDE w:val="0"/>
        <w:widowControl/>
        <w:spacing w:line="354" w:lineRule="exact" w:before="52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4.8 Comparison with Prior Recognition Architectures</w:t>
      </w:r>
    </w:p>
    <w:p>
      <w:pPr>
        <w:autoSpaceDN w:val="0"/>
        <w:autoSpaceDE w:val="0"/>
        <w:widowControl/>
        <w:spacing w:line="414" w:lineRule="exact" w:before="206" w:after="0"/>
        <w:ind w:left="362" w:right="74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Isolated sign-language recognition has moved through several architectural generations,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Together's two models sit at different points along that path. The earliest deep recognisers were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appearance-based: a two-dimensional convolutional neural network (CNN) extracted per-frame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features from raw video, which a recurrent network — usually a long short-term memory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(LSTM) or its bidirectional variant (Bi-LSTM) — then aggregated over time. Three-dimensional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CNNs such as I3D folded space and time into a single convolution and pushed accuracy higher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on large benchmarks, but at a steep computational cost and with a heavy dependence on video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data [6].</w:t>
      </w:r>
    </w:p>
    <w:p>
      <w:pPr>
        <w:autoSpaceDN w:val="0"/>
        <w:autoSpaceDE w:val="0"/>
        <w:widowControl/>
        <w:spacing w:line="414" w:lineRule="exact" w:before="120" w:after="0"/>
        <w:ind w:left="288" w:right="0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Because raw video is expensive and privacy-invasive, the field increasingly favours pose-based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 that operate on extracted skeleton keypoints rather than pixels. Recurrent models (RNN,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LSTM, Bi-LSTM) remain a natural fit for these keypoint sequences and are still common in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Arabic Sign Language (ArSL) work, where datasets are small. Hybrid CNN-LSTM and CNN-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GRU networks improve on pure recurrent models by letting a convolutional front end learn local </w:t>
      </w:r>
    </w:p>
    <w:p>
      <w:pPr>
        <w:autoSpaceDN w:val="0"/>
        <w:autoSpaceDE w:val="0"/>
        <w:widowControl/>
        <w:spacing w:line="266" w:lineRule="exact" w:before="962" w:after="0"/>
        <w:ind w:left="0" w:right="46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43</w:t>
      </w:r>
    </w:p>
    <w:p>
      <w:pPr>
        <w:sectPr>
          <w:pgSz w:w="12240" w:h="15840"/>
          <w:pgMar w:top="906" w:right="942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362" w:right="74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spatio-temporal patterns before the recurrent layer models longer-range order; this compact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design is well suited to low-resource vocabularies. More recently, graph convolutional networks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(GCNs) that treat the skeleton as a graph have won signer-independent challenges with around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98% accuracy [9], and attention-based Transformers — including the convolution-augmented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Squeezeformer — now lead the large-vocabulary Google Isolated Sign Language Recognition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benchmark [23].</w:t>
      </w:r>
    </w:p>
    <w:p>
      <w:pPr>
        <w:autoSpaceDN w:val="0"/>
        <w:autoSpaceDE w:val="0"/>
        <w:widowControl/>
        <w:spacing w:line="414" w:lineRule="exact" w:before="120" w:after="0"/>
        <w:ind w:left="362" w:right="74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Together deliberately chooses a different architecture for each language to match its data budget.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ArSL recogniser is a compact CNN-Bi-GRU: with only 8,437 samples across 20 signs,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small convolutional front end followed by a bidirectional GRU captures the temporal dynamics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of a sign without the parameter count — and the overfitting risk — of a Transformer. The ASL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recogniser instead adopts the Squeezeformer-style Conv1D-plus-Transformer design that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dominates the 250-class Google ISLR task, trading a larger parameter budget for the long-range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modelling that a 250-way vocabulary demands, and is exported as a three-tower ensemble for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additional robustness. In short, the two models bracket the architectural spectrum reviewed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above — a lightweight recurrent hybrid for the low-resource language and an attention-based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convolutional network for the high-resource one — rather than forcing a single design onto two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very different datasets. A side-by-side summary is given in Table 4.2.</w:t>
      </w:r>
    </w:p>
    <w:p>
      <w:pPr>
        <w:autoSpaceDN w:val="0"/>
        <w:autoSpaceDE w:val="0"/>
        <w:widowControl/>
        <w:spacing w:line="222" w:lineRule="exact" w:before="266" w:after="124"/>
        <w:ind w:left="628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4.2: Neural architecture families for sign-language recognition and where Together's two models sit.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972"/>
        <w:gridCol w:w="1972"/>
        <w:gridCol w:w="1972"/>
        <w:gridCol w:w="1972"/>
        <w:gridCol w:w="1972"/>
      </w:tblGrid>
      <w:tr>
        <w:trPr>
          <w:trHeight w:hRule="exact" w:val="784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Architecture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Input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How it models a sign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Trade-offs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0" w:after="0"/>
              <w:ind w:left="288" w:right="288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Representative sign-</w:t>
            </w: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language work</w:t>
            </w:r>
          </w:p>
        </w:tc>
      </w:tr>
      <w:tr>
        <w:trPr>
          <w:trHeight w:hRule="exact" w:val="1094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60" w:val="left"/>
              </w:tabs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2D-CNN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+ </w:t>
            </w:r>
          </w:p>
          <w:p>
            <w:pPr>
              <w:autoSpaceDN w:val="0"/>
              <w:autoSpaceDE w:val="0"/>
              <w:widowControl/>
              <w:spacing w:line="200" w:lineRule="exact" w:before="1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RNN/LSTM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0" w:right="432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RGB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frames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Per-frame CNN features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aggregated by a recurrent net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Strong on appearance;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compute-heavy; background-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sensitive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330" w:val="left"/>
              </w:tabs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WLASL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appearance </w:t>
            </w:r>
          </w:p>
          <w:p>
            <w:pPr>
              <w:autoSpaceDN w:val="0"/>
              <w:autoSpaceDE w:val="0"/>
              <w:widowControl/>
              <w:spacing w:line="200" w:lineRule="exact" w:before="1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baselines [6]</w:t>
            </w:r>
          </w:p>
        </w:tc>
      </w:tr>
      <w:tr>
        <w:trPr>
          <w:trHeight w:hRule="exact" w:val="1092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3D-CNN (e.g.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I3D)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RGB clips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50" w:val="left"/>
              </w:tabs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Joint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spatio-temporal </w:t>
            </w:r>
          </w:p>
          <w:p>
            <w:pPr>
              <w:autoSpaceDN w:val="0"/>
              <w:autoSpaceDE w:val="0"/>
              <w:widowControl/>
              <w:spacing w:line="200" w:lineRule="exact" w:before="1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convolution over the clip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Captures motion directly;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very data- and compute-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hungry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I3D on WLASL [6]</w:t>
            </w:r>
          </w:p>
        </w:tc>
      </w:tr>
      <w:tr>
        <w:trPr>
          <w:trHeight w:hRule="exact" w:val="784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RNN / LSTM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Keypoints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Sequential hidden state over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time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Lightweight; weak on long-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range context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322" w:val="left"/>
              </w:tabs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LSTM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recognisers </w:t>
            </w:r>
          </w:p>
          <w:p>
            <w:pPr>
              <w:autoSpaceDN w:val="0"/>
              <w:autoSpaceDE w:val="0"/>
              <w:widowControl/>
              <w:spacing w:line="200" w:lineRule="exact" w:before="1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surveyed in [3]</w:t>
            </w:r>
          </w:p>
        </w:tc>
      </w:tr>
      <w:tr>
        <w:trPr>
          <w:trHeight w:hRule="exact" w:val="786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Bi-LSTM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Keypoints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Reads the sequence in both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directions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Full temporal context; ~2x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cost; still sequential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322" w:val="left"/>
              </w:tabs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Bi-LSTM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recognisers </w:t>
            </w:r>
          </w:p>
          <w:p>
            <w:pPr>
              <w:autoSpaceDN w:val="0"/>
              <w:autoSpaceDE w:val="0"/>
              <w:widowControl/>
              <w:spacing w:line="200" w:lineRule="exact" w:before="1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surveyed in [3]</w:t>
            </w:r>
          </w:p>
        </w:tc>
      </w:tr>
    </w:tbl>
    <w:p>
      <w:pPr>
        <w:autoSpaceDN w:val="0"/>
        <w:autoSpaceDE w:val="0"/>
        <w:widowControl/>
        <w:spacing w:line="266" w:lineRule="exact" w:before="874" w:after="0"/>
        <w:ind w:left="0" w:right="46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44</w:t>
      </w:r>
    </w:p>
    <w:p>
      <w:pPr>
        <w:sectPr>
          <w:pgSz w:w="12240" w:h="15840"/>
          <w:pgMar w:top="904" w:right="942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992"/>
        <w:gridCol w:w="1992"/>
        <w:gridCol w:w="1992"/>
        <w:gridCol w:w="1992"/>
        <w:gridCol w:w="1992"/>
      </w:tblGrid>
      <w:tr>
        <w:trPr>
          <w:trHeight w:hRule="exact" w:val="784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CNN-LSTM /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CNN-GRU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Keypoints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CNN learns local features,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RNN models time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Compact, data-efficient; ideal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for small vocab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Together — ArSL model</w:t>
            </w:r>
          </w:p>
        </w:tc>
      </w:tr>
      <w:tr>
        <w:trPr>
          <w:trHeight w:hRule="exact" w:val="1094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GCN (skeleton)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Pose graph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Graph convolutions over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skeleton joints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Parameter-efficient; signer-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independent; needs clean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keypoints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AUTSL winner ~98% [9]</w:t>
            </w:r>
          </w:p>
        </w:tc>
      </w:tr>
      <w:tr>
        <w:trPr>
          <w:trHeight w:hRule="exact" w:val="786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Transformer /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Squeezeformer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Keypoints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Self-attention (+ Conv1D)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over all frames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Long-range, parallel; data-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hungry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Together — ASL model;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Google ISLR [23]</w:t>
            </w:r>
          </w:p>
        </w:tc>
      </w:tr>
    </w:tbl>
    <w:p>
      <w:pPr>
        <w:autoSpaceDN w:val="0"/>
        <w:autoSpaceDE w:val="0"/>
        <w:widowControl/>
        <w:spacing w:line="354" w:lineRule="exact" w:before="70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4.9 The Together Application: Modules and User Interface</w:t>
      </w:r>
    </w:p>
    <w:p>
      <w:pPr>
        <w:autoSpaceDN w:val="0"/>
        <w:autoSpaceDE w:val="0"/>
        <w:widowControl/>
        <w:spacing w:line="414" w:lineRule="exact" w:before="206" w:after="0"/>
        <w:ind w:left="362" w:right="178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While the preceding sections described the system's internals, the user interacts with Together as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single bilingual progressive web application (PWA) made up of eight modules. Five are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translation modules built on a shared real-time dashboard, and three — Dictionary, Practice,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Analytics — support reference, learning, and self-monitoring. Every view is fully bilingual: it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mirrors between English (left-to-right) and Arabic (right-to-left), offers a dark and light theme,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and the application is installable and responsive across desktop and mobile.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4.9.1 Translation modules and the shared dashboard</w:t>
      </w:r>
    </w:p>
    <w:p>
      <w:pPr>
        <w:autoSpaceDN w:val="0"/>
        <w:autoSpaceDE w:val="0"/>
        <w:widowControl/>
        <w:spacing w:line="414" w:lineRule="exact" w:before="170" w:after="0"/>
        <w:ind w:left="362" w:right="18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five translation modules expose the directional pipelines of Sections 4.2–4.6, each branded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tuned for one task (Table 4.3). HandScript and VoiceBridge consume the sign-recognition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path, rendering recognised signs as on-screen text and as synthesised speech respectively;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SignType and TalkSide drive the reverse, sign-synthesis path from typed text and from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transcribed speech; and SignLine combines both directions in the live two-party meeting of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Section 4.6.</w:t>
      </w:r>
    </w:p>
    <w:p>
      <w:pPr>
        <w:autoSpaceDN w:val="0"/>
        <w:autoSpaceDE w:val="0"/>
        <w:widowControl/>
        <w:spacing w:line="198" w:lineRule="exact" w:before="266" w:after="224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18"/>
        </w:rPr>
        <w:t>Table 4.3: The five translation modules and the pipelines they expose.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55.99999999999994" w:type="dxa"/>
      </w:tblPr>
      <w:tblGrid>
        <w:gridCol w:w="2490"/>
        <w:gridCol w:w="2490"/>
        <w:gridCol w:w="2490"/>
        <w:gridCol w:w="2490"/>
      </w:tblGrid>
      <w:tr>
        <w:trPr>
          <w:trHeight w:hRule="exact" w:val="474"/>
        </w:trPr>
        <w:tc>
          <w:tcPr>
            <w:tcW w:type="dxa" w:w="169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Module</w:t>
            </w:r>
          </w:p>
        </w:tc>
        <w:tc>
          <w:tcPr>
            <w:tcW w:type="dxa" w:w="20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Direction</w:t>
            </w:r>
          </w:p>
        </w:tc>
        <w:tc>
          <w:tcPr>
            <w:tcW w:type="dxa" w:w="32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Pipeline used</w:t>
            </w:r>
          </w:p>
        </w:tc>
        <w:tc>
          <w:tcPr>
            <w:tcW w:type="dxa" w:w="257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Output</w:t>
            </w:r>
          </w:p>
        </w:tc>
      </w:tr>
      <w:tr>
        <w:trPr>
          <w:trHeight w:hRule="exact" w:val="472"/>
        </w:trPr>
        <w:tc>
          <w:tcPr>
            <w:tcW w:type="dxa" w:w="169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HandScript</w:t>
            </w:r>
          </w:p>
        </w:tc>
        <w:tc>
          <w:tcPr>
            <w:tcW w:type="dxa" w:w="20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 → Text</w:t>
            </w:r>
          </w:p>
        </w:tc>
        <w:tc>
          <w:tcPr>
            <w:tcW w:type="dxa" w:w="32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Recognition → gloss → LLM</w:t>
            </w:r>
          </w:p>
        </w:tc>
        <w:tc>
          <w:tcPr>
            <w:tcW w:type="dxa" w:w="257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On-screen sentence</w:t>
            </w:r>
          </w:p>
        </w:tc>
      </w:tr>
      <w:tr>
        <w:trPr>
          <w:trHeight w:hRule="exact" w:val="474"/>
        </w:trPr>
        <w:tc>
          <w:tcPr>
            <w:tcW w:type="dxa" w:w="169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VoiceBridge</w:t>
            </w:r>
          </w:p>
        </w:tc>
        <w:tc>
          <w:tcPr>
            <w:tcW w:type="dxa" w:w="20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 → Speech</w:t>
            </w:r>
          </w:p>
        </w:tc>
        <w:tc>
          <w:tcPr>
            <w:tcW w:type="dxa" w:w="32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Recognition → gloss → LLM → TTS</w:t>
            </w:r>
          </w:p>
        </w:tc>
        <w:tc>
          <w:tcPr>
            <w:tcW w:type="dxa" w:w="257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Synthesised speech</w:t>
            </w:r>
          </w:p>
        </w:tc>
      </w:tr>
      <w:tr>
        <w:trPr>
          <w:trHeight w:hRule="exact" w:val="220"/>
        </w:trPr>
        <w:tc>
          <w:tcPr>
            <w:tcW w:type="dxa" w:w="169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SignType</w:t>
            </w:r>
          </w:p>
        </w:tc>
        <w:tc>
          <w:tcPr>
            <w:tcW w:type="dxa" w:w="20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Text → Sign</w:t>
            </w:r>
          </w:p>
        </w:tc>
        <w:tc>
          <w:tcPr>
            <w:tcW w:type="dxa" w:w="32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Text → gloss → avatar</w:t>
            </w:r>
          </w:p>
        </w:tc>
        <w:tc>
          <w:tcPr>
            <w:tcW w:type="dxa" w:w="257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Signing avatar</w:t>
            </w:r>
          </w:p>
        </w:tc>
      </w:tr>
    </w:tbl>
    <w:p>
      <w:pPr>
        <w:autoSpaceDN w:val="0"/>
        <w:autoSpaceDE w:val="0"/>
        <w:widowControl/>
        <w:spacing w:line="266" w:lineRule="exact" w:before="920" w:after="0"/>
        <w:ind w:left="0" w:right="480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45</w:t>
      </w:r>
    </w:p>
    <w:p>
      <w:pPr>
        <w:sectPr>
          <w:pgSz w:w="12240" w:h="15840"/>
          <w:pgMar w:top="898" w:right="83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55.99999999999994" w:type="dxa"/>
      </w:tblPr>
      <w:tblGrid>
        <w:gridCol w:w="2490"/>
        <w:gridCol w:w="2490"/>
        <w:gridCol w:w="2490"/>
        <w:gridCol w:w="2490"/>
      </w:tblGrid>
      <w:tr>
        <w:trPr>
          <w:trHeight w:hRule="exact" w:val="474"/>
        </w:trPr>
        <w:tc>
          <w:tcPr>
            <w:tcW w:type="dxa" w:w="169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TalkSide</w:t>
            </w:r>
          </w:p>
        </w:tc>
        <w:tc>
          <w:tcPr>
            <w:tcW w:type="dxa" w:w="20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Speech → Sign</w:t>
            </w:r>
          </w:p>
        </w:tc>
        <w:tc>
          <w:tcPr>
            <w:tcW w:type="dxa" w:w="32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STT → gloss → avatar</w:t>
            </w:r>
          </w:p>
        </w:tc>
        <w:tc>
          <w:tcPr>
            <w:tcW w:type="dxa" w:w="257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Signing avatar</w:t>
            </w:r>
          </w:p>
        </w:tc>
      </w:tr>
      <w:tr>
        <w:trPr>
          <w:trHeight w:hRule="exact" w:val="474"/>
        </w:trPr>
        <w:tc>
          <w:tcPr>
            <w:tcW w:type="dxa" w:w="169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SignLine</w:t>
            </w:r>
          </w:p>
        </w:tc>
        <w:tc>
          <w:tcPr>
            <w:tcW w:type="dxa" w:w="20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Sign </w:t>
            </w:r>
            <w:r>
              <w:rPr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⇄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 Speech (live)</w:t>
            </w:r>
          </w:p>
        </w:tc>
        <w:tc>
          <w:tcPr>
            <w:tcW w:type="dxa" w:w="32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Both pipelines over WebRTC</w:t>
            </w:r>
          </w:p>
        </w:tc>
        <w:tc>
          <w:tcPr>
            <w:tcW w:type="dxa" w:w="257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Live captions + avatar</w:t>
            </w:r>
          </w:p>
        </w:tc>
      </w:tr>
    </w:tbl>
    <w:p>
      <w:pPr>
        <w:autoSpaceDN w:val="0"/>
        <w:autoSpaceDE w:val="0"/>
        <w:widowControl/>
        <w:spacing w:line="414" w:lineRule="exact" w:before="398" w:after="0"/>
        <w:ind w:left="362" w:right="18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All four single-user translation modules share one real-time dashboard (Fig. 4.19). A header row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of status cards reports the signs recognised today, the running average confidence, the elapsed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session time, and the active module with its state (idle, listening, or inferring). The Live Camera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panel hosts the webcam preview and a Start/Stop control; accepted signs stream into a Session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Log, while a compact Analytics side-panel shows a live confidence ring, signs per minute,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session progress. Below the camera, a Transcription panel accumulates the recognised gloss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turns it into a grammatical sentence — automatically, or on demand through an Edit &amp; Compose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control; pressing Enter invokes the language-model stage of Section 4.4.</w:t>
      </w:r>
    </w:p>
    <w:p>
      <w:pPr>
        <w:autoSpaceDN w:val="0"/>
        <w:autoSpaceDE w:val="0"/>
        <w:widowControl/>
        <w:spacing w:line="240" w:lineRule="auto" w:before="256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265302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3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00" w:lineRule="exact" w:before="112" w:after="0"/>
        <w:ind w:left="2010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18"/>
        </w:rPr>
        <w:t>Figure 4.19: The shared real-time translation dashboard (HandScript, sign-to-text).</w:t>
      </w:r>
    </w:p>
    <w:p>
      <w:pPr>
        <w:autoSpaceDN w:val="0"/>
        <w:autoSpaceDE w:val="0"/>
        <w:widowControl/>
        <w:spacing w:line="288" w:lineRule="exact" w:before="928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4.9.2 Dictionary</w:t>
      </w:r>
    </w:p>
    <w:p>
      <w:pPr>
        <w:autoSpaceDN w:val="0"/>
        <w:autoSpaceDE w:val="0"/>
        <w:widowControl/>
        <w:spacing w:line="414" w:lineRule="exact" w:before="170" w:after="0"/>
        <w:ind w:left="362" w:right="178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Dictionary module turns the sign database of Section 4.5 into a browsable reference. Signs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can be filtered by category or located through a search box backed by the Sentence-BERT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semantic lookup, so a synonym or paraphrase still resolves to the correct entry. Each result is </w:t>
      </w:r>
    </w:p>
    <w:p>
      <w:pPr>
        <w:autoSpaceDN w:val="0"/>
        <w:autoSpaceDE w:val="0"/>
        <w:widowControl/>
        <w:spacing w:line="266" w:lineRule="exact" w:before="1014" w:after="0"/>
        <w:ind w:left="0" w:right="480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46</w:t>
      </w:r>
    </w:p>
    <w:p>
      <w:pPr>
        <w:sectPr>
          <w:pgSz w:w="12240" w:h="15840"/>
          <w:pgMar w:top="898" w:right="83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shown in two complementary forms: the landmark-driven avatar that renders the sign, and —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optionally — the original video recorded by a human signer, letting learners compare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synthetic animation against authentic articulation.</w:t>
      </w:r>
    </w:p>
    <w:p>
      <w:pPr>
        <w:autoSpaceDN w:val="0"/>
        <w:autoSpaceDE w:val="0"/>
        <w:widowControl/>
        <w:spacing w:line="240" w:lineRule="auto" w:before="258" w:after="0"/>
        <w:ind w:left="67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541010" cy="447420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41010" cy="4474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6" w:after="0"/>
        <w:ind w:left="1170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4.20: Dictionary: category browsing and search, with avatar and original-signer video.</w:t>
      </w:r>
    </w:p>
    <w:p>
      <w:pPr>
        <w:autoSpaceDN w:val="0"/>
        <w:autoSpaceDE w:val="0"/>
        <w:widowControl/>
        <w:spacing w:line="288" w:lineRule="exact" w:before="82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4.9.3 Analytics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Analytics page (Fig. 4.21) summarises a user's activity entirely on-device, consistent with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privacy stance of NFR8 — only landmarks, never raw video, leave the browser. It reports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total detections, unique signs, average confidence, and signing speed (signs per minute),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visualises a confidence trend across the session alongside the most-detected signs and a </w:t>
      </w:r>
    </w:p>
    <w:p>
      <w:pPr>
        <w:autoSpaceDN w:val="0"/>
        <w:autoSpaceDE w:val="0"/>
        <w:widowControl/>
        <w:spacing w:line="266" w:lineRule="exact" w:before="1218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47</w:t>
      </w:r>
    </w:p>
    <w:p>
      <w:pPr>
        <w:sectPr>
          <w:pgSz w:w="12240" w:h="15840"/>
          <w:pgMar w:top="904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breakdown by language (ASL / ArSL) and input module (Vision / Speech). A session can be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exported as CSV or printed to PDF for record-keeping.</w:t>
      </w:r>
    </w:p>
    <w:p>
      <w:pPr>
        <w:autoSpaceDN w:val="0"/>
        <w:autoSpaceDE w:val="0"/>
        <w:widowControl/>
        <w:spacing w:line="240" w:lineRule="auto" w:before="256" w:after="0"/>
        <w:ind w:left="105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67300" cy="446405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4464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0" w:lineRule="exact" w:before="260" w:after="0"/>
        <w:ind w:left="864" w:right="432" w:firstLine="0"/>
        <w:jc w:val="center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4.21: Session Analytics: on-device detection statistics, confidence trend, and language/module </w:t>
      </w:r>
      <w:r>
        <w:rPr>
          <w:rFonts w:ascii="Liberation Serif" w:hAnsi="Liberation Serif" w:eastAsia="Liberation Serif"/>
          <w:b/>
          <w:i/>
          <w:color w:val="000000"/>
          <w:sz w:val="20"/>
        </w:rPr>
        <w:t>breakdown.</w:t>
      </w:r>
    </w:p>
    <w:p>
      <w:pPr>
        <w:autoSpaceDN w:val="0"/>
        <w:autoSpaceDE w:val="0"/>
        <w:widowControl/>
        <w:spacing w:line="288" w:lineRule="exact" w:before="82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4.9.4 Practice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Practice module is a guided drill for learners. Each round presents ten signs drawn at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random from the selected language (ASL or ArSL), each demonstrated by the avatar; after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watching a prompt, the learner attempts the sign to the webcam and the recognition pipeline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judges whether it was produced correctly, giving immediate feedback before advancing. Because </w:t>
      </w:r>
    </w:p>
    <w:p>
      <w:pPr>
        <w:autoSpaceDN w:val="0"/>
        <w:autoSpaceDE w:val="0"/>
        <w:widowControl/>
        <w:spacing w:line="266" w:lineRule="exact" w:before="1418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48</w:t>
      </w:r>
    </w:p>
    <w:p>
      <w:pPr>
        <w:sectPr>
          <w:pgSz w:w="12240" w:h="15840"/>
          <w:pgMar w:top="904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Practice reuses the same recognition models and confidence gating as the live translation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modules, a learner is measured against exactly the system that powers real translation.</w:t>
      </w:r>
    </w:p>
    <w:p>
      <w:pPr>
        <w:autoSpaceDN w:val="0"/>
        <w:autoSpaceDE w:val="0"/>
        <w:widowControl/>
        <w:spacing w:line="240" w:lineRule="auto" w:before="258" w:after="0"/>
        <w:ind w:left="99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33340" cy="435864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33340" cy="435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8" w:lineRule="exact" w:before="268" w:after="0"/>
        <w:ind w:left="1906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18"/>
        </w:rPr>
        <w:t>Figure 4.22: Practice: avatar-prompted rounds of ten signs with live attempt feedback.</w:t>
      </w:r>
    </w:p>
    <w:p>
      <w:pPr>
        <w:autoSpaceDN w:val="0"/>
        <w:autoSpaceDE w:val="0"/>
        <w:widowControl/>
        <w:spacing w:line="288" w:lineRule="exact" w:before="9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4.9.5 Bilingual, responsive interface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Every module is delivered through one design system in two fully mirrored locales. The Arabic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interface is fully translated into Arabic — every label, message, and control, not merely the font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— and is presented as a true right-to-left mirror of the layout, so the text, navigation, charts,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avatar all read and reflect correctly with no English left in the interface. The same views adapt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from desktop to mobile, where the application can be installed as a PWA and used offline for the </w:t>
      </w:r>
    </w:p>
    <w:p>
      <w:pPr>
        <w:autoSpaceDN w:val="0"/>
        <w:autoSpaceDE w:val="0"/>
        <w:widowControl/>
        <w:spacing w:line="266" w:lineRule="exact" w:before="131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49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components that do not depend on a cloud provider. Figures 4.23 and 4.24 show representative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desktop and mobile screens, including the right-to-left Arabic layout.</w:t>
      </w:r>
    </w:p>
    <w:p>
      <w:pPr>
        <w:autoSpaceDN w:val="0"/>
        <w:autoSpaceDE w:val="0"/>
        <w:widowControl/>
        <w:spacing w:line="240" w:lineRule="auto" w:before="256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26543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124" w:after="0"/>
        <w:ind w:left="2302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4.23: Representative desktop screen (English, left-to-right).</w:t>
      </w:r>
    </w:p>
    <w:p>
      <w:pPr>
        <w:autoSpaceDN w:val="0"/>
        <w:autoSpaceDE w:val="0"/>
        <w:widowControl/>
        <w:spacing w:line="240" w:lineRule="auto" w:before="234" w:after="0"/>
        <w:ind w:left="0" w:right="3224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50720" cy="379729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950720" cy="3797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1482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4.24: Representative mobile screen, including the right-to-left Arabic interface.</w:t>
      </w:r>
    </w:p>
    <w:p>
      <w:pPr>
        <w:autoSpaceDN w:val="0"/>
        <w:autoSpaceDE w:val="0"/>
        <w:widowControl/>
        <w:spacing w:line="266" w:lineRule="exact" w:before="878" w:after="0"/>
        <w:ind w:left="0" w:right="463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50</w:t>
      </w:r>
    </w:p>
    <w:p>
      <w:pPr>
        <w:sectPr>
          <w:pgSz w:w="12240" w:h="15840"/>
          <w:pgMar w:top="904" w:right="100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34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4.10 Authentication and Security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Access to the platform is protected by a token-based authentication layer. Users register and log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 with a password that is never stored in plaintext: credentials are hashed with Argon2id,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memory-hard algorithm resistant to brute-force and GPU-accelerated attacks, and only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resulting hash is persisted (Section 3.3.2). On a successful login the server issues a short-lived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JSON Web Token (JWT) access token together with a longer-lived refresh token; refresh tokens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are themselves stored only as hashes, expire, and are rotated on each use, so a leaked or stale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refresh token cannot be replayed indefinitely.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Account creation is further verified through a WhatsApp-delivered one-time password (OTP).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During registration, the platform sends an OTP from its dedicated WhatsApp account to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user’s WhatsApp number, and the account is activated only once the code is entered correctly,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tying every account to a real, reachable phone number. Delivering the code over WhatsApp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rather than SMS requires no additional telephony infrastructure and reaches users on a channel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they already use, while blunting bot sign-ups and throw-away registrations.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Every authenticated and recognition endpoint requires a valid access token, and incoming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requests are bounded by a sliding-window rate limiter that blunts credential-stuffing and abuse;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standard security headers and a restrictive cross-origin (CORS) policy further harden the API.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Combined with the privacy design of NFR8 — only landmarks, never raw video, leave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browser — this ensures that both a user's account and their captured signing data remain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protected end to end. The full authentication flow (registration, login, token issue and refresh,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and rate limiting) is exercised by the automated test suite of Section 5.5.</w:t>
      </w:r>
    </w:p>
    <w:p>
      <w:pPr>
        <w:autoSpaceDN w:val="0"/>
        <w:autoSpaceDE w:val="0"/>
        <w:widowControl/>
        <w:spacing w:line="266" w:lineRule="exact" w:before="3266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51</w:t>
      </w:r>
    </w:p>
    <w:p>
      <w:pPr>
        <w:sectPr>
          <w:pgSz w:w="12240" w:h="15840"/>
          <w:pgMar w:top="125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6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Chapter 5: Testing, Validation and Results</w:t>
      </w:r>
    </w:p>
    <w:p>
      <w:pPr>
        <w:autoSpaceDN w:val="0"/>
        <w:autoSpaceDE w:val="0"/>
        <w:widowControl/>
        <w:spacing w:line="414" w:lineRule="exact" w:before="27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This chapter evaluates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comprehensively. It defines the evaluation methodology, reports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recognition results for both models (including generalization, per-class metrics,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confusion analysis), measures the quality of the gloss-to-sentence translation against human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references, assesses system performance (latency and model quantization), documents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functional and system testing of every part of the platform, and closes with the limitations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threats to validity.</w:t>
      </w:r>
    </w:p>
    <w:p>
      <w:pPr>
        <w:autoSpaceDN w:val="0"/>
        <w:autoSpaceDE w:val="0"/>
        <w:widowControl/>
        <w:spacing w:line="356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5.1 Evaluation Methodology</w:t>
      </w:r>
    </w:p>
    <w:p>
      <w:pPr>
        <w:autoSpaceDN w:val="0"/>
        <w:autoSpaceDE w:val="0"/>
        <w:widowControl/>
        <w:spacing w:line="264" w:lineRule="exact" w:before="35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Four families of evidence are used.</w:t>
      </w:r>
    </w:p>
    <w:p>
      <w:pPr>
        <w:autoSpaceDN w:val="0"/>
        <w:tabs>
          <w:tab w:pos="1082" w:val="left"/>
        </w:tabs>
        <w:autoSpaceDE w:val="0"/>
        <w:widowControl/>
        <w:spacing w:line="418" w:lineRule="exact" w:before="100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Recognition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is measured by classification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accuracy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, by per-class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precision, recall, and 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F1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, and by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confusion matrices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. To test generalization rather than only memorisation,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each model is additionally evaluated on data drawn from outside its training distribution: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ASL model is tested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cross-dataset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on the independent SignASL benchmark, and the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ArSL model is tested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signer-independently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(held-out signers).</w:t>
      </w:r>
    </w:p>
    <w:p>
      <w:pPr>
        <w:autoSpaceDN w:val="0"/>
        <w:tabs>
          <w:tab w:pos="1082" w:val="left"/>
        </w:tabs>
        <w:autoSpaceDE w:val="0"/>
        <w:widowControl/>
        <w:spacing w:line="418" w:lineRule="exact" w:before="100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Translation quality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— the contribution of the language-model stage — is measured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against human reference sentences with 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BLEU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[32] and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chrF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[33] metrics, computed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with a standardised, reproducible scorer [34], and always compared against a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raw-gloss </w:t>
      </w:r>
      <w:r>
        <w:tab/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baseline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so the language model's contribution is isolated rather than asserted. A held-out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set of 20 reference sentences per language is used.</w:t>
      </w:r>
    </w:p>
    <w:p>
      <w:pPr>
        <w:autoSpaceDN w:val="0"/>
        <w:tabs>
          <w:tab w:pos="1082" w:val="left"/>
        </w:tabs>
        <w:autoSpaceDE w:val="0"/>
        <w:widowControl/>
        <w:spacing w:line="430" w:lineRule="exact" w:before="88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System performance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is assessed by end-to-end and per-stage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latency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and by the effect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of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model quantization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on size and speed.</w:t>
      </w:r>
    </w:p>
    <w:p>
      <w:pPr>
        <w:autoSpaceDN w:val="0"/>
        <w:tabs>
          <w:tab w:pos="1082" w:val="left"/>
        </w:tabs>
        <w:autoSpaceDE w:val="0"/>
        <w:widowControl/>
        <w:spacing w:line="430" w:lineRule="exact" w:before="88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Functional correctness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is assessed by an automated test suite, a frontend regression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module, and manual end-to-end testing of every site module.</w:t>
      </w:r>
    </w:p>
    <w:p>
      <w:pPr>
        <w:autoSpaceDN w:val="0"/>
        <w:autoSpaceDE w:val="0"/>
        <w:widowControl/>
        <w:spacing w:line="264" w:lineRule="exact" w:before="27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All metrics used in this chapter are defined in Table 5.1.</w:t>
      </w:r>
    </w:p>
    <w:p>
      <w:pPr>
        <w:autoSpaceDN w:val="0"/>
        <w:autoSpaceDE w:val="0"/>
        <w:widowControl/>
        <w:spacing w:line="266" w:lineRule="exact" w:before="1414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52</w:t>
      </w:r>
    </w:p>
    <w:p>
      <w:pPr>
        <w:sectPr>
          <w:pgSz w:w="12240" w:h="15840"/>
          <w:pgMar w:top="99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4"/>
        <w:ind w:left="0" w:right="0"/>
      </w:pPr>
    </w:p>
    <w:p>
      <w:pPr>
        <w:autoSpaceDN w:val="0"/>
        <w:autoSpaceDE w:val="0"/>
        <w:widowControl/>
        <w:spacing w:line="222" w:lineRule="exact" w:before="0" w:after="120"/>
        <w:ind w:left="0" w:right="273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5.1: Evaluation metrics used in this chapter.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86"/>
        <w:gridCol w:w="3286"/>
        <w:gridCol w:w="3286"/>
      </w:tblGrid>
      <w:tr>
        <w:trPr>
          <w:trHeight w:hRule="exact" w:val="542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Metric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Description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Expression</w:t>
            </w:r>
          </w:p>
        </w:tc>
      </w:tr>
      <w:tr>
        <w:trPr>
          <w:trHeight w:hRule="exact" w:val="960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Accuracy (ACC)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Correct predictions over the total number of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predictions.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288" w:right="288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TN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TN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FP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FN</w:t>
            </w:r>
          </w:p>
        </w:tc>
      </w:tr>
      <w:tr>
        <w:trPr>
          <w:trHeight w:hRule="exact" w:val="954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Top-1 accuracy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Share of cases where the highest-confidence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prediction matches the true label.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528" w:right="432" w:hanging="8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correct (top-1)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total samples</w:t>
            </w:r>
          </w:p>
        </w:tc>
      </w:tr>
      <w:tr>
        <w:trPr>
          <w:trHeight w:hRule="exact" w:val="958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Top-5 accuracy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Share of cases where the true label is among the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model's top five predictions.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374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true label in top 5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total samples</w:t>
            </w:r>
          </w:p>
        </w:tc>
      </w:tr>
      <w:tr>
        <w:trPr>
          <w:trHeight w:hRule="exact" w:val="838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Precision (P)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Correct positives over all predicted positives.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720" w:right="72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TP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FP</w:t>
            </w:r>
          </w:p>
        </w:tc>
      </w:tr>
      <w:tr>
        <w:trPr>
          <w:trHeight w:hRule="exact" w:val="834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Recall (R)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Correct positives over all actual positives.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720" w:right="72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TP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FN</w:t>
            </w:r>
          </w:p>
        </w:tc>
      </w:tr>
      <w:tr>
        <w:trPr>
          <w:trHeight w:hRule="exact" w:val="958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F1 score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Harmonic mean of precision and recall;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range 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0,1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]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432" w:right="432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TP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FP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FN</w:t>
            </w:r>
          </w:p>
        </w:tc>
      </w:tr>
      <w:tr>
        <w:trPr>
          <w:trHeight w:hRule="exact" w:val="982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Confusion matrix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Cross-tabulates true vs. predicted classes;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entry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C</w:t>
            </w:r>
            <w:r>
              <w:rPr>
                <w:w w:val="102.46380397251673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ij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counts true class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i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predicted as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j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Cij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=#{true=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i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, pred=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j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}</w:t>
            </w:r>
          </w:p>
        </w:tc>
      </w:tr>
      <w:tr>
        <w:trPr>
          <w:trHeight w:hRule="exact" w:val="958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Categorical cross-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entropy (loss)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Multi-class training loss, here with label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smoothing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ε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=0.1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).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97.99999999999955" w:type="dxa"/>
            </w:tblPr>
            <w:tblGrid>
              <w:gridCol w:w="831"/>
              <w:gridCol w:w="831"/>
              <w:gridCol w:w="831"/>
            </w:tblGrid>
            <w:tr>
              <w:trPr>
                <w:trHeight w:hRule="exact" w:val="196"/>
              </w:trPr>
              <w:tc>
                <w:tcPr>
                  <w:tcW w:type="dxa" w:w="74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454" w:val="left"/>
                      <w:tab w:pos="516" w:val="left"/>
                    </w:tabs>
                    <w:autoSpaceDE w:val="0"/>
                    <w:widowControl/>
                    <w:spacing w:line="218" w:lineRule="exact" w:before="0" w:after="0"/>
                    <w:ind w:left="324" w:right="0" w:firstLine="0"/>
                    <w:jc w:val="left"/>
                  </w:pPr>
                  <w:r>
                    <w:tab/>
                  </w:r>
                  <w:r>
                    <w:tab/>
                  </w:r>
                  <w:r>
                    <w:rPr>
                      <w:w w:val="102.77468817574638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C</w:t>
                  </w:r>
                  <w:r>
                    <w:br/>
                  </w: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-</w:t>
                  </w:r>
                  <w:r>
                    <w:rPr>
                      <w:rFonts w:ascii="OpenSymbol" w:hAnsi="OpenSymbol" w:eastAsia="OpenSymbol"/>
                      <w:b w:val="0"/>
                      <w:i w:val="0"/>
                      <w:color w:val="000000"/>
                      <w:sz w:val="35"/>
                    </w:rPr>
                    <w:t>∑</w:t>
                  </w:r>
                  <w:r>
                    <w:tab/>
                  </w:r>
                  <w:r>
                    <w:rPr>
                      <w:w w:val="102.77468817574638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i</w:t>
                  </w:r>
                  <w:r>
                    <w:rPr>
                      <w:w w:val="102.77468817574638"/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14"/>
                    </w:rPr>
                    <w:t>=1</w:t>
                  </w:r>
                </w:p>
              </w:tc>
              <w:tc>
                <w:tcPr>
                  <w:tcW w:type="dxa" w:w="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0" w:lineRule="exact" w:before="36" w:after="0"/>
                    <w:ind w:left="0" w:right="0" w:firstLine="0"/>
                    <w:jc w:val="center"/>
                  </w:pPr>
                  <w:r>
                    <w:rPr>
                      <w:w w:val="102.77468817574638"/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14"/>
                    </w:rPr>
                    <w:t>~</w:t>
                  </w:r>
                </w:p>
              </w:tc>
              <w:tc>
                <w:tcPr>
                  <w:tcW w:type="dxa" w:w="98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02" w:lineRule="exact" w:before="196" w:after="0"/>
                    <w:ind w:left="24" w:right="0" w:firstLine="0"/>
                    <w:jc w:val="left"/>
                  </w:pPr>
                  <w:r>
                    <w:rPr>
                      <w:w w:val="102.77468817574638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i</w:t>
                  </w: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log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 xml:space="preserve"> ⁡p</w:t>
                  </w:r>
                  <w:r>
                    <w:rPr>
                      <w:w w:val="102.77468817574638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i</w:t>
                  </w:r>
                </w:p>
              </w:tc>
            </w:tr>
            <w:tr>
              <w:trPr>
                <w:trHeight w:hRule="exact" w:val="498"/>
              </w:trPr>
              <w:tc>
                <w:tcPr>
                  <w:tcW w:type="dxa" w:w="831"/>
                  <w:vMerge/>
                  <w:tcBorders/>
                </w:tcPr>
                <w:p/>
              </w:tc>
              <w:tc>
                <w:tcPr>
                  <w:tcW w:type="dxa" w:w="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0" w:after="0"/>
                    <w:ind w:left="0" w:right="0" w:firstLine="0"/>
                    <w:jc w:val="center"/>
                  </w:pP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y</w:t>
                  </w:r>
                </w:p>
              </w:tc>
              <w:tc>
                <w:tcPr>
                  <w:tcW w:type="dxa" w:w="831"/>
                  <w:vMerge/>
                  <w:tcBorders/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956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BLEU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Translation: word n-gram precision with a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brevity penalty (BP).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7.999999999999545" w:type="dxa"/>
            </w:tblPr>
            <w:tblGrid>
              <w:gridCol w:w="1246"/>
              <w:gridCol w:w="1246"/>
            </w:tblGrid>
            <w:tr>
              <w:trPr>
                <w:trHeight w:hRule="exact" w:val="692"/>
              </w:trPr>
              <w:tc>
                <w:tcPr>
                  <w:tcW w:type="dxa" w:w="1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1098" w:val="left"/>
                      <w:tab w:pos="1174" w:val="left"/>
                    </w:tabs>
                    <w:autoSpaceDE w:val="0"/>
                    <w:widowControl/>
                    <w:spacing w:line="218" w:lineRule="exact" w:before="0" w:after="0"/>
                    <w:ind w:left="76" w:right="0" w:firstLine="0"/>
                    <w:jc w:val="left"/>
                  </w:pPr>
                  <w:r>
                    <w:tab/>
                  </w:r>
                  <w:r>
                    <w:rPr>
                      <w:w w:val="102.70049231392997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 xml:space="preserve">N 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BP</w:t>
                  </w:r>
                  <w:r>
                    <w:rPr>
                      <w:rFonts w:ascii="DejaVu Serif" w:hAnsi="DejaVu Serif" w:eastAsia="DejaVu Serif"/>
                      <w:b w:val="0"/>
                      <w:i/>
                      <w:color w:val="000000"/>
                      <w:sz w:val="24"/>
                    </w:rPr>
                    <w:t>⋅</w:t>
                  </w: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exp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!</w:t>
                  </w:r>
                  <w:r>
                    <w:rPr>
                      <w:rFonts w:ascii="OpenSymbol" w:hAnsi="OpenSymbol" w:eastAsia="OpenSymbol"/>
                      <w:b w:val="0"/>
                      <w:i w:val="0"/>
                      <w:color w:val="000000"/>
                      <w:sz w:val="24"/>
                    </w:rPr>
                    <w:t>(</w:t>
                  </w:r>
                  <w:r>
                    <w:rPr>
                      <w:rFonts w:ascii="OpenSymbol" w:hAnsi="OpenSymbol" w:eastAsia="OpenSymbol"/>
                      <w:b w:val="0"/>
                      <w:i w:val="0"/>
                      <w:color w:val="000000"/>
                      <w:sz w:val="35"/>
                    </w:rPr>
                    <w:t>∑</w:t>
                  </w:r>
                  <w:r>
                    <w:rPr>
                      <w:w w:val="102.70049231392997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n</w:t>
                  </w:r>
                  <w:r>
                    <w:rPr>
                      <w:w w:val="102.70049231392997"/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14"/>
                    </w:rPr>
                    <w:t>=1</w:t>
                  </w:r>
                </w:p>
              </w:tc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10" w:lineRule="exact" w:before="186" w:after="0"/>
                    <w:ind w:left="0" w:right="0" w:firstLine="0"/>
                    <w:jc w:val="center"/>
                  </w:pP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w</w:t>
                  </w:r>
                  <w:r>
                    <w:rPr>
                      <w:w w:val="102.70049231392997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n</w:t>
                  </w: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ln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 xml:space="preserve"> ⁡p</w:t>
                  </w:r>
                  <w:r>
                    <w:rPr>
                      <w:w w:val="102.70049231392997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n</w:t>
                  </w:r>
                  <w:r>
                    <w:rPr>
                      <w:rFonts w:ascii="OpenSymbol" w:hAnsi="OpenSymbol" w:eastAsia="OpenSymbol"/>
                      <w:b w:val="0"/>
                      <w:i w:val="0"/>
                      <w:color w:val="000000"/>
                      <w:sz w:val="24"/>
                    </w:rPr>
                    <w:t>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960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chrF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Translation: character n-gram F-score (recall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weighted by </w:t>
            </w:r>
            <w:r>
              <w:rPr>
                <w:w w:val="98.95604451497397"/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β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).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7.999999999999545" w:type="dxa"/>
            </w:tblPr>
            <w:tblGrid>
              <w:gridCol w:w="623"/>
              <w:gridCol w:w="623"/>
              <w:gridCol w:w="623"/>
              <w:gridCol w:w="623"/>
            </w:tblGrid>
            <w:tr>
              <w:trPr>
                <w:trHeight w:hRule="exact" w:val="290"/>
              </w:trPr>
              <w:tc>
                <w:tcPr>
                  <w:tcW w:type="dxa" w:w="640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96" w:lineRule="exact" w:before="0" w:after="0"/>
                    <w:ind w:left="0" w:right="0" w:firstLine="0"/>
                    <w:jc w:val="center"/>
                  </w:pPr>
                  <w:r>
                    <w:rPr>
                      <w:rFonts w:ascii="OpenSymbol" w:hAnsi="OpenSymbol" w:eastAsia="OpenSymbol"/>
                      <w:b w:val="0"/>
                      <w:i w:val="0"/>
                      <w:color w:val="000000"/>
                      <w:sz w:val="24"/>
                    </w:rPr>
                    <w:t>(</w:t>
                  </w: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1+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 xml:space="preserve"> β</w:t>
                  </w:r>
                </w:p>
              </w:tc>
              <w:tc>
                <w:tcPr>
                  <w:tcW w:type="dxa" w:w="212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22" w:lineRule="exact" w:before="0" w:after="0"/>
                    <w:ind w:left="0" w:right="0" w:firstLine="0"/>
                    <w:jc w:val="center"/>
                  </w:pPr>
                  <w:r>
                    <w:rPr>
                      <w:w w:val="102.85714013235909"/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14"/>
                    </w:rPr>
                    <w:t>2</w:t>
                  </w:r>
                  <w:r>
                    <w:rPr>
                      <w:rFonts w:ascii="OpenSymbol" w:hAnsi="OpenSymbol" w:eastAsia="OpenSymbol"/>
                      <w:b w:val="0"/>
                      <w:i w:val="0"/>
                      <w:color w:val="000000"/>
                      <w:sz w:val="24"/>
                    </w:rPr>
                    <w:t>)</w:t>
                  </w:r>
                </w:p>
              </w:tc>
              <w:tc>
                <w:tcPr>
                  <w:tcW w:type="dxa" w:w="148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270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0" w:lineRule="exact" w:before="0" w:after="0"/>
                    <w:ind w:left="22" w:right="0" w:firstLine="0"/>
                    <w:jc w:val="left"/>
                  </w:pP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chrP</w:t>
                  </w:r>
                  <w:r>
                    <w:rPr>
                      <w:rFonts w:ascii="DejaVu Serif" w:hAnsi="DejaVu Serif" w:eastAsia="DejaVu Serif"/>
                      <w:b w:val="0"/>
                      <w:i/>
                      <w:color w:val="000000"/>
                      <w:sz w:val="24"/>
                    </w:rPr>
                    <w:t>⋅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chrR</w:t>
                  </w:r>
                </w:p>
              </w:tc>
            </w:tr>
            <w:tr>
              <w:trPr>
                <w:trHeight w:hRule="exact" w:val="358"/>
              </w:trPr>
              <w:tc>
                <w:tcPr>
                  <w:tcW w:type="dxa" w:w="640"/>
                  <w:tcBorders>
                    <w:top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2"/>
                  <w:tcBorders>
                    <w:top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8"/>
                  <w:tcBorders>
                    <w:top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48" w:after="0"/>
                    <w:ind w:left="0" w:right="0" w:firstLine="0"/>
                    <w:jc w:val="center"/>
                  </w:pP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β</w:t>
                  </w:r>
                </w:p>
              </w:tc>
              <w:tc>
                <w:tcPr>
                  <w:tcW w:type="dxa" w:w="1270"/>
                  <w:tcBorders>
                    <w:top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00" w:lineRule="exact" w:before="12" w:after="0"/>
                    <w:ind w:left="0" w:right="0" w:firstLine="0"/>
                    <w:jc w:val="center"/>
                  </w:pPr>
                  <w:r>
                    <w:rPr>
                      <w:w w:val="102.85714013235909"/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14"/>
                    </w:rPr>
                    <w:t>2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chrP</w:t>
                  </w: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+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chrR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66" w:lineRule="exact" w:before="2794" w:after="0"/>
        <w:ind w:left="0" w:right="46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53</w:t>
      </w:r>
    </w:p>
    <w:p>
      <w:pPr>
        <w:sectPr>
          <w:pgSz w:w="12240" w:h="15840"/>
          <w:pgMar w:top="904" w:right="942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5.2 Recognition Results</w:t>
      </w:r>
    </w:p>
    <w:p>
      <w:pPr>
        <w:autoSpaceDN w:val="0"/>
        <w:autoSpaceDE w:val="0"/>
        <w:widowControl/>
        <w:spacing w:line="288" w:lineRule="exact" w:before="47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5.2.1 Accuracy and generalization</w:t>
      </w:r>
    </w:p>
    <w:p>
      <w:pPr>
        <w:autoSpaceDN w:val="0"/>
        <w:autoSpaceDE w:val="0"/>
        <w:widowControl/>
        <w:spacing w:line="414" w:lineRule="exact" w:before="17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accuracy results are summarised in Table 5.2 and Fig. 5.1. On its own test distribution,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ASL model reaches 80%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accuracy over the 250-class vocabulary. To probe generalization,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same model was evaluated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cross-dataset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on the independent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SignASL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benchmark, where it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attains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62.4% Top-1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— a substantial but expected drop, since SignASL is a separate corpus with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different signers, recording conditions, and label statistics. That the model still recognises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majority of signs on an unseen corpus is strong evidence that it has learned genuine sign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representations rather than dataset-specific artefacts.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ArSL model reaches 99.41%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accuracy on its in-distribution (stratified 70/15/15) test split.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Because that split shares signers across partitions, the model was additionally evaluated under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signer-independent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protocol — testing on signers unseen during training — where it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attains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88%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. The roughly eleven-point gap quantifies how much of the in-distribution score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depends on signer-specific cues, and an 88% signer-independent result remains a strong outcome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for a 20-class recogniser on phone-camera video.</w:t>
      </w:r>
    </w:p>
    <w:p>
      <w:pPr>
        <w:autoSpaceDN w:val="0"/>
        <w:autoSpaceDE w:val="0"/>
        <w:widowControl/>
        <w:spacing w:line="222" w:lineRule="exact" w:before="266" w:after="122"/>
        <w:ind w:left="2126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5.2: Recognition accuracy: in-distribution versus generalization.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40.0" w:type="dxa"/>
      </w:tblPr>
      <w:tblGrid>
        <w:gridCol w:w="2451"/>
        <w:gridCol w:w="2451"/>
        <w:gridCol w:w="2451"/>
        <w:gridCol w:w="2451"/>
      </w:tblGrid>
      <w:tr>
        <w:trPr>
          <w:trHeight w:hRule="exact" w:val="540"/>
        </w:trPr>
        <w:tc>
          <w:tcPr>
            <w:tcW w:type="dxa" w:w="1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Language</w:t>
            </w:r>
          </w:p>
        </w:tc>
        <w:tc>
          <w:tcPr>
            <w:tcW w:type="dxa" w:w="1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Classes</w:t>
            </w:r>
          </w:p>
        </w:tc>
        <w:tc>
          <w:tcPr>
            <w:tcW w:type="dxa" w:w="30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Protocol</w:t>
            </w:r>
          </w:p>
        </w:tc>
        <w:tc>
          <w:tcPr>
            <w:tcW w:type="dxa" w:w="13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Accuracy</w:t>
            </w:r>
          </w:p>
        </w:tc>
      </w:tr>
      <w:tr>
        <w:trPr>
          <w:trHeight w:hRule="exact" w:val="544"/>
        </w:trPr>
        <w:tc>
          <w:tcPr>
            <w:tcW w:type="dxa" w:w="1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30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In-distribution</w:t>
            </w:r>
          </w:p>
        </w:tc>
        <w:tc>
          <w:tcPr>
            <w:tcW w:type="dxa" w:w="13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80%</w:t>
            </w:r>
          </w:p>
        </w:tc>
      </w:tr>
      <w:tr>
        <w:trPr>
          <w:trHeight w:hRule="exact" w:val="956"/>
        </w:trPr>
        <w:tc>
          <w:tcPr>
            <w:tcW w:type="dxa" w:w="1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30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Cross-dataset generalization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(SignASL)</w:t>
            </w:r>
          </w:p>
        </w:tc>
        <w:tc>
          <w:tcPr>
            <w:tcW w:type="dxa" w:w="13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62.4%</w:t>
            </w:r>
          </w:p>
        </w:tc>
      </w:tr>
      <w:tr>
        <w:trPr>
          <w:trHeight w:hRule="exact" w:val="544"/>
        </w:trPr>
        <w:tc>
          <w:tcPr>
            <w:tcW w:type="dxa" w:w="1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1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0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In-distribution</w:t>
            </w:r>
          </w:p>
        </w:tc>
        <w:tc>
          <w:tcPr>
            <w:tcW w:type="dxa" w:w="13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99.41%</w:t>
            </w:r>
          </w:p>
        </w:tc>
      </w:tr>
      <w:tr>
        <w:trPr>
          <w:trHeight w:hRule="exact" w:val="542"/>
        </w:trPr>
        <w:tc>
          <w:tcPr>
            <w:tcW w:type="dxa" w:w="1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1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0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Signer-independent</w:t>
            </w:r>
          </w:p>
        </w:tc>
        <w:tc>
          <w:tcPr>
            <w:tcW w:type="dxa" w:w="13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88%</w:t>
            </w:r>
          </w:p>
        </w:tc>
      </w:tr>
    </w:tbl>
    <w:p>
      <w:pPr>
        <w:autoSpaceDN w:val="0"/>
        <w:autoSpaceDE w:val="0"/>
        <w:widowControl/>
        <w:spacing w:line="266" w:lineRule="exact" w:before="2504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54</w:t>
      </w:r>
    </w:p>
    <w:p>
      <w:pPr>
        <w:sectPr>
          <w:pgSz w:w="12240" w:h="15840"/>
          <w:pgMar w:top="906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36322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2228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5.1: Recognition accuracy: in-distribution vs. generalization.</w:t>
      </w:r>
    </w:p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5.2.2 ASL model evaluation metrics</w:t>
      </w:r>
    </w:p>
    <w:p>
      <w:pPr>
        <w:autoSpaceDN w:val="0"/>
        <w:autoSpaceDE w:val="0"/>
        <w:widowControl/>
        <w:spacing w:line="222" w:lineRule="exact" w:before="316" w:after="122"/>
        <w:ind w:left="0" w:right="299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5.3: ASL model evaluation metrics.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42.0" w:type="dxa"/>
      </w:tblPr>
      <w:tblGrid>
        <w:gridCol w:w="4870"/>
        <w:gridCol w:w="4870"/>
      </w:tblGrid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Success Metric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ASL</w:t>
            </w:r>
          </w:p>
        </w:tc>
      </w:tr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Top-1 Accuracy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80.00%</w:t>
            </w:r>
          </w:p>
        </w:tc>
      </w:tr>
      <w:tr>
        <w:trPr>
          <w:trHeight w:hRule="exact" w:val="540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Top-5 Accuracy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95.00%</w:t>
            </w:r>
          </w:p>
        </w:tc>
      </w:tr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Categorical Cross-Entropy (CCE) Loss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0.90</w:t>
            </w:r>
          </w:p>
        </w:tc>
      </w:tr>
      <w:tr>
        <w:trPr>
          <w:trHeight w:hRule="exact" w:val="542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Macro Precision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0.81</w:t>
            </w:r>
          </w:p>
        </w:tc>
      </w:tr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Macro Recall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0.80</w:t>
            </w:r>
          </w:p>
        </w:tc>
      </w:tr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Macro F1-Score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0.80</w:t>
            </w:r>
          </w:p>
        </w:tc>
      </w:tr>
    </w:tbl>
    <w:p>
      <w:pPr>
        <w:autoSpaceDN w:val="0"/>
        <w:autoSpaceDE w:val="0"/>
        <w:widowControl/>
        <w:spacing w:line="266" w:lineRule="exact" w:before="2236" w:after="0"/>
        <w:ind w:left="0" w:right="457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55</w:t>
      </w:r>
    </w:p>
    <w:p>
      <w:pPr>
        <w:sectPr>
          <w:pgSz w:w="12240" w:h="15840"/>
          <w:pgMar w:top="680" w:right="106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2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5.2.3 ArSL model evaluation metrics</w:t>
      </w:r>
    </w:p>
    <w:p>
      <w:pPr>
        <w:autoSpaceDN w:val="0"/>
        <w:autoSpaceDE w:val="0"/>
        <w:widowControl/>
        <w:spacing w:line="222" w:lineRule="exact" w:before="316" w:after="120"/>
        <w:ind w:left="0" w:right="301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5.4: ArSL model evaluation metrics.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78.0" w:type="dxa"/>
      </w:tblPr>
      <w:tblGrid>
        <w:gridCol w:w="4902"/>
        <w:gridCol w:w="4902"/>
      </w:tblGrid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Success Metric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ArSL</w:t>
            </w:r>
          </w:p>
        </w:tc>
      </w:tr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Top-1 Accuracy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99.41%</w:t>
            </w:r>
          </w:p>
        </w:tc>
      </w:tr>
      <w:tr>
        <w:trPr>
          <w:trHeight w:hRule="exact" w:val="540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Top-5 Accuracy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100.00%</w:t>
            </w:r>
          </w:p>
        </w:tc>
      </w:tr>
      <w:tr>
        <w:trPr>
          <w:trHeight w:hRule="exact" w:val="546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Categorical Cross-Entropy (CCE) Loss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0.03</w:t>
            </w:r>
          </w:p>
        </w:tc>
      </w:tr>
      <w:tr>
        <w:trPr>
          <w:trHeight w:hRule="exact" w:val="542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Macro Precision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0.99</w:t>
            </w:r>
          </w:p>
        </w:tc>
      </w:tr>
      <w:tr>
        <w:trPr>
          <w:trHeight w:hRule="exact" w:val="542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Macro Recall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0.99</w:t>
            </w:r>
          </w:p>
        </w:tc>
      </w:tr>
      <w:tr>
        <w:trPr>
          <w:trHeight w:hRule="exact" w:val="542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Macro F1-Score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0.99</w:t>
            </w:r>
          </w:p>
        </w:tc>
      </w:tr>
    </w:tbl>
    <w:p>
      <w:pPr>
        <w:autoSpaceDN w:val="0"/>
        <w:autoSpaceDE w:val="0"/>
        <w:widowControl/>
        <w:spacing w:line="288" w:lineRule="exact" w:before="29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5.2.4 Confusion analysis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confusion matrices reveal which signs are mistaken for one another. The ArSL matrix (Fig.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5.2) is small enough to present in full as a 20×20 grid; for the 250-class ASL model a full grid is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unreadable, so the most-confused sign pairs are reported instead (Fig. 5.3). Visually similar signs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— those differing only in a subtle handshape or movement — are expected to account for most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of the off-diagonal mass.</w:t>
      </w:r>
    </w:p>
    <w:p>
      <w:pPr>
        <w:autoSpaceDN w:val="0"/>
        <w:autoSpaceDE w:val="0"/>
        <w:widowControl/>
        <w:spacing w:line="266" w:lineRule="exact" w:before="5464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56</w:t>
      </w:r>
    </w:p>
    <w:p>
      <w:pPr>
        <w:sectPr>
          <w:pgSz w:w="12240" w:h="15840"/>
          <w:pgMar w:top="906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6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08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21580" cy="454279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21580" cy="454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0" w:after="0"/>
        <w:ind w:left="0" w:right="254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5.2: ArSL 20×20 confusion matrix </w:t>
      </w:r>
    </w:p>
    <w:p>
      <w:pPr>
        <w:autoSpaceDN w:val="0"/>
        <w:autoSpaceDE w:val="0"/>
        <w:widowControl/>
        <w:spacing w:line="240" w:lineRule="auto" w:before="0" w:after="0"/>
        <w:ind w:left="134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716780" cy="260096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716780" cy="260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102" w:after="0"/>
        <w:ind w:left="0" w:right="168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5.3: ASL confusion analysis (most-confused sign pairs) </w:t>
      </w:r>
    </w:p>
    <w:p>
      <w:pPr>
        <w:autoSpaceDN w:val="0"/>
        <w:autoSpaceDE w:val="0"/>
        <w:widowControl/>
        <w:spacing w:line="266" w:lineRule="exact" w:before="1450" w:after="0"/>
        <w:ind w:left="0" w:right="419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57</w:t>
      </w:r>
    </w:p>
    <w:p>
      <w:pPr>
        <w:sectPr>
          <w:pgSz w:w="12240" w:h="15840"/>
          <w:pgMar w:top="888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5.3 Translation Quality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translation stage converts the recognised gloss into a fluent sentence; its quality is measured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against human reference sentences with BLEU and chrF (Table 5.1), and is always compared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against a raw-gloss baseline so that the language model's contribution is isolated rather than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asserted.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5.3.1 Results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5.5 reports the scores for both languages, with and without the language model; Figures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5.4 and 5.5 visualise them. In every case the language model produces a large, consistent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improvement over the raw-gloss baseline. Both languages are scored on a held-out set of 20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reference sentences; with a set this small, BLEU-4 in particular is high-variance, so chrF and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human-reference comparison carry more weight than the absolute BLEU figures.</w:t>
      </w:r>
    </w:p>
    <w:p>
      <w:pPr>
        <w:autoSpaceDN w:val="0"/>
        <w:autoSpaceDE w:val="0"/>
        <w:widowControl/>
        <w:spacing w:line="222" w:lineRule="exact" w:before="266" w:after="122"/>
        <w:ind w:left="2192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5.5: Translation quality (gloss → sentence): LLM vs. raw gloss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400"/>
        <w:gridCol w:w="1400"/>
        <w:gridCol w:w="1400"/>
        <w:gridCol w:w="1400"/>
        <w:gridCol w:w="1400"/>
        <w:gridCol w:w="1400"/>
        <w:gridCol w:w="1400"/>
      </w:tblGrid>
      <w:tr>
        <w:trPr>
          <w:trHeight w:hRule="exact" w:val="542"/>
        </w:trPr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Language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System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BLEU-1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BLEU-2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BLEU-3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BLEU-4</w:t>
            </w:r>
          </w:p>
        </w:tc>
        <w:tc>
          <w:tcPr>
            <w:tcW w:type="dxa" w:w="13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chrF</w:t>
            </w:r>
          </w:p>
        </w:tc>
      </w:tr>
      <w:tr>
        <w:trPr>
          <w:trHeight w:hRule="exact" w:val="546"/>
        </w:trPr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With LLM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0.945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0.905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0.855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0.805</w:t>
            </w:r>
          </w:p>
        </w:tc>
        <w:tc>
          <w:tcPr>
            <w:tcW w:type="dxa" w:w="13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0.911</w:t>
            </w:r>
          </w:p>
        </w:tc>
      </w:tr>
      <w:tr>
        <w:trPr>
          <w:trHeight w:hRule="exact" w:val="540"/>
        </w:trPr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Raw gloss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0.451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0.221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0.091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0.040</w:t>
            </w:r>
          </w:p>
        </w:tc>
        <w:tc>
          <w:tcPr>
            <w:tcW w:type="dxa" w:w="13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0.543</w:t>
            </w:r>
          </w:p>
        </w:tc>
      </w:tr>
      <w:tr>
        <w:trPr>
          <w:trHeight w:hRule="exact" w:val="546"/>
        </w:trPr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With LLM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0.527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0.444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0.424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0.419</w:t>
            </w:r>
          </w:p>
        </w:tc>
        <w:tc>
          <w:tcPr>
            <w:tcW w:type="dxa" w:w="13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0.593</w:t>
            </w:r>
          </w:p>
        </w:tc>
      </w:tr>
      <w:tr>
        <w:trPr>
          <w:trHeight w:hRule="exact" w:val="540"/>
        </w:trPr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Raw gloss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0.211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0.061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0.024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0.026</w:t>
            </w:r>
          </w:p>
        </w:tc>
        <w:tc>
          <w:tcPr>
            <w:tcW w:type="dxa" w:w="13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0.344</w:t>
            </w:r>
          </w:p>
        </w:tc>
      </w:tr>
    </w:tbl>
    <w:p>
      <w:pPr>
        <w:autoSpaceDN w:val="0"/>
        <w:autoSpaceDE w:val="0"/>
        <w:widowControl/>
        <w:spacing w:line="266" w:lineRule="exact" w:before="4534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58</w:t>
      </w:r>
    </w:p>
    <w:p>
      <w:pPr>
        <w:sectPr>
          <w:pgSz w:w="12240" w:h="15840"/>
          <w:pgMar w:top="906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16" w:after="0"/>
        <w:ind w:left="115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937759" cy="306959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937759" cy="3069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37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5.4: Translation quality (chrF): LLM vs. raw gloss</w:t>
      </w:r>
    </w:p>
    <w:p>
      <w:pPr>
        <w:autoSpaceDN w:val="0"/>
        <w:autoSpaceDE w:val="0"/>
        <w:widowControl/>
        <w:spacing w:line="240" w:lineRule="auto" w:before="340" w:after="0"/>
        <w:ind w:left="0" w:right="2244" w:firstLine="0"/>
        <w:jc w:val="right"/>
      </w:pPr>
      <w:r>
        <w:drawing>
          <wp:inline xmlns:a="http://schemas.openxmlformats.org/drawingml/2006/main" xmlns:pic="http://schemas.openxmlformats.org/drawingml/2006/picture">
            <wp:extent cx="3200400" cy="1778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77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126" w:after="0"/>
        <w:ind w:left="0" w:right="307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5.5: Cumulative BLEU-n profiles</w:t>
      </w:r>
    </w:p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5.3.2 Precision–recall analysis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precision/recall decomposition of chrF (Figure 5.6) localises what the language model adds.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both languages the raw gloss already has moderate precision but poor recall (ASL 0.71/0.52;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ArSL 0.54/0.32) — it emits the right content words but omits the function words, particles,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morphology that a grammatical sentence requires. The language model raises recall sharply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(ASL to 0.91; ArSL to 0.59), which is exactly the grammatical “glue” identified in Chapter 2.</w:t>
      </w:r>
    </w:p>
    <w:p>
      <w:pPr>
        <w:autoSpaceDN w:val="0"/>
        <w:autoSpaceDE w:val="0"/>
        <w:widowControl/>
        <w:spacing w:line="266" w:lineRule="exact" w:before="1766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59</w:t>
      </w:r>
    </w:p>
    <w:p>
      <w:pPr>
        <w:sectPr>
          <w:pgSz w:w="12240" w:h="15840"/>
          <w:pgMar w:top="72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0"/>
        <w:ind w:left="0" w:right="0"/>
      </w:pPr>
    </w:p>
    <w:p>
      <w:pPr>
        <w:autoSpaceDN w:val="0"/>
        <w:autoSpaceDE w:val="0"/>
        <w:widowControl/>
        <w:spacing w:line="240" w:lineRule="auto" w:before="10" w:after="0"/>
        <w:ind w:left="7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86400" cy="297815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8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1988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5.6: chrF precision vs. recall (the LLM supplies grammar = recall)</w:t>
      </w:r>
    </w:p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5.3.3 Discussion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Three findings stand out. First, the improvement from the language model is large and holds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across both metrics (for ArSL, chrF rises from 0.34 to 0.59 and BLEU-4 from 0.03 to 0.42), so it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is not an artefact of one metric. Second, the gain is concentrated in recall, confirming that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 model supplies grammatical structure rather than merely polishing word choice. Third,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ASL scores exceed the ArSL scores (chrF 0.91 vs 0.59) not because the Arabic system is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weaker but because Arabic's rich morphology spreads correct meaning across many valid surface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forms, which overlap metrics penalise; this is also why chrF (0.59) is markedly higher than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BLEU-4 (0.42) for Arabic and is the fairer measure there.</w:t>
      </w:r>
    </w:p>
    <w:p>
      <w:pPr>
        <w:autoSpaceDN w:val="0"/>
        <w:autoSpaceDE w:val="0"/>
        <w:widowControl/>
        <w:spacing w:line="266" w:lineRule="exact" w:before="4122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60</w:t>
      </w:r>
    </w:p>
    <w:p>
      <w:pPr>
        <w:sectPr>
          <w:pgSz w:w="12240" w:h="15840"/>
          <w:pgMar w:top="74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5.4 System Performance</w:t>
      </w:r>
    </w:p>
    <w:p>
      <w:pPr>
        <w:autoSpaceDN w:val="0"/>
        <w:autoSpaceDE w:val="0"/>
        <w:widowControl/>
        <w:spacing w:line="288" w:lineRule="exact" w:before="47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5.4.1 Latency</w:t>
      </w:r>
    </w:p>
    <w:p>
      <w:pPr>
        <w:autoSpaceDN w:val="0"/>
        <w:autoSpaceDE w:val="0"/>
        <w:widowControl/>
        <w:spacing w:line="222" w:lineRule="exact" w:before="316" w:after="124"/>
        <w:ind w:left="0" w:right="234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5.6: Inference latency of the two recognition models.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0.0" w:type="dxa"/>
      </w:tblPr>
      <w:tblGrid>
        <w:gridCol w:w="3268"/>
        <w:gridCol w:w="3268"/>
        <w:gridCol w:w="3268"/>
      </w:tblGrid>
      <w:tr>
        <w:trPr>
          <w:trHeight w:hRule="exact" w:val="540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Model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Average latency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Max Latency</w:t>
            </w:r>
          </w:p>
        </w:tc>
      </w:tr>
      <w:tr>
        <w:trPr>
          <w:trHeight w:hRule="exact" w:val="544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43.47 ms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58.7 ms</w:t>
            </w:r>
          </w:p>
        </w:tc>
      </w:tr>
      <w:tr>
        <w:trPr>
          <w:trHeight w:hRule="exact" w:val="542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4.21 ms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5.5 ms</w:t>
            </w:r>
          </w:p>
        </w:tc>
      </w:tr>
    </w:tbl>
    <w:p>
      <w:pPr>
        <w:autoSpaceDN w:val="0"/>
        <w:autoSpaceDE w:val="0"/>
        <w:widowControl/>
        <w:spacing w:line="288" w:lineRule="exact" w:before="29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5.4.1.1 Measured CPU Micro-benchmarks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Two pipeline stages were profiled directly on CPU. INT8 dynamic quantization of the ArSL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predictor’s Linear and GRU weights cut inference from 7.48 ms to 4.21 ms per call — a 1.78×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speed-up — with no measurable accuracy change. A 256-entry cache keyed on (gloss, language)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reduces a repeated gloss-to-sentence call from a cold ~50 ms (and 300–800 ms for a live Gemini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round-trip) to effectively zero on a cache hit. The ASL model is executed through the TFLite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XNNPACK delegate with up to four threads, accelerating its convolution and dense operations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on commodity CPUs.</w:t>
      </w:r>
    </w:p>
    <w:p>
      <w:pPr>
        <w:autoSpaceDN w:val="0"/>
        <w:autoSpaceDE w:val="0"/>
        <w:widowControl/>
        <w:spacing w:line="222" w:lineRule="exact" w:before="266" w:after="122"/>
        <w:ind w:left="0" w:right="286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5.7: Measured CPU micro-benchmarks.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55.99999999999994" w:type="dxa"/>
      </w:tblPr>
      <w:tblGrid>
        <w:gridCol w:w="3268"/>
        <w:gridCol w:w="3268"/>
        <w:gridCol w:w="3268"/>
      </w:tblGrid>
      <w:tr>
        <w:trPr>
          <w:trHeight w:hRule="exact" w:val="476"/>
        </w:trPr>
        <w:tc>
          <w:tcPr>
            <w:tcW w:type="dxa" w:w="312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Optimization</w:t>
            </w:r>
          </w:p>
        </w:tc>
        <w:tc>
          <w:tcPr>
            <w:tcW w:type="dxa" w:w="311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Before</w:t>
            </w:r>
          </w:p>
        </w:tc>
        <w:tc>
          <w:tcPr>
            <w:tcW w:type="dxa" w:w="312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After</w:t>
            </w:r>
          </w:p>
        </w:tc>
      </w:tr>
      <w:tr>
        <w:trPr>
          <w:trHeight w:hRule="exact" w:val="782"/>
        </w:trPr>
        <w:tc>
          <w:tcPr>
            <w:tcW w:type="dxa" w:w="312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288" w:right="288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ArSL predictor — INT8 dynamic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quantization</w:t>
            </w:r>
          </w:p>
        </w:tc>
        <w:tc>
          <w:tcPr>
            <w:tcW w:type="dxa" w:w="311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7.48 ms / call</w:t>
            </w:r>
          </w:p>
        </w:tc>
        <w:tc>
          <w:tcPr>
            <w:tcW w:type="dxa" w:w="312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4.21 ms / call (1.78×)</w:t>
            </w:r>
          </w:p>
        </w:tc>
      </w:tr>
      <w:tr>
        <w:trPr>
          <w:trHeight w:hRule="exact" w:val="474"/>
        </w:trPr>
        <w:tc>
          <w:tcPr>
            <w:tcW w:type="dxa" w:w="312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Gloss→sentence — repeat-call cache</w:t>
            </w:r>
          </w:p>
        </w:tc>
        <w:tc>
          <w:tcPr>
            <w:tcW w:type="dxa" w:w="311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50.1 ms (cold)</w:t>
            </w:r>
          </w:p>
        </w:tc>
        <w:tc>
          <w:tcPr>
            <w:tcW w:type="dxa" w:w="312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0.001 ms (cache hit)</w:t>
            </w:r>
          </w:p>
        </w:tc>
      </w:tr>
      <w:tr>
        <w:trPr>
          <w:trHeight w:hRule="exact" w:val="786"/>
        </w:trPr>
        <w:tc>
          <w:tcPr>
            <w:tcW w:type="dxa" w:w="312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288" w:right="144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Live Gemini round-trip (cached on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repeat)</w:t>
            </w:r>
          </w:p>
        </w:tc>
        <w:tc>
          <w:tcPr>
            <w:tcW w:type="dxa" w:w="311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300–800 ms</w:t>
            </w:r>
          </w:p>
        </w:tc>
        <w:tc>
          <w:tcPr>
            <w:tcW w:type="dxa" w:w="312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~0 ms on repeat</w:t>
            </w:r>
          </w:p>
        </w:tc>
      </w:tr>
    </w:tbl>
    <w:p>
      <w:pPr>
        <w:autoSpaceDN w:val="0"/>
        <w:autoSpaceDE w:val="0"/>
        <w:widowControl/>
        <w:spacing w:line="288" w:lineRule="exact" w:before="29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5.4.2 Model Quantization and CPU Deployment</w:t>
      </w:r>
    </w:p>
    <w:p>
      <w:pPr>
        <w:autoSpaceDN w:val="0"/>
        <w:autoSpaceDE w:val="0"/>
        <w:widowControl/>
        <w:spacing w:line="414" w:lineRule="exact" w:before="17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core requirement is that the system run on commodity hardware with no GPU. This is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achieved through quantization and lightweight runtimes. The ASL model is exported to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TensorFlow Lite and executed through the XNNPACK delegate for fast CPU inference, and the </w:t>
      </w:r>
    </w:p>
    <w:p>
      <w:pPr>
        <w:autoSpaceDN w:val="0"/>
        <w:autoSpaceDE w:val="0"/>
        <w:widowControl/>
        <w:spacing w:line="266" w:lineRule="exact" w:before="85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61</w:t>
      </w:r>
    </w:p>
    <w:p>
      <w:pPr>
        <w:sectPr>
          <w:pgSz w:w="12240" w:h="15840"/>
          <w:pgMar w:top="906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78" w:lineRule="exact" w:before="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ArSL PyTorch model is INT8-quantized for CPU execution. Quantization reduces the model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footprint and inference time while keeping accuracy effectively unchanged, allowing both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models, the SBERT encoder, and the database client to run together within a modest (~2–4 GB)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memory budget on a CPU-only server.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5.5 Functional and System Testing</w:t>
      </w:r>
    </w:p>
    <w:p>
      <w:pPr>
        <w:autoSpaceDN w:val="0"/>
        <w:autoSpaceDE w:val="0"/>
        <w:widowControl/>
        <w:spacing w:line="414" w:lineRule="exact" w:before="206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Beyond model accuracy, every part of the platform was tested to confirm it works end to end.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Correctness is guarded by two layers. First, an automated pytest suite covers the back-end logic: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authentication (Argon2 hashing, JWT issue/refresh, rate limiting), the gloss and non-manual-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marker engine, the provider fallback chains, and sentence stitching. Second, a frontend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regression module renders every Jinja2 template and asserts the structural invariants of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dashboards — required script blocks present, design-system stylesheets linked, every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getElementById target resolvable, the Arabic dashboard right-to-left with no English leakage,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the inline JavaScript parseable. These run under a continuous-integration workflow so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regressions are caught on every change. In addition, each user-facing module was manually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tested end to end, as summarised in Table 5.8.</w:t>
      </w:r>
    </w:p>
    <w:p>
      <w:pPr>
        <w:autoSpaceDN w:val="0"/>
        <w:autoSpaceDE w:val="0"/>
        <w:widowControl/>
        <w:spacing w:line="222" w:lineRule="exact" w:before="266" w:after="122"/>
        <w:ind w:left="0" w:right="328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5.8: Functional test coverage.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8"/>
        <w:gridCol w:w="3268"/>
        <w:gridCol w:w="3268"/>
      </w:tblGrid>
      <w:tr>
        <w:trPr>
          <w:trHeight w:hRule="exact" w:val="544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Component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Test type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Verified</w:t>
            </w:r>
          </w:p>
        </w:tc>
      </w:tr>
      <w:tr>
        <w:trPr>
          <w:trHeight w:hRule="exact" w:val="542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 → Text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Manual + integration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544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 → Speech (TTS)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Manual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542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Text → Sign (avatar)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Manual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544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Speech → Sign (STT)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Manual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956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Live two-party meeting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(WebRTC)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Manual (two clients)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958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Authentication (signup / login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/ refresh)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pytest (auth)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286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Gloss / non-manual markers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pytest (gloss)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</w:tbl>
    <w:p>
      <w:pPr>
        <w:autoSpaceDN w:val="0"/>
        <w:autoSpaceDE w:val="0"/>
        <w:widowControl/>
        <w:spacing w:line="266" w:lineRule="exact" w:before="87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62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2"/>
        <w:ind w:left="0" w:right="0"/>
      </w:pPr>
    </w:p>
    <w:p>
      <w:pPr>
        <w:autoSpaceDN w:val="0"/>
        <w:autoSpaceDE w:val="0"/>
        <w:widowControl/>
        <w:spacing w:line="5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8"/>
        <w:gridCol w:w="3268"/>
        <w:gridCol w:w="3268"/>
      </w:tblGrid>
      <w:tr>
        <w:trPr>
          <w:trHeight w:hRule="exact" w:val="544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Provider fallback chains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pytest (providers)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956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4.00000000000006" w:type="dxa"/>
            </w:tblPr>
            <w:tblGrid>
              <w:gridCol w:w="1040"/>
              <w:gridCol w:w="1040"/>
              <w:gridCol w:w="1040"/>
            </w:tblGrid>
            <w:tr>
              <w:trPr>
                <w:trHeight w:hRule="exact" w:val="332"/>
              </w:trPr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8" w:after="0"/>
                    <w:ind w:left="62" w:right="0" w:firstLine="0"/>
                    <w:jc w:val="left"/>
                  </w:pP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Sentence</w:t>
                  </w:r>
                </w:p>
              </w:tc>
              <w:tc>
                <w:tcPr>
                  <w:tcW w:type="dxa" w:w="1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8" w:after="0"/>
                    <w:ind w:left="0" w:right="0" w:firstLine="0"/>
                    <w:jc w:val="center"/>
                  </w:pP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stitching</w:t>
                  </w:r>
                </w:p>
              </w:tc>
              <w:tc>
                <w:tcPr>
                  <w:tcW w:type="dxa" w:w="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8" w:after="0"/>
                    <w:ind w:left="0" w:right="12" w:firstLine="0"/>
                    <w:jc w:val="right"/>
                  </w:pP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 xml:space="preserve">/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4" w:lineRule="exact" w:before="9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fingerspelling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pytest (stitch)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958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Bilingual EN/AR + RTL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dashboards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024" w:val="left"/>
              </w:tabs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Frontend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regression </w:t>
            </w:r>
          </w:p>
          <w:p>
            <w:pPr>
              <w:autoSpaceDN w:val="0"/>
              <w:autoSpaceDE w:val="0"/>
              <w:widowControl/>
              <w:spacing w:line="266" w:lineRule="exact" w:before="1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(templates)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</w:tbl>
    <w:p>
      <w:pPr>
        <w:autoSpaceDN w:val="0"/>
        <w:autoSpaceDE w:val="0"/>
        <w:widowControl/>
        <w:spacing w:line="356" w:lineRule="exact" w:before="29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5.6 Limitations and Threats to Validity</w:t>
      </w:r>
    </w:p>
    <w:p>
      <w:pPr>
        <w:autoSpaceDN w:val="0"/>
        <w:autoSpaceDE w:val="0"/>
        <w:widowControl/>
        <w:spacing w:line="414" w:lineRule="exact" w:before="20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evaluation is comparatively thorough — both models are tested for generalization, and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translation gain is isolated against a baseline — but four limitations remain. First, the ASL model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is trained on a subset of the full corpus and uses a random in-distribution split; its 80% in-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distribution and 62.4% cross-dataset figures leave clear headroom that a larger training set would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address. Second, although the ArSL model was evaluated signer-independently (88%), the test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set is still a single dataset of phone-camera video, so robustness to very different cameras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environments is unproven. Third, the system recognises isolated signs rather than continuous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signing, so the language model — not a continuous recogniser — forms the sentences,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natural conversational signing is not yet supported. Fourth, the Arabic vocabulary is small (20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signs) and its translation BLEU rests on a limited reference set of 20 sentences, so chrF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human judgement are the more trustworthy measures there. These points motivate the future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work of Chapter 6.</w:t>
      </w:r>
    </w:p>
    <w:p>
      <w:pPr>
        <w:autoSpaceDN w:val="0"/>
        <w:autoSpaceDE w:val="0"/>
        <w:widowControl/>
        <w:spacing w:line="266" w:lineRule="exact" w:before="4766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63</w:t>
      </w:r>
    </w:p>
    <w:p>
      <w:pPr>
        <w:sectPr>
          <w:pgSz w:w="12240" w:h="15840"/>
          <w:pgMar w:top="872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6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Chapter 6: Conclusion and Future Work</w:t>
      </w:r>
    </w:p>
    <w:p>
      <w:pPr>
        <w:autoSpaceDN w:val="0"/>
        <w:autoSpaceDE w:val="0"/>
        <w:widowControl/>
        <w:spacing w:line="356" w:lineRule="exact" w:before="54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6.1 Conclusion</w:t>
      </w:r>
    </w:p>
    <w:p>
      <w:pPr>
        <w:autoSpaceDN w:val="0"/>
        <w:autoSpaceDE w:val="0"/>
        <w:widowControl/>
        <w:spacing w:line="414" w:lineRule="exact" w:before="20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This thesis set out to address a persistent and practical problem: the communication barrier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between Deaf and hard-of-hearing signers and the hearing world, and the absence of tools that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bridge it in both directions, for more than one sign language, without specialised hardware.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work delivered Together, a real-time, bidirectional, bilingual sign-language translation platform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that runs entirely in a standard web browser and treats both a high-resource language (American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 Language) and a low-resource one (Arabic/Egyptian Sign Language) as first-class.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project met each of its objectives. Real-time landmark capture was achieved in the browser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with MediaPipe, streaming a compact, privacy-preserving skeleton rather than raw video.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Isolated-sign recognition was implemented for both languages with models suited to their data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— a Squeezeformer-style 1-D convolution-and-transformer network for the 250-class ASL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vocabulary, exported to TFLite, and a compact CNN-GRU for the 20-class ArSL vocabulary in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PyTorch. Recognised signs were turned into fluent sentences by a gloss-mediated language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stage, and the reverse path animated an avatar from sign clips retrieved by semantic search.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four translation directions were combined into a live, two-party meeting over WebRTC, and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system was finished with the production qualities of authentication, a bilingual right-to-left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interface, and a deployable container.</w:t>
      </w:r>
    </w:p>
    <w:p>
      <w:pPr>
        <w:autoSpaceDN w:val="0"/>
        <w:autoSpaceDE w:val="0"/>
        <w:widowControl/>
        <w:spacing w:line="414" w:lineRule="exact" w:before="12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evaluation supports the central design decision. The ASL model reached 80% accuracy 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its own test set and generalised to 62.4% Top-1 cross-dataset on the SignASL benchmark, while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ArSL model reached 99.41% in-distribution and 88% under a signer-independent protocol;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— most importantly for the gloss-mediated approach — the language-model stage improved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translation quality substantially and consistently in both languages (chrF rising from 0.54 to 0.91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ASL and from 0.34 to 0.59 for ArSL), with the gain concentrated in recall, confirming that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language model supplies the grammatical structure that raw gloss lacks. Together therefore </w:t>
      </w:r>
    </w:p>
    <w:p>
      <w:pPr>
        <w:autoSpaceDN w:val="0"/>
        <w:autoSpaceDE w:val="0"/>
        <w:widowControl/>
        <w:spacing w:line="266" w:lineRule="exact" w:before="152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64</w:t>
      </w:r>
    </w:p>
    <w:p>
      <w:pPr>
        <w:sectPr>
          <w:pgSz w:w="12240" w:h="15840"/>
          <w:pgMar w:top="99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demonstrates that a modular, gloss-mediated, landmark-based design can deliver a complete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bidirectional, bilingual system on commodity hardware.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6.2 Contributions</w:t>
      </w:r>
    </w:p>
    <w:p>
      <w:pPr>
        <w:autoSpaceDN w:val="0"/>
        <w:autoSpaceDE w:val="0"/>
        <w:widowControl/>
        <w:spacing w:line="266" w:lineRule="exact" w:before="35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principal contributions of this work are:</w:t>
      </w:r>
    </w:p>
    <w:p>
      <w:pPr>
        <w:autoSpaceDN w:val="0"/>
        <w:autoSpaceDE w:val="0"/>
        <w:widowControl/>
        <w:spacing w:line="414" w:lineRule="exact" w:before="120" w:after="0"/>
        <w:ind w:left="722" w:right="20" w:hanging="36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bidirectional, bilingual, browser-based system that translates between sign and spoken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 in four directions and supports a live two-party meeting, without gloves, depth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cameras, or installation.</w:t>
      </w:r>
    </w:p>
    <w:p>
      <w:pPr>
        <w:autoSpaceDN w:val="0"/>
        <w:tabs>
          <w:tab w:pos="722" w:val="left"/>
        </w:tabs>
        <w:autoSpaceDE w:val="0"/>
        <w:widowControl/>
        <w:spacing w:line="41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working Egyptian Arabic Sign Language recogniser, a contribution to an under-resourced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language for which word-level resources are scarce.</w:t>
      </w:r>
    </w:p>
    <w:p>
      <w:pPr>
        <w:autoSpaceDN w:val="0"/>
        <w:autoSpaceDE w:val="0"/>
        <w:widowControl/>
        <w:spacing w:line="414" w:lineRule="exact" w:before="0" w:after="0"/>
        <w:ind w:left="722" w:right="20" w:hanging="36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gloss-mediated translation design that uses a general-purpose language model to bridge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sign-language gloss and spoken-language grammar, removing the dependence on the large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parallel signing corpora that end-to-end models require.</w:t>
      </w:r>
    </w:p>
    <w:p>
      <w:pPr>
        <w:autoSpaceDN w:val="0"/>
        <w:tabs>
          <w:tab w:pos="722" w:val="left"/>
        </w:tabs>
        <w:autoSpaceDE w:val="0"/>
        <w:widowControl/>
        <w:spacing w:line="41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 engineering blueprint for real-time landmark inference in the browser with graceful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offline fallback, reproducible from public datasets.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6.3 Limitations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results must be read with four limitations in mind. First, although both models were tested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generalization — the ASL model cross-dataset and the ArSL model signer-independently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(88%) — the ASL in-distribution split is random rather than signer-independent, so an explicit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signer-independent ASL evaluation would further strengthen the claim. Second, the ASL model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is trained on a subset of the full corpus, and its accuracy, while strong, leaves clear headroom.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Third, the system recognises isolated signs rather than continuous signing, so natural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conversational signing is not yet supported. Fourth, the Arabic vocabulary is small (20 signs)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its translation metrics rest on a limited reference set of 20 sentences.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6.4 Future Work</w:t>
      </w:r>
    </w:p>
    <w:p>
      <w:pPr>
        <w:autoSpaceDN w:val="0"/>
        <w:autoSpaceDE w:val="0"/>
        <w:widowControl/>
        <w:spacing w:line="266" w:lineRule="exact" w:before="35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These limitations map directly onto the most valuable directions for future work:</w:t>
      </w:r>
    </w:p>
    <w:p>
      <w:pPr>
        <w:autoSpaceDN w:val="0"/>
        <w:autoSpaceDE w:val="0"/>
        <w:widowControl/>
        <w:spacing w:line="266" w:lineRule="exact" w:before="98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65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2"/>
        <w:ind w:left="0" w:right="0"/>
      </w:pPr>
    </w:p>
    <w:p>
      <w:pPr>
        <w:autoSpaceDN w:val="0"/>
        <w:tabs>
          <w:tab w:pos="722" w:val="left"/>
        </w:tabs>
        <w:autoSpaceDE w:val="0"/>
        <w:widowControl/>
        <w:spacing w:line="368" w:lineRule="exact" w:before="0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4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Signer-independent evaluation for ASL: extend the signer-independent protocol already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applied to the ArSL model to the ASL model, for an equally honest measure of generalisation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across both languages.</w:t>
      </w:r>
    </w:p>
    <w:p>
      <w:pPr>
        <w:autoSpaceDN w:val="0"/>
        <w:tabs>
          <w:tab w:pos="722" w:val="left"/>
        </w:tabs>
        <w:autoSpaceDE w:val="0"/>
        <w:widowControl/>
        <w:spacing w:line="392" w:lineRule="exact" w:before="44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4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Larger and more diverse training data: train the ASL model on the full corpus, and expand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ArSL vocabulary well beyond 20 signs to make it practically useful.</w:t>
      </w:r>
    </w:p>
    <w:p>
      <w:pPr>
        <w:autoSpaceDN w:val="0"/>
        <w:tabs>
          <w:tab w:pos="722" w:val="left"/>
        </w:tabs>
        <w:autoSpaceDE w:val="0"/>
        <w:widowControl/>
        <w:spacing w:line="392" w:lineRule="exact" w:before="44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4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Continuous sign-language recognition: move from isolated signs to continuous signing,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allowing natural, sentence-level conversation rather than sign-by-sign accumulation.</w:t>
      </w:r>
    </w:p>
    <w:p>
      <w:pPr>
        <w:autoSpaceDN w:val="0"/>
        <w:tabs>
          <w:tab w:pos="722" w:val="left"/>
        </w:tabs>
        <w:autoSpaceDE w:val="0"/>
        <w:widowControl/>
        <w:spacing w:line="404" w:lineRule="exact" w:before="34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4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user study with the Deaf community: evaluate the system with Deaf and hard-of-hearing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participants on real communication tasks, measuring comprehension and usability rather than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only automatic metrics.</w:t>
      </w:r>
    </w:p>
    <w:p>
      <w:pPr>
        <w:autoSpaceDN w:val="0"/>
        <w:tabs>
          <w:tab w:pos="722" w:val="left"/>
        </w:tabs>
        <w:autoSpaceDE w:val="0"/>
        <w:widowControl/>
        <w:spacing w:line="392" w:lineRule="exact" w:before="44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4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Latency and deployment hardening: quantify and optimise end-to-end latency (warm models,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batched inference, edge deployment) to guarantee interactive performance.</w:t>
      </w:r>
    </w:p>
    <w:p>
      <w:pPr>
        <w:autoSpaceDN w:val="0"/>
        <w:tabs>
          <w:tab w:pos="722" w:val="left"/>
        </w:tabs>
        <w:autoSpaceDE w:val="0"/>
        <w:widowControl/>
        <w:spacing w:line="392" w:lineRule="exact" w:before="44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4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Broader language coverage: generalise the architecture to additional sign languages, building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on the demonstration that it already spans two typologically different ones.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6.5 Closing Remarks</w:t>
      </w:r>
    </w:p>
    <w:p>
      <w:pPr>
        <w:autoSpaceDN w:val="0"/>
        <w:autoSpaceDE w:val="0"/>
        <w:widowControl/>
        <w:spacing w:line="414" w:lineRule="exact" w:before="206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Together shows that an accessible, bidirectional, bilingual sign-language translator is achievable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today with commodity hardware and a carefully chosen, modular design. While continuous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signing and signer-independent robustness remain open challenges, the system delivers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complete and deployable platform and, in treating Arabic Sign Language as a first-class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language, contributes a small but meaningful step toward technology that serves under-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represented Deaf communities.</w:t>
      </w:r>
    </w:p>
    <w:p>
      <w:pPr>
        <w:autoSpaceDN w:val="0"/>
        <w:autoSpaceDE w:val="0"/>
        <w:widowControl/>
        <w:spacing w:line="266" w:lineRule="exact" w:before="392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66</w:t>
      </w:r>
    </w:p>
    <w:p>
      <w:pPr>
        <w:sectPr>
          <w:pgSz w:w="12240" w:h="15840"/>
          <w:pgMar w:top="90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6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References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27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[1] World Health Organization, "Deafness and hearing loss," WHO Fact Sheet, 2024. [Online].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Available: </w:t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https://www.who.int/news-room/fact-sheets/detail/deafness-and-hearing-loss</w:t>
          </w:r>
        </w:hyperlink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[2] W. C. Stokoe, "Sign language structure: An outline of the visual communication systems of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American deaf," Studies in Linguistics, Occasional Papers 8, 1960.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[3] R. Rastgoo, K. Kiani, and S. Escalera, "Sign language recognition: A deep survey," Expert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Systems with Applications, vol. 164, 2021.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[4] C. Lugaresi et al., "MediaPipe: A framework for building perception pipelines," arXiv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preprint arXiv:1906.08172, 2019.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[5] T. B. Brown et al., "Language models are few-shot learners," in Advances in Neural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Information Processing Systems (NeurIPS), vol. 33, 2020, pp. 1877-1901.</w:t>
      </w:r>
    </w:p>
    <w:p>
      <w:pPr>
        <w:autoSpaceDN w:val="0"/>
        <w:autoSpaceDE w:val="0"/>
        <w:widowControl/>
        <w:spacing w:line="414" w:lineRule="exact" w:before="60" w:after="0"/>
        <w:ind w:left="782" w:right="20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[6] D. Li, C. Rodriguez, X. Yu, and H. Li, "Word-level deep sign language recognition from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video: A new large-scale dataset and methods comparison," in Proc. IEEE Winter Conf.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Applications of Computer Vision (WACV), 2020, pp. 1459-1469.</w:t>
      </w:r>
    </w:p>
    <w:p>
      <w:pPr>
        <w:autoSpaceDN w:val="0"/>
        <w:autoSpaceDE w:val="0"/>
        <w:widowControl/>
        <w:spacing w:line="414" w:lineRule="exact" w:before="60" w:after="0"/>
        <w:ind w:left="782" w:right="20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[7] H. R. V. Joze and O. Koller, "MS-ASL: A large-scale data set and benchmark for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understanding American sign language," in Proc. British Machine Vision Conf. (BMVC),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2019.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[8] O. M. Sincan and H. Y. Keles, "AUTSL: A large scale multi-modal Turkish sign language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dataset and baseline methods," IEEE Access, vol. 8, pp. 181340-181355, 2020.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[9] S. Jiang, B. Sun, L. Wang, Y. Bai, K. Li, and Y. Fu, "Skeleton aware multi-modal sign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language recognition," in Proc. IEEE/CVF CVPR Workshops, 2021, pp. 3413-3423.</w:t>
      </w:r>
    </w:p>
    <w:p>
      <w:pPr>
        <w:autoSpaceDN w:val="0"/>
        <w:autoSpaceDE w:val="0"/>
        <w:widowControl/>
        <w:spacing w:line="414" w:lineRule="exact" w:before="60" w:after="0"/>
        <w:ind w:left="782" w:right="20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[10] N. C. Camgoz, S. Hadfield, O. Koller, H. Ney, and R. Bowden, "Neural sign language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translation," in Proc. IEEE/CVF Conf. Computer Vision and Pattern Recognition (CVPR),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2018, pp. 7784-7793.</w:t>
      </w:r>
    </w:p>
    <w:p>
      <w:pPr>
        <w:autoSpaceDN w:val="0"/>
        <w:autoSpaceDE w:val="0"/>
        <w:widowControl/>
        <w:spacing w:line="266" w:lineRule="exact" w:before="2052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67</w:t>
      </w:r>
    </w:p>
    <w:p>
      <w:pPr>
        <w:sectPr>
          <w:pgSz w:w="12240" w:h="15840"/>
          <w:pgMar w:top="99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782" w:right="22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[11] N. C. Camgoz, O. Koller, S. Hadfield, and R. Bowden, "Sign language transformers: Joint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end-to-end sign language recognition and translation," in Proc. IEEE/CVF CVPR, 2020, pp.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10023-10033.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[12] A. Duarte et al., "How2Sign: A large-scale multimodal dataset for continuous American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 language," in Proc. IEEE/CVF CVPR, 2021, pp. 2735-2745.</w:t>
      </w:r>
    </w:p>
    <w:p>
      <w:pPr>
        <w:autoSpaceDN w:val="0"/>
        <w:autoSpaceDE w:val="0"/>
        <w:widowControl/>
        <w:spacing w:line="414" w:lineRule="exact" w:before="60" w:after="0"/>
        <w:ind w:left="782" w:right="20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[13] A. A. I. Sidig, H. Luqman, S. Mahmoud, and M. Mohandes, "KArSL: Arabic sign language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database," ACM Trans. Asian and Low-Resource Language Information Processing, vol. 20,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no. 1, pp. 1-19, 2021.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[14] G. Latif, N. Mohammad, J. Alghazo, R. AlKhalaf, and R. AlKhalaf, "ArASL: Arabic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alphabets sign language dataset," Data in Brief, vol. 23, 2019.</w:t>
      </w:r>
    </w:p>
    <w:p>
      <w:pPr>
        <w:autoSpaceDN w:val="0"/>
        <w:autoSpaceDE w:val="0"/>
        <w:widowControl/>
        <w:spacing w:line="414" w:lineRule="exact" w:before="60" w:after="0"/>
        <w:ind w:left="782" w:right="0" w:hanging="42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[15] M. Mohandes, M. Deriche, and J. Liu, "Image-based and sensor-based approaches to Arabic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 language recognition," IEEE Trans. Human-Machine Systems, vol. 44, no. 4, pp. 551-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557, 2014.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[16] W. Sandler and D. Lillo-Martin, Sign Language and Linguistic Universals. Cambridge,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U.K.: Cambridge Univ. Press, 2006.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[17] S. K. Liddell, Grammar, Gesture, and Meaning in American Sign Language. Cambridge,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U.K.: Cambridge Univ. Press, 2003.</w:t>
      </w:r>
    </w:p>
    <w:p>
      <w:pPr>
        <w:autoSpaceDN w:val="0"/>
        <w:autoSpaceDE w:val="0"/>
        <w:widowControl/>
        <w:spacing w:line="266" w:lineRule="exact" w:before="208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[18] SignAll Technologies, "SignAll," 2024. [Online]. Available: </w:t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https://SignAll.us</w:t>
          </w:r>
        </w:hyperlink>
      </w:r>
    </w:p>
    <w:p>
      <w:pPr>
        <w:autoSpaceDN w:val="0"/>
        <w:autoSpaceDE w:val="0"/>
        <w:widowControl/>
        <w:spacing w:line="266" w:lineRule="exact" w:before="208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[19] Hand Talk, "Hand Talk Translator," 2024. [Online]. Available: </w:t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https://www.handtalk.me</w:t>
          </w:r>
        </w:hyperlink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[20] SLAIT, "SLAIT - Real-time sign language translation," 2023. [Online]. Available: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https://www.slait.ai</w:t>
          </w:r>
        </w:hyperlink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[21] KinTrans, "KinTrans - AI that understands sign language," 2024. [Online]. Available: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https://www.kintrans.com</w:t>
          </w:r>
        </w:hyperlink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[22] Signapse AI, "Signapse - AI sign language translation," 2024. [Online]. Available: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https://www.signapse.ai</w:t>
          </w:r>
        </w:hyperlink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[23] Google, "Google - Isolated Sign Language Recognition," Kaggle Dataset, 2023. [Online].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Available: </w:t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https://www.kaggle.com/competitions/asl-signs</w:t>
          </w:r>
        </w:hyperlink>
      </w:r>
    </w:p>
    <w:p>
      <w:pPr>
        <w:autoSpaceDN w:val="0"/>
        <w:autoSpaceDE w:val="0"/>
        <w:widowControl/>
        <w:spacing w:line="266" w:lineRule="exact" w:before="1294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68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tabs>
          <w:tab w:pos="782" w:val="left"/>
        </w:tabs>
        <w:autoSpaceDE w:val="0"/>
        <w:widowControl/>
        <w:spacing w:line="340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[24] H. M. Balaha, "ASL 20 Words Dataset (v1)," Kaggle, 2023. [Online]. Available: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https://www.kaggle.com/datasets/hossammbalaha/asl-20-words-dataset-v1</w:t>
          </w:r>
        </w:hyperlink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[25] F. Zhang et al., "MediaPipe Hands: On-device real-time hand tracking," arXiv preprint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arXiv:2006.10214, 2020.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[26] N. Reimers and I. Gurevych, "Sentence-BERT: Sentence embeddings using Siamese BERT-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networks," in Proc. EMNLP-IJCNLP, 2019, pp. 3982-3992.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[27] Gemini Team, Google, "Gemini: A family of highly capable multimodal models," arXiv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preprint arXiv:2312.11805, 2023.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[28] H. Touvron et al., "LLaMA: Open and efficient foundation language models," arXiv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preprint arXiv:2302.13971, 2023.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[29] A. Vaswani et al., "Attention is all you need," in Advances in Neural Information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Processing Systems (NeurIPS), vol. 30, 2017.</w:t>
      </w:r>
    </w:p>
    <w:p>
      <w:pPr>
        <w:autoSpaceDN w:val="0"/>
        <w:autoSpaceDE w:val="0"/>
        <w:widowControl/>
        <w:spacing w:line="414" w:lineRule="exact" w:before="60" w:after="0"/>
        <w:ind w:left="782" w:right="20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[30] K. Cho et al., "Learning phrase representations using RNN encoder-decoder for statistical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machine translation," in Proc. Conf. Empirical Methods in Natural Language Processing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(EMNLP), 2014, pp. 1724-1734.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[31] C. Jennings, H. Bostrom, and J.-I. Bruaroey, Eds., "WebRTC 1.0: Real-time communication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between browsers," W3C Recommendation, 2021.</w:t>
      </w:r>
    </w:p>
    <w:p>
      <w:pPr>
        <w:autoSpaceDN w:val="0"/>
        <w:autoSpaceDE w:val="0"/>
        <w:widowControl/>
        <w:spacing w:line="414" w:lineRule="exact" w:before="60" w:after="0"/>
        <w:ind w:left="782" w:right="22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[32] K. Papineni, S. Roukos, T. Ward, and W.-J. Zhu, "BLEU: A method for automatic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evaluation of machine translation," in Proc. 40th Annu. Meeting Assoc. for Computational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Linguistics (ACL), 2002, pp. 311-318.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[33] M. Popovic, "chrF: Character n-gram F-score for automatic MT evaluation," in Proc. 10th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Workshop on Statistical Machine Translation (WMT), 2015, pp. 392-395.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[34] M. Post, "A call for clarity in reporting BLEU scores," in Proc. 3rd Conf. Machine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Translation (WMT), 2018, pp. 186-191.</w:t>
      </w:r>
    </w:p>
    <w:p>
      <w:pPr>
        <w:autoSpaceDN w:val="0"/>
        <w:autoSpaceDE w:val="0"/>
        <w:widowControl/>
        <w:spacing w:line="266" w:lineRule="exact" w:before="2656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69</w:t>
      </w:r>
    </w:p>
    <w:sectPr w:rsidR="00FC693F" w:rsidRPr="0006063C" w:rsidSect="00034616">
      <w:pgSz w:w="12240" w:h="15840"/>
      <w:pgMar w:top="904" w:right="996" w:bottom="36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hyperlink" Target="https://www.who.int/news-room/fact-sheets/detail/deafness-and-hearing-loss" TargetMode="External"/><Relationship Id="rId56" Type="http://schemas.openxmlformats.org/officeDocument/2006/relationships/hyperlink" Target="https://SignAll.us/" TargetMode="External"/><Relationship Id="rId57" Type="http://schemas.openxmlformats.org/officeDocument/2006/relationships/hyperlink" Target="https://www.handtalk.me/" TargetMode="External"/><Relationship Id="rId58" Type="http://schemas.openxmlformats.org/officeDocument/2006/relationships/hyperlink" Target="https://www.slait.ai/" TargetMode="External"/><Relationship Id="rId59" Type="http://schemas.openxmlformats.org/officeDocument/2006/relationships/hyperlink" Target="https://www.kintrans.com/" TargetMode="External"/><Relationship Id="rId60" Type="http://schemas.openxmlformats.org/officeDocument/2006/relationships/hyperlink" Target="https://www.signapse.ai/" TargetMode="External"/><Relationship Id="rId61" Type="http://schemas.openxmlformats.org/officeDocument/2006/relationships/hyperlink" Target="https://www.kaggle.com/competitions/asl-signs" TargetMode="External"/><Relationship Id="rId62" Type="http://schemas.openxmlformats.org/officeDocument/2006/relationships/hyperlink" Target="https://www.kaggle.com/datasets/hossammbalaha/asl-20-words-dataset-v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