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48ejqp1wjpbi"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rPr>
      </w:pPr>
      <w:bookmarkStart w:colFirst="0" w:colLast="0" w:name="_7dxwxbu5mita"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rPr>
      </w:pPr>
      <w:bookmarkStart w:colFirst="0" w:colLast="0" w:name="_4yz829vg401h" w:id="2"/>
      <w:bookmarkEnd w:id="2"/>
      <w:r w:rsidDel="00000000" w:rsidR="00000000" w:rsidRPr="00000000">
        <w:rPr>
          <w:rtl w:val="0"/>
        </w:rPr>
      </w:r>
    </w:p>
    <w:p w:rsidR="00000000" w:rsidDel="00000000" w:rsidP="00000000" w:rsidRDefault="00000000" w:rsidRPr="00000000" w14:paraId="00000004">
      <w:pPr>
        <w:pStyle w:val="Title"/>
        <w:jc w:val="center"/>
        <w:rPr>
          <w:rFonts w:ascii="Times New Roman" w:cs="Times New Roman" w:eastAsia="Times New Roman" w:hAnsi="Times New Roman"/>
          <w:b w:val="1"/>
          <w:bCs w:val="1"/>
        </w:rPr>
      </w:pPr>
      <w:bookmarkStart w:colFirst="0" w:colLast="0" w:name="_4m9hd4p0ccqa" w:id="3"/>
      <w:bookmarkEnd w:id="3"/>
      <w:r w:rsidDel="00000000" w:rsidR="00000000" w:rsidRPr="00000000">
        <w:rPr>
          <w:rtl w:val="0"/>
        </w:rPr>
      </w:r>
    </w:p>
    <w:p w:rsidR="00000000" w:rsidDel="00000000" w:rsidP="00000000" w:rsidRDefault="00000000" w:rsidRPr="00000000" w14:paraId="00000005">
      <w:pPr>
        <w:pStyle w:val="Title"/>
        <w:jc w:val="center"/>
        <w:rPr>
          <w:rFonts w:ascii="Times New Roman" w:cs="Times New Roman" w:eastAsia="Times New Roman" w:hAnsi="Times New Roman"/>
          <w:b w:val="1"/>
          <w:bCs w:val="1"/>
        </w:rPr>
      </w:pPr>
      <w:bookmarkStart w:colFirst="0" w:colLast="0" w:name="_59c5lixc0c1z" w:id="4"/>
      <w:bookmarkEnd w:id="4"/>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b w:val="1"/>
          <w:bCs w:val="1"/>
        </w:rPr>
      </w:pPr>
      <w:bookmarkStart w:colFirst="0" w:colLast="0" w:name="_ovqls9ipaqlc" w:id="5"/>
      <w:bookmarkEnd w:id="5"/>
      <w:r w:rsidDel="00000000" w:rsidR="00000000" w:rsidRPr="00000000">
        <w:rPr>
          <w:rtl w:val="0"/>
        </w:rPr>
      </w:r>
    </w:p>
    <w:p w:rsidR="00000000" w:rsidDel="00000000" w:rsidP="00000000" w:rsidRDefault="00000000" w:rsidRPr="00000000" w14:paraId="00000007">
      <w:pPr>
        <w:pStyle w:val="Title"/>
        <w:jc w:val="center"/>
        <w:rPr>
          <w:rFonts w:ascii="Times New Roman" w:cs="Times New Roman" w:eastAsia="Times New Roman" w:hAnsi="Times New Roman"/>
          <w:b w:val="1"/>
          <w:bCs w:val="1"/>
        </w:rPr>
      </w:pPr>
      <w:bookmarkStart w:colFirst="0" w:colLast="0" w:name="_3hfewvn5za5m" w:id="6"/>
      <w:bookmarkEnd w:id="6"/>
      <w:r w:rsidDel="00000000" w:rsidR="00000000" w:rsidRPr="00000000">
        <w:rPr>
          <w:rFonts w:ascii="Times New Roman" w:cs="Times New Roman" w:eastAsia="Times New Roman" w:hAnsi="Times New Roman"/>
          <w:b w:val="1"/>
          <w:bCs w:val="1"/>
          <w:rtl w:val="0"/>
        </w:rPr>
        <w:t xml:space="preserve">MODEL RISK TIERING METHODOLOGY</w:t>
      </w:r>
    </w:p>
    <w:p w:rsidR="00000000" w:rsidDel="00000000" w:rsidP="00000000" w:rsidRDefault="00000000" w:rsidRPr="00000000" w14:paraId="00000008">
      <w:pPr>
        <w:pStyle w:val="Subtitle"/>
        <w:jc w:val="center"/>
        <w:rPr>
          <w:rFonts w:ascii="Times New Roman" w:cs="Times New Roman" w:eastAsia="Times New Roman" w:hAnsi="Times New Roman"/>
          <w:sz w:val="36"/>
          <w:szCs w:val="36"/>
        </w:rPr>
      </w:pPr>
      <w:bookmarkStart w:colFirst="0" w:colLast="0" w:name="_zhrldq58mjmk" w:id="7"/>
      <w:bookmarkEnd w:id="7"/>
      <w:r w:rsidDel="00000000" w:rsidR="00000000" w:rsidRPr="00000000">
        <w:rPr>
          <w:rFonts w:ascii="Times New Roman" w:cs="Times New Roman" w:eastAsia="Times New Roman" w:hAnsi="Times New Roman"/>
          <w:sz w:val="36"/>
          <w:szCs w:val="36"/>
          <w:rtl w:val="0"/>
        </w:rPr>
        <w:t xml:space="preserve">Policy Document - Model Risk Management</w:t>
      </w:r>
    </w:p>
    <w:p w:rsidR="00000000" w:rsidDel="00000000" w:rsidP="00000000" w:rsidRDefault="00000000" w:rsidRPr="00000000" w14:paraId="00000009">
      <w:pPr>
        <w:pStyle w:val="Subtitle"/>
        <w:jc w:val="center"/>
        <w:rPr>
          <w:rFonts w:ascii="Times New Roman" w:cs="Times New Roman" w:eastAsia="Times New Roman" w:hAnsi="Times New Roman"/>
        </w:rPr>
      </w:pPr>
      <w:bookmarkStart w:colFirst="0" w:colLast="0" w:name="_as0c13pf8i0i" w:id="8"/>
      <w:bookmarkEnd w:id="8"/>
      <w:r w:rsidDel="00000000" w:rsidR="00000000" w:rsidRPr="00000000">
        <w:rPr>
          <w:rFonts w:ascii="Times New Roman" w:cs="Times New Roman" w:eastAsia="Times New Roman" w:hAnsi="Times New Roman"/>
          <w:rtl w:val="0"/>
        </w:rPr>
        <w:t xml:space="preserve">Document ID: MRM-POL-003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Prepared by: </w:t>
      </w:r>
      <w:r w:rsidDel="00000000" w:rsidR="00000000" w:rsidRPr="00000000">
        <w:rPr>
          <w:rFonts w:ascii="Times New Roman" w:cs="Times New Roman" w:eastAsia="Times New Roman" w:hAnsi="Times New Roman"/>
          <w:b w:val="1"/>
          <w:bCs w:val="1"/>
          <w:sz w:val="28"/>
          <w:szCs w:val="28"/>
          <w:rtl w:val="0"/>
        </w:rPr>
        <w:t xml:space="preserve">Rohan Mukherjee</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b w:val="1"/>
          <w:bCs w:val="1"/>
        </w:rPr>
      </w:pPr>
      <w:bookmarkStart w:colFirst="0" w:colLast="0" w:name="_d46a75i0lmyl" w:id="9"/>
      <w:bookmarkEnd w:id="9"/>
      <w:r w:rsidDel="00000000" w:rsidR="00000000" w:rsidRPr="00000000">
        <w:rPr>
          <w:rFonts w:ascii="Times New Roman" w:cs="Times New Roman" w:eastAsia="Times New Roman" w:hAnsi="Times New Roman"/>
          <w:b w:val="1"/>
          <w:bCs w:val="1"/>
          <w:rtl w:val="0"/>
        </w:rPr>
        <w:t xml:space="preserve">1. Purpose and Regulatory Basis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establishes the methodology by which the Model Risk Management (MRM) function assigns a risk tier to every model in the bank’s model inventory and the validation and monitoring requirements that follow from that tier. This methodology is designed to operationalize the core principle of supervisory guidance on model risk management (SR 11-7): that the rigor and frequency of model validation should be commensurate with a model’s materiality, complexity, and the bank’s reliance on its output.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resources are finite. A tiering framework is the mechanism by which a bank ensures that limited independent validation capacity is allocated to the models that pose the greatest risk to the institution if they perform poorly, rather than spread evenly and thinly across every model regardless of importance.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b w:val="1"/>
          <w:bCs w:val="1"/>
        </w:rPr>
      </w:pPr>
      <w:bookmarkStart w:colFirst="0" w:colLast="0" w:name="_r5l3jpobqog" w:id="10"/>
      <w:bookmarkEnd w:id="10"/>
      <w:r w:rsidDel="00000000" w:rsidR="00000000" w:rsidRPr="00000000">
        <w:rPr>
          <w:rFonts w:ascii="Times New Roman" w:cs="Times New Roman" w:eastAsia="Times New Roman" w:hAnsi="Times New Roman"/>
          <w:b w:val="1"/>
          <w:bCs w:val="1"/>
          <w:rtl w:val="0"/>
        </w:rPr>
        <w:t xml:space="preserve">2. Scope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methodology applies to all quantitative models used in decision-making, financial reporting, or regulatory capital calculation across the institution, consistent with the bank’s model definition policy. This includes, but is not limited to, models used in:</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 risk (origination, loss provisioning, regulatory capital)</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 risk (trading book risk measurement, pricing)</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Liquidity and interest rate risk</w:t>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Compliance and financial crime (AML, fraud)</w:t>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Operational risk capital</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Capital planning and stress testing</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Customer-facing analytics with material business impact (e.g., marketing, wealth management tools)</w:t>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used purely for internal management reporting with no external financial, regulatory, or customer impact may be scoped out of formal tiering at the discretion of the Model Risk Committee but must still be logged in the model inventory.</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rPr>
          <w:rFonts w:ascii="Times New Roman" w:cs="Times New Roman" w:eastAsia="Times New Roman" w:hAnsi="Times New Roman"/>
          <w:b w:val="1"/>
          <w:bCs w:val="1"/>
        </w:rPr>
      </w:pPr>
      <w:bookmarkStart w:colFirst="0" w:colLast="0" w:name="_6t68h23ce3pk" w:id="11"/>
      <w:bookmarkEnd w:id="11"/>
      <w:r w:rsidDel="00000000" w:rsidR="00000000" w:rsidRPr="00000000">
        <w:rPr>
          <w:rFonts w:ascii="Times New Roman" w:cs="Times New Roman" w:eastAsia="Times New Roman" w:hAnsi="Times New Roman"/>
          <w:b w:val="1"/>
          <w:bCs w:val="1"/>
          <w:rtl w:val="0"/>
        </w:rPr>
        <w:t xml:space="preserve">3. Scoring Dimensions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model is scored from 1 (lowest risk) to 5 (highest risk) on four dimensions. Scores are assigned by the model owner in collaboration with MRM and are subject to MRM challenge and override.</w:t>
      </w:r>
    </w:p>
    <w:p w:rsidR="00000000" w:rsidDel="00000000" w:rsidP="00000000" w:rsidRDefault="00000000" w:rsidRPr="00000000" w14:paraId="0000005C">
      <w:pPr>
        <w:pStyle w:val="Heading2"/>
        <w:rPr>
          <w:rFonts w:ascii="Times New Roman" w:cs="Times New Roman" w:eastAsia="Times New Roman" w:hAnsi="Times New Roman"/>
          <w:b w:val="1"/>
          <w:bCs w:val="1"/>
        </w:rPr>
      </w:pPr>
      <w:bookmarkStart w:colFirst="0" w:colLast="0" w:name="_g4wswvneaad4" w:id="12"/>
      <w:bookmarkEnd w:id="12"/>
      <w:r w:rsidDel="00000000" w:rsidR="00000000" w:rsidRPr="00000000">
        <w:rPr>
          <w:rFonts w:ascii="Times New Roman" w:cs="Times New Roman" w:eastAsia="Times New Roman" w:hAnsi="Times New Roman"/>
          <w:b w:val="1"/>
          <w:bCs w:val="1"/>
          <w:rtl w:val="0"/>
        </w:rPr>
        <w:t xml:space="preserve">3.1 Materiality (Weight: 40%)</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potential financial, regulatory, or reputational impact if the model performs poorly.</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Considers:</w:t>
      </w:r>
    </w:p>
    <w:p w:rsidR="00000000" w:rsidDel="00000000" w:rsidP="00000000" w:rsidRDefault="00000000" w:rsidRPr="00000000" w14:paraId="0000005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 balance sheet or P&amp;L exposure</w:t>
      </w:r>
    </w:p>
    <w:p w:rsidR="00000000" w:rsidDel="00000000" w:rsidP="00000000" w:rsidRDefault="00000000" w:rsidRPr="00000000" w14:paraId="0000006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Whether the model’s output feeds directly into regulatory capital calculation or external financial reporting</w:t>
      </w:r>
    </w:p>
    <w:p w:rsidR="00000000" w:rsidDel="00000000" w:rsidP="00000000" w:rsidRDefault="00000000" w:rsidRPr="00000000" w14:paraId="0000006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potential customer or reputational harm</w:t>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8100"/>
        <w:tblGridChange w:id="0">
          <w:tblGrid>
            <w:gridCol w:w="1980"/>
            <w:gridCol w:w="810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Score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determines regulatory capital or is a primary input to published financial statements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input to capital/financial reporting, or high potential for direct customer/reputational harm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Meaningful business impact but with significant human judgement or override in the decision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financial impact; informs decisions made primarily on other grounds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management information only; no external financial or regulatory consequence</w:t>
            </w:r>
          </w:p>
        </w:tc>
      </w:tr>
    </w:tbl>
    <w:p w:rsidR="00000000" w:rsidDel="00000000" w:rsidP="00000000" w:rsidRDefault="00000000" w:rsidRPr="00000000" w14:paraId="0000006F">
      <w:pPr>
        <w:pStyle w:val="Heading2"/>
        <w:rPr>
          <w:rFonts w:ascii="Times New Roman" w:cs="Times New Roman" w:eastAsia="Times New Roman" w:hAnsi="Times New Roman"/>
          <w:b w:val="1"/>
          <w:bCs w:val="1"/>
        </w:rPr>
      </w:pPr>
      <w:bookmarkStart w:colFirst="0" w:colLast="0" w:name="_t74wnty4kqen" w:id="13"/>
      <w:bookmarkEnd w:id="13"/>
      <w:r w:rsidDel="00000000" w:rsidR="00000000" w:rsidRPr="00000000">
        <w:rPr>
          <w:rFonts w:ascii="Times New Roman" w:cs="Times New Roman" w:eastAsia="Times New Roman" w:hAnsi="Times New Roman"/>
          <w:b w:val="1"/>
          <w:bCs w:val="1"/>
          <w:rtl w:val="0"/>
        </w:rPr>
        <w:t xml:space="preserve">3.2 Complexity (Weight: 25%)</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methodological sophistication of the model and the degree to which its internal logic is interpretable and explainable. More complex, less interpretable models carry a greater risk that errors go undetected.</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8055"/>
        <w:tblGridChange w:id="0">
          <w:tblGrid>
            <w:gridCol w:w="2025"/>
            <w:gridCol w:w="805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Score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Black-box machine learning (e.g., gradient boosting, deep learning) with limited interpretability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 or non-linear statistical methods with partial interpretability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Multi-stage or aggregation models combining several sub-models or simulation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statistical methods with established, documented methodology (e.g., logistic regression)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Deterministic, rules-based calculation with no statistical estimation</w:t>
            </w:r>
          </w:p>
        </w:tc>
      </w:tr>
    </w:tbl>
    <w:p w:rsidR="00000000" w:rsidDel="00000000" w:rsidP="00000000" w:rsidRDefault="00000000" w:rsidRPr="00000000" w14:paraId="0000007E">
      <w:pPr>
        <w:pStyle w:val="Heading2"/>
        <w:rPr>
          <w:rFonts w:ascii="Times New Roman" w:cs="Times New Roman" w:eastAsia="Times New Roman" w:hAnsi="Times New Roman"/>
          <w:b w:val="1"/>
          <w:bCs w:val="1"/>
        </w:rPr>
      </w:pPr>
      <w:bookmarkStart w:colFirst="0" w:colLast="0" w:name="_gan3oft5ntsu" w:id="14"/>
      <w:bookmarkEnd w:id="14"/>
      <w:r w:rsidDel="00000000" w:rsidR="00000000" w:rsidRPr="00000000">
        <w:rPr>
          <w:rFonts w:ascii="Times New Roman" w:cs="Times New Roman" w:eastAsia="Times New Roman" w:hAnsi="Times New Roman"/>
          <w:b w:val="1"/>
          <w:bCs w:val="1"/>
          <w:rtl w:val="0"/>
        </w:rPr>
        <w:t xml:space="preserve">3.3 Usage and Reliance (Weight: 25%)</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degree to which the model’s output directly drives a decision or action without meaningful human review or override.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7950"/>
        <w:tblGridChange w:id="0">
          <w:tblGrid>
            <w:gridCol w:w="2130"/>
            <w:gridCol w:w="795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Score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automated decisioning or calculation with no per-instance human override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in the large majority of cases; human review only for exceptions/referrals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input to a decision still made by a person or committee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input among several, with significant judgement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Purely advisory or informational; not a direct input to any specific decision</w:t>
            </w:r>
          </w:p>
        </w:tc>
      </w:tr>
    </w:tbl>
    <w:p w:rsidR="00000000" w:rsidDel="00000000" w:rsidP="00000000" w:rsidRDefault="00000000" w:rsidRPr="00000000" w14:paraId="0000008D">
      <w:pPr>
        <w:pStyle w:val="Heading2"/>
        <w:rPr>
          <w:rFonts w:ascii="Times New Roman" w:cs="Times New Roman" w:eastAsia="Times New Roman" w:hAnsi="Times New Roman"/>
          <w:b w:val="1"/>
          <w:bCs w:val="1"/>
        </w:rPr>
      </w:pPr>
      <w:bookmarkStart w:colFirst="0" w:colLast="0" w:name="_4gxh5vsbo2zq" w:id="15"/>
      <w:bookmarkEnd w:id="15"/>
      <w:r w:rsidDel="00000000" w:rsidR="00000000" w:rsidRPr="00000000">
        <w:rPr>
          <w:rFonts w:ascii="Times New Roman" w:cs="Times New Roman" w:eastAsia="Times New Roman" w:hAnsi="Times New Roman"/>
          <w:b w:val="1"/>
          <w:bCs w:val="1"/>
          <w:rtl w:val="0"/>
        </w:rPr>
        <w:t xml:space="preserve">3.4 Data Quality Risk (Weight: 10%)</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stability, auditability, and governance of the model’s input data.</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890"/>
        <w:tblGridChange w:id="0">
          <w:tblGrid>
            <w:gridCol w:w="2190"/>
            <w:gridCol w:w="789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Score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Relies primarily on unstructured, third-party, or externally-sourced data with limited governance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Relies on fast-changing or high-volume data with moderate governance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 of internal and external data, or depends on outputs of other models (compounding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Primarily internal data with established governance and lineage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well-governed internal data with long operating history</w:t>
            </w:r>
          </w:p>
        </w:tc>
      </w:tr>
    </w:tbl>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1"/>
        <w:rPr>
          <w:rFonts w:ascii="Times New Roman" w:cs="Times New Roman" w:eastAsia="Times New Roman" w:hAnsi="Times New Roman"/>
          <w:b w:val="1"/>
          <w:bCs w:val="1"/>
        </w:rPr>
      </w:pPr>
      <w:bookmarkStart w:colFirst="0" w:colLast="0" w:name="_m76wcbb97t76" w:id="16"/>
      <w:bookmarkEnd w:id="16"/>
      <w:r w:rsidDel="00000000" w:rsidR="00000000" w:rsidRPr="00000000">
        <w:rPr>
          <w:rFonts w:ascii="Times New Roman" w:cs="Times New Roman" w:eastAsia="Times New Roman" w:hAnsi="Times New Roman"/>
          <w:b w:val="1"/>
          <w:bCs w:val="1"/>
          <w:rtl w:val="0"/>
        </w:rPr>
        <w:t xml:space="preserve">4. Tier Assignment</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four-dimension scores are combined into a single weighted composite score: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Weighted Score = (Materiality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0.40) + (Complexity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0.25) +</m:t>
        </m:r>
      </m:oMath>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(Usage/Reliance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0.25) + (Data Quality Risk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0.10)</m:t>
        </m:r>
      </m:oMath>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weighted score is then mapped to one of three tiers: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Weighted Score Range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Risk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cc0000"/>
                <w:sz w:val="24"/>
                <w:szCs w:val="24"/>
              </w:rPr>
            </w:pPr>
            <w:r w:rsidDel="00000000" w:rsidR="00000000" w:rsidRPr="00000000">
              <w:rPr>
                <w:rFonts w:ascii="Times New Roman" w:cs="Times New Roman" w:eastAsia="Times New Roman" w:hAnsi="Times New Roman"/>
                <w:b w:val="1"/>
                <w:bCs w:val="1"/>
                <w:color w:val="cc0000"/>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2.40 - 3.59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e69138"/>
                <w:sz w:val="24"/>
                <w:szCs w:val="24"/>
              </w:rPr>
            </w:pPr>
            <w:r w:rsidDel="00000000" w:rsidR="00000000" w:rsidRPr="00000000">
              <w:rPr>
                <w:rFonts w:ascii="Times New Roman" w:cs="Times New Roman" w:eastAsia="Times New Roman" w:hAnsi="Times New Roman"/>
                <w:b w:val="1"/>
                <w:bCs w:val="1"/>
                <w:color w:val="e69138"/>
                <w:sz w:val="24"/>
                <w:szCs w:val="24"/>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38761d"/>
                <w:sz w:val="24"/>
                <w:szCs w:val="24"/>
              </w:rPr>
            </w:pPr>
            <w:r w:rsidDel="00000000" w:rsidR="00000000" w:rsidRPr="00000000">
              <w:rPr>
                <w:rFonts w:ascii="Times New Roman" w:cs="Times New Roman" w:eastAsia="Times New Roman" w:hAnsi="Times New Roman"/>
                <w:b w:val="1"/>
                <w:bCs w:val="1"/>
                <w:color w:val="38761d"/>
                <w:sz w:val="24"/>
                <w:szCs w:val="24"/>
                <w:rtl w:val="0"/>
              </w:rPr>
              <w:t xml:space="preserve">Low</w:t>
            </w:r>
          </w:p>
        </w:tc>
      </w:tr>
    </w:tbl>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1"/>
        <w:rPr>
          <w:rFonts w:ascii="Times New Roman" w:cs="Times New Roman" w:eastAsia="Times New Roman" w:hAnsi="Times New Roman"/>
          <w:b w:val="1"/>
          <w:bCs w:val="1"/>
        </w:rPr>
      </w:pPr>
      <w:bookmarkStart w:colFirst="0" w:colLast="0" w:name="_tsf9ottoobyx" w:id="17"/>
      <w:bookmarkEnd w:id="17"/>
      <w:r w:rsidDel="00000000" w:rsidR="00000000" w:rsidRPr="00000000">
        <w:rPr>
          <w:rFonts w:ascii="Times New Roman" w:cs="Times New Roman" w:eastAsia="Times New Roman" w:hAnsi="Times New Roman"/>
          <w:b w:val="1"/>
          <w:bCs w:val="1"/>
          <w:rtl w:val="0"/>
        </w:rPr>
        <w:t xml:space="preserve">5. Validation and Monitoring Requirements by Tier</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Tier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Validation Frequency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Validation Depth</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Monitoring Frequency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Sign-off Required</w:t>
            </w:r>
          </w:p>
        </w:tc>
      </w:tr>
      <w:tr>
        <w:trPr>
          <w:cantSplit w:val="0"/>
          <w:tblHeader w:val="0"/>
        </w:trPr>
        <w:tc>
          <w:tcPr>
            <w:shd w:fill="f4cccc"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1 (High)</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independent validation: conceptual soundness, outcomes analysis, benchmarking, sensitivity testing</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Risk Committee</w:t>
            </w:r>
          </w:p>
        </w:tc>
      </w:tr>
      <w:tr>
        <w:trPr>
          <w:cantSplit w:val="0"/>
          <w:tblHeader w:val="0"/>
        </w:trPr>
        <w:tc>
          <w:tcPr>
            <w:shd w:fill="fff2cc" w:val="clear"/>
            <w:tcMar>
              <w:top w:w="100.0" w:type="dxa"/>
              <w:left w:w="100.0" w:type="dxa"/>
              <w:bottom w:w="100.0" w:type="dxa"/>
              <w:right w:w="10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2 (Medium)</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18 months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independent validation with reduced benchmarking score permitted</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Quarterly</w:t>
            </w:r>
          </w:p>
        </w:tc>
        <w:tc>
          <w:tcPr>
            <w:shd w:fill="fff2cc"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Risk Management</w:t>
            </w:r>
          </w:p>
        </w:tc>
      </w:tr>
      <w:tr>
        <w:trPr>
          <w:cantSplit w:val="0"/>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3 (Low)</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36 months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Light-touch validation: conceptual soundness and outcome analysis</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Semi-annual</w:t>
            </w:r>
          </w:p>
        </w:tc>
        <w:tc>
          <w:tcPr>
            <w:shd w:fill="d9ead3"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 of Business Risk Owner</w:t>
            </w:r>
          </w:p>
        </w:tc>
      </w:tr>
    </w:tbl>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tier, any model experiencing a significant performance deterioration (e.g., a Red Zone result in VaR backtesting or a population stability index breach in a credit model) must be escalated for ad hoc review outside its scheduled cycle.</w:t>
      </w: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1"/>
        <w:spacing w:after="160" w:lineRule="auto"/>
        <w:rPr>
          <w:rFonts w:ascii="Times New Roman" w:cs="Times New Roman" w:eastAsia="Times New Roman" w:hAnsi="Times New Roman"/>
          <w:b w:val="1"/>
          <w:bCs w:val="1"/>
        </w:rPr>
      </w:pPr>
      <w:bookmarkStart w:colFirst="0" w:colLast="0" w:name="_xkge4kq8ubi3" w:id="18"/>
      <w:bookmarkEnd w:id="18"/>
      <w:r w:rsidDel="00000000" w:rsidR="00000000" w:rsidRPr="00000000">
        <w:rPr>
          <w:rFonts w:ascii="Times New Roman" w:cs="Times New Roman" w:eastAsia="Times New Roman" w:hAnsi="Times New Roman"/>
          <w:b w:val="1"/>
          <w:bCs w:val="1"/>
          <w:rtl w:val="0"/>
        </w:rPr>
        <w:t xml:space="preserve">6. Governance and Override Process</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owners propose initial scores in each of the four dimensions with documented rationale, at the time a model is onboarded to the inventory. MRM independently reviews and may challenge or override any score; in the event of disagreement, the Model Risk Committee makes the final determination.</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assignments are reviewed at minimum annually and immediately upon any material change to a model’s purpose, scope, or usage (e.g., a model originally used for internal reporting being adopted for a regulatory capital calculation must be immediately rescored).</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Tier overrides—assigning a model a higher tier than its weighted score would imply—may be applied at MRM’s discretion when qualitative considerations (e.g., recent adverse regulatory findings, known data quality issues, or pending litigation) warrant additional scrutiny. Downward overrides (assigning a lower tier than the score implies) require Model Risk Committee approval and must be documented with specific rationale.</w:t>
      </w:r>
    </w:p>
    <w:p w:rsidR="00000000" w:rsidDel="00000000" w:rsidP="00000000" w:rsidRDefault="00000000" w:rsidRPr="00000000" w14:paraId="000000F9">
      <w:pPr>
        <w:ind w:left="0" w:firstLine="0"/>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footerReference r:id="rId7" w:type="default"/>
      <w:footerReference r:id="rId8" w:type="first"/>
      <w:pgSz w:h="15840" w:w="12240"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Rohan Mukherjee                                            Model Risk Management                                                                  </w:t>
    </w: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Model Risk Tiering Methodology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