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48ejqp1wjpbi" w:id="0"/>
      <w:bookmarkEnd w:id="0"/>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b w:val="1"/>
          <w:bCs w:val="1"/>
        </w:rPr>
      </w:pPr>
      <w:bookmarkStart w:colFirst="0" w:colLast="0" w:name="_7dxwxbu5mita" w:id="1"/>
      <w:bookmarkEnd w:id="1"/>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b w:val="1"/>
          <w:bCs w:val="1"/>
        </w:rPr>
      </w:pPr>
      <w:bookmarkStart w:colFirst="0" w:colLast="0" w:name="_4yz829vg401h" w:id="2"/>
      <w:bookmarkEnd w:id="2"/>
      <w:r w:rsidDel="00000000" w:rsidR="00000000" w:rsidRPr="00000000">
        <w:rPr>
          <w:rtl w:val="0"/>
        </w:rPr>
      </w:r>
    </w:p>
    <w:p w:rsidR="00000000" w:rsidDel="00000000" w:rsidP="00000000" w:rsidRDefault="00000000" w:rsidRPr="00000000" w14:paraId="00000004">
      <w:pPr>
        <w:pStyle w:val="Title"/>
        <w:jc w:val="center"/>
        <w:rPr>
          <w:rFonts w:ascii="Times New Roman" w:cs="Times New Roman" w:eastAsia="Times New Roman" w:hAnsi="Times New Roman"/>
          <w:b w:val="1"/>
          <w:bCs w:val="1"/>
        </w:rPr>
      </w:pPr>
      <w:bookmarkStart w:colFirst="0" w:colLast="0" w:name="_4m9hd4p0ccqa" w:id="3"/>
      <w:bookmarkEnd w:id="3"/>
      <w:r w:rsidDel="00000000" w:rsidR="00000000" w:rsidRPr="00000000">
        <w:rPr>
          <w:rtl w:val="0"/>
        </w:rPr>
      </w:r>
    </w:p>
    <w:p w:rsidR="00000000" w:rsidDel="00000000" w:rsidP="00000000" w:rsidRDefault="00000000" w:rsidRPr="00000000" w14:paraId="00000005">
      <w:pPr>
        <w:pStyle w:val="Title"/>
        <w:jc w:val="center"/>
        <w:rPr>
          <w:rFonts w:ascii="Times New Roman" w:cs="Times New Roman" w:eastAsia="Times New Roman" w:hAnsi="Times New Roman"/>
          <w:b w:val="1"/>
          <w:bCs w:val="1"/>
        </w:rPr>
      </w:pPr>
      <w:bookmarkStart w:colFirst="0" w:colLast="0" w:name="_59c5lixc0c1z" w:id="4"/>
      <w:bookmarkEnd w:id="4"/>
      <w:r w:rsidDel="00000000" w:rsidR="00000000" w:rsidRPr="00000000">
        <w:rPr>
          <w:rtl w:val="0"/>
        </w:rPr>
      </w:r>
    </w:p>
    <w:p w:rsidR="00000000" w:rsidDel="00000000" w:rsidP="00000000" w:rsidRDefault="00000000" w:rsidRPr="00000000" w14:paraId="00000006">
      <w:pPr>
        <w:pStyle w:val="Title"/>
        <w:jc w:val="center"/>
        <w:rPr>
          <w:rFonts w:ascii="Times New Roman" w:cs="Times New Roman" w:eastAsia="Times New Roman" w:hAnsi="Times New Roman"/>
          <w:b w:val="1"/>
          <w:bCs w:val="1"/>
        </w:rPr>
      </w:pPr>
      <w:bookmarkStart w:colFirst="0" w:colLast="0" w:name="_ovqls9ipaqlc" w:id="5"/>
      <w:bookmarkEnd w:id="5"/>
      <w:r w:rsidDel="00000000" w:rsidR="00000000" w:rsidRPr="00000000">
        <w:rPr>
          <w:rtl w:val="0"/>
        </w:rPr>
      </w:r>
    </w:p>
    <w:p w:rsidR="00000000" w:rsidDel="00000000" w:rsidP="00000000" w:rsidRDefault="00000000" w:rsidRPr="00000000" w14:paraId="00000007">
      <w:pPr>
        <w:pStyle w:val="Title"/>
        <w:jc w:val="center"/>
        <w:rPr>
          <w:rFonts w:ascii="Times New Roman" w:cs="Times New Roman" w:eastAsia="Times New Roman" w:hAnsi="Times New Roman"/>
          <w:b w:val="1"/>
          <w:bCs w:val="1"/>
        </w:rPr>
      </w:pPr>
      <w:bookmarkStart w:colFirst="0" w:colLast="0" w:name="_3hfewvn5za5m" w:id="6"/>
      <w:bookmarkEnd w:id="6"/>
      <w:r w:rsidDel="00000000" w:rsidR="00000000" w:rsidRPr="00000000">
        <w:rPr>
          <w:rFonts w:ascii="Times New Roman" w:cs="Times New Roman" w:eastAsia="Times New Roman" w:hAnsi="Times New Roman"/>
          <w:b w:val="1"/>
          <w:bCs w:val="1"/>
          <w:rtl w:val="0"/>
        </w:rPr>
        <w:t xml:space="preserve">ONGOING MONITORING FRAMEWORK</w:t>
      </w:r>
    </w:p>
    <w:p w:rsidR="00000000" w:rsidDel="00000000" w:rsidP="00000000" w:rsidRDefault="00000000" w:rsidRPr="00000000" w14:paraId="00000008">
      <w:pPr>
        <w:pStyle w:val="Subtitle"/>
        <w:jc w:val="center"/>
        <w:rPr>
          <w:rFonts w:ascii="Times New Roman" w:cs="Times New Roman" w:eastAsia="Times New Roman" w:hAnsi="Times New Roman"/>
          <w:sz w:val="36"/>
          <w:szCs w:val="36"/>
        </w:rPr>
      </w:pPr>
      <w:bookmarkStart w:colFirst="0" w:colLast="0" w:name="_zhrldq58mjmk" w:id="7"/>
      <w:bookmarkEnd w:id="7"/>
      <w:r w:rsidDel="00000000" w:rsidR="00000000" w:rsidRPr="00000000">
        <w:rPr>
          <w:rFonts w:ascii="Times New Roman" w:cs="Times New Roman" w:eastAsia="Times New Roman" w:hAnsi="Times New Roman"/>
          <w:sz w:val="36"/>
          <w:szCs w:val="36"/>
          <w:rtl w:val="0"/>
        </w:rPr>
        <w:t xml:space="preserve">Policy Document - Model Risk Management</w:t>
      </w:r>
    </w:p>
    <w:p w:rsidR="00000000" w:rsidDel="00000000" w:rsidP="00000000" w:rsidRDefault="00000000" w:rsidRPr="00000000" w14:paraId="00000009">
      <w:pPr>
        <w:pStyle w:val="Subtitle"/>
        <w:jc w:val="center"/>
        <w:rPr>
          <w:rFonts w:ascii="Times New Roman" w:cs="Times New Roman" w:eastAsia="Times New Roman" w:hAnsi="Times New Roman"/>
        </w:rPr>
      </w:pPr>
      <w:bookmarkStart w:colFirst="0" w:colLast="0" w:name="_as0c13pf8i0i" w:id="8"/>
      <w:bookmarkEnd w:id="8"/>
      <w:r w:rsidDel="00000000" w:rsidR="00000000" w:rsidRPr="00000000">
        <w:rPr>
          <w:rFonts w:ascii="Times New Roman" w:cs="Times New Roman" w:eastAsia="Times New Roman" w:hAnsi="Times New Roman"/>
          <w:rtl w:val="0"/>
        </w:rPr>
        <w:t xml:space="preserve">Document ID: MRM-POL-004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Prepared by: </w:t>
      </w:r>
      <w:r w:rsidDel="00000000" w:rsidR="00000000" w:rsidRPr="00000000">
        <w:rPr>
          <w:rFonts w:ascii="Times New Roman" w:cs="Times New Roman" w:eastAsia="Times New Roman" w:hAnsi="Times New Roman"/>
          <w:b w:val="1"/>
          <w:bCs w:val="1"/>
          <w:sz w:val="28"/>
          <w:szCs w:val="28"/>
          <w:rtl w:val="0"/>
        </w:rPr>
        <w:t xml:space="preserve">Rohan Mukherjee</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1"/>
        <w:rPr>
          <w:rFonts w:ascii="Times New Roman" w:cs="Times New Roman" w:eastAsia="Times New Roman" w:hAnsi="Times New Roman"/>
          <w:b w:val="1"/>
          <w:bCs w:val="1"/>
        </w:rPr>
      </w:pPr>
      <w:bookmarkStart w:colFirst="0" w:colLast="0" w:name="_d46a75i0lmyl" w:id="9"/>
      <w:bookmarkEnd w:id="9"/>
      <w:r w:rsidDel="00000000" w:rsidR="00000000" w:rsidRPr="00000000">
        <w:rPr>
          <w:rFonts w:ascii="Times New Roman" w:cs="Times New Roman" w:eastAsia="Times New Roman" w:hAnsi="Times New Roman"/>
          <w:b w:val="1"/>
          <w:bCs w:val="1"/>
          <w:rtl w:val="0"/>
        </w:rPr>
        <w:t xml:space="preserve">1. Purpose</w:t>
      </w:r>
    </w:p>
    <w:p w:rsidR="00000000" w:rsidDel="00000000" w:rsidP="00000000" w:rsidRDefault="00000000" w:rsidRPr="00000000" w14:paraId="0000001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independent validation (see MRM-POL-003, Model Risk Tiering Methodology) occurs on a periodic cycle—annually for Tier 1 models, less frequently for lower tiers. Between validation cycles, models can and do deteriorate: populations drift, discriminatory power erodes, and business users may lose confidence and begin overriding model recommendations. This document establishes the ongoing monitoring framework that operates in the gaps between full validations so that deterioration is caught and escalated promptly rather than discovered a year later at the next scheduled validation.</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1"/>
        <w:rPr>
          <w:rFonts w:ascii="Times New Roman" w:cs="Times New Roman" w:eastAsia="Times New Roman" w:hAnsi="Times New Roman"/>
          <w:b w:val="1"/>
          <w:bCs w:val="1"/>
        </w:rPr>
      </w:pPr>
      <w:bookmarkStart w:colFirst="0" w:colLast="0" w:name="_r5l3jpobqog" w:id="10"/>
      <w:bookmarkEnd w:id="10"/>
      <w:r w:rsidDel="00000000" w:rsidR="00000000" w:rsidRPr="00000000">
        <w:rPr>
          <w:rFonts w:ascii="Times New Roman" w:cs="Times New Roman" w:eastAsia="Times New Roman" w:hAnsi="Times New Roman"/>
          <w:b w:val="1"/>
          <w:bCs w:val="1"/>
          <w:rtl w:val="0"/>
        </w:rPr>
        <w:t xml:space="preserve">2. Monitored Metrics</w:t>
      </w:r>
    </w:p>
    <w:p w:rsidR="00000000" w:rsidDel="00000000" w:rsidP="00000000" w:rsidRDefault="00000000" w:rsidRPr="00000000" w14:paraId="0000003B">
      <w:pPr>
        <w:pStyle w:val="Heading2"/>
        <w:rPr>
          <w:rFonts w:ascii="Times New Roman" w:cs="Times New Roman" w:eastAsia="Times New Roman" w:hAnsi="Times New Roman"/>
          <w:b w:val="1"/>
          <w:bCs w:val="1"/>
        </w:rPr>
      </w:pPr>
      <w:bookmarkStart w:colFirst="0" w:colLast="0" w:name="_hxlz7owyzprz" w:id="11"/>
      <w:bookmarkEnd w:id="11"/>
      <w:r w:rsidDel="00000000" w:rsidR="00000000" w:rsidRPr="00000000">
        <w:rPr>
          <w:rFonts w:ascii="Times New Roman" w:cs="Times New Roman" w:eastAsia="Times New Roman" w:hAnsi="Times New Roman"/>
          <w:b w:val="1"/>
          <w:bCs w:val="1"/>
          <w:rtl w:val="0"/>
        </w:rPr>
        <w:t xml:space="preserve">2.1 Population Stability Index (PSI)</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the distribution of model scores in the current monitoring period against the development-sample baseline. Detects whether the population being scored has shifted away from the population the model was built on.</w:t>
      </w:r>
    </w:p>
    <w:p w:rsidR="00000000" w:rsidDel="00000000" w:rsidP="00000000" w:rsidRDefault="00000000" w:rsidRPr="00000000" w14:paraId="0000003D">
      <w:pPr>
        <w:pStyle w:val="Heading2"/>
        <w:rPr>
          <w:rFonts w:ascii="Times New Roman" w:cs="Times New Roman" w:eastAsia="Times New Roman" w:hAnsi="Times New Roman"/>
          <w:b w:val="1"/>
          <w:bCs w:val="1"/>
        </w:rPr>
      </w:pPr>
      <w:bookmarkStart w:colFirst="0" w:colLast="0" w:name="_dw66x9hbnmjc" w:id="12"/>
      <w:bookmarkEnd w:id="12"/>
      <w:r w:rsidDel="00000000" w:rsidR="00000000" w:rsidRPr="00000000">
        <w:rPr>
          <w:rFonts w:ascii="Times New Roman" w:cs="Times New Roman" w:eastAsia="Times New Roman" w:hAnsi="Times New Roman"/>
          <w:b w:val="1"/>
          <w:bCs w:val="1"/>
          <w:rtl w:val="0"/>
        </w:rPr>
        <w:t xml:space="preserve">2.2 Discriminatory Power Retained (Gini)</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the current period's Gini coefficient (computed against realized outcomes once available) to the model's baseline Gini at development/launch. Detects whether the model's ability to rank-order risk is eroding over time.</w:t>
      </w:r>
    </w:p>
    <w:p w:rsidR="00000000" w:rsidDel="00000000" w:rsidP="00000000" w:rsidRDefault="00000000" w:rsidRPr="00000000" w14:paraId="0000003F">
      <w:pPr>
        <w:pStyle w:val="Heading2"/>
        <w:rPr>
          <w:rFonts w:ascii="Times New Roman" w:cs="Times New Roman" w:eastAsia="Times New Roman" w:hAnsi="Times New Roman"/>
          <w:b w:val="1"/>
          <w:bCs w:val="1"/>
        </w:rPr>
      </w:pPr>
      <w:bookmarkStart w:colFirst="0" w:colLast="0" w:name="_r8mk706ouzi5" w:id="13"/>
      <w:bookmarkEnd w:id="13"/>
      <w:r w:rsidDel="00000000" w:rsidR="00000000" w:rsidRPr="00000000">
        <w:rPr>
          <w:rFonts w:ascii="Times New Roman" w:cs="Times New Roman" w:eastAsia="Times New Roman" w:hAnsi="Times New Roman"/>
          <w:b w:val="1"/>
          <w:bCs w:val="1"/>
          <w:rtl w:val="0"/>
        </w:rPr>
        <w:t xml:space="preserve">2.3 Override Rate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proportion of model decline recommendations that are manually overridden (approved) by underwriters. A rising override rate is a leading indicator of eroding business confidence in the model, and can itself introduce model risk if overrides are not independently monitored for their own performance. </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1"/>
        <w:rPr>
          <w:rFonts w:ascii="Times New Roman" w:cs="Times New Roman" w:eastAsia="Times New Roman" w:hAnsi="Times New Roman"/>
          <w:b w:val="1"/>
          <w:bCs w:val="1"/>
        </w:rPr>
      </w:pPr>
      <w:bookmarkStart w:colFirst="0" w:colLast="0" w:name="_6t68h23ce3pk" w:id="14"/>
      <w:bookmarkEnd w:id="14"/>
      <w:r w:rsidDel="00000000" w:rsidR="00000000" w:rsidRPr="00000000">
        <w:rPr>
          <w:rFonts w:ascii="Times New Roman" w:cs="Times New Roman" w:eastAsia="Times New Roman" w:hAnsi="Times New Roman"/>
          <w:b w:val="1"/>
          <w:bCs w:val="1"/>
          <w:rtl w:val="0"/>
        </w:rPr>
        <w:t xml:space="preserve">3. Escalation Thresholds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2190"/>
        <w:gridCol w:w="2220"/>
        <w:gridCol w:w="2265"/>
        <w:tblGridChange w:id="0">
          <w:tblGrid>
            <w:gridCol w:w="3405"/>
            <w:gridCol w:w="2190"/>
            <w:gridCol w:w="2220"/>
            <w:gridCol w:w="22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Metric</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Green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Amber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PSI</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0.10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0.10 - 0.25</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Gini retained vs. baseline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90%</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- 90%</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Override rate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- 10%</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10%</w:t>
            </w:r>
          </w:p>
        </w:tc>
      </w:tr>
    </w:tbl>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monthly status for a model is the WORST of its three individual metric statuses (a 'weakest link' convention): if any one metric is Red, the model's overall status is Red regardless of how the other two metrics look.</w:t>
      </w: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1"/>
        <w:rPr>
          <w:rFonts w:ascii="Times New Roman" w:cs="Times New Roman" w:eastAsia="Times New Roman" w:hAnsi="Times New Roman"/>
          <w:b w:val="1"/>
          <w:bCs w:val="1"/>
        </w:rPr>
      </w:pPr>
      <w:bookmarkStart w:colFirst="0" w:colLast="0" w:name="_m76wcbb97t76" w:id="15"/>
      <w:bookmarkEnd w:id="15"/>
      <w:r w:rsidDel="00000000" w:rsidR="00000000" w:rsidRPr="00000000">
        <w:rPr>
          <w:rFonts w:ascii="Times New Roman" w:cs="Times New Roman" w:eastAsia="Times New Roman" w:hAnsi="Times New Roman"/>
          <w:b w:val="1"/>
          <w:bCs w:val="1"/>
          <w:rtl w:val="0"/>
        </w:rPr>
        <w:t xml:space="preserve">4. Required Action by Status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6870"/>
        <w:tblGridChange w:id="0">
          <w:tblGrid>
            <w:gridCol w:w="3210"/>
            <w:gridCol w:w="687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Status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Required Action</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Green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action required. Continue standard monthly monitoring.</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Amber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monitoring: increase monitoring frequency for the affected metric(s) and notify the model owner. No business action required unless Amber status persists for 3+ consecutive months, in which case escalate to Model Risk Management for review. </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escalation: a formal monitoring report must be produced within 5 business days, presented to the Model Risk Committee, and a remediation plan with a defined timeline must be agreed upon. Continued model use pending remediation requires explicit Model Risk Committee sign-off with documented compensating controls. </w:t>
            </w:r>
          </w:p>
        </w:tc>
      </w:tr>
    </w:tbl>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1"/>
        <w:rPr>
          <w:rFonts w:ascii="Times New Roman" w:cs="Times New Roman" w:eastAsia="Times New Roman" w:hAnsi="Times New Roman"/>
          <w:b w:val="1"/>
          <w:bCs w:val="1"/>
        </w:rPr>
      </w:pPr>
      <w:bookmarkStart w:colFirst="0" w:colLast="0" w:name="_tsf9ottoobyx" w:id="16"/>
      <w:bookmarkEnd w:id="16"/>
      <w:r w:rsidDel="00000000" w:rsidR="00000000" w:rsidRPr="00000000">
        <w:rPr>
          <w:rFonts w:ascii="Times New Roman" w:cs="Times New Roman" w:eastAsia="Times New Roman" w:hAnsi="Times New Roman"/>
          <w:b w:val="1"/>
          <w:bCs w:val="1"/>
          <w:rtl w:val="0"/>
        </w:rPr>
        <w:t xml:space="preserve">5. A Note on Metric Limitations</w:t>
      </w:r>
    </w:p>
    <w:p w:rsidR="00000000" w:rsidDel="00000000" w:rsidP="00000000" w:rsidRDefault="00000000" w:rsidRPr="00000000" w14:paraId="000000A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single monitoring metric is sufficient on its own. In particular, PSI measures whether the SCORE DISTRIBUTION has shifted but says nothing about whether the relationship between scores and actual outcomes remains accurate. A model can show a perfectly stable score distribution (Green PSI) while its discriminatory power and calibration deteriorate substantially—these are different failure modes, and monitoring must track both independently rather than relying on population stability as a proxy for overall model health.</w:t>
      </w:r>
    </w:p>
    <w:p w:rsidR="00000000" w:rsidDel="00000000" w:rsidP="00000000" w:rsidRDefault="00000000" w:rsidRPr="00000000" w14:paraId="000000A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reason, this framework deliberately tracks PSI, Gini retention, and override rate as three independent metrics with independent thresholds, rather than collapsing them into a single composite score that could mask a deterioration in one dimension behind stability in another.</w:t>
      </w:r>
      <w:r w:rsidDel="00000000" w:rsidR="00000000" w:rsidRPr="00000000">
        <w:rPr>
          <w:rtl w:val="0"/>
        </w:rPr>
      </w:r>
    </w:p>
    <w:p w:rsidR="00000000" w:rsidDel="00000000" w:rsidP="00000000" w:rsidRDefault="00000000" w:rsidRPr="00000000" w14:paraId="000000A9">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0" w:firstLine="0"/>
        <w:rPr>
          <w:rFonts w:ascii="Times New Roman" w:cs="Times New Roman" w:eastAsia="Times New Roman" w:hAnsi="Times New Roman"/>
          <w:b w:val="1"/>
          <w:bCs w:val="1"/>
          <w:sz w:val="24"/>
          <w:szCs w:val="24"/>
        </w:rPr>
      </w:pPr>
      <w:r w:rsidDel="00000000" w:rsidR="00000000" w:rsidRPr="00000000">
        <w:rPr>
          <w:rtl w:val="0"/>
        </w:rPr>
      </w:r>
    </w:p>
    <w:sectPr>
      <w:headerReference r:id="rId6" w:type="default"/>
      <w:footerReference r:id="rId7" w:type="default"/>
      <w:footerReference r:id="rId8" w:type="first"/>
      <w:pgSz w:h="15840" w:w="12240" w:orient="portrait"/>
      <w:pgMar w:bottom="1080" w:top="108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Rohan Mukherjee                                            Model Risk Management                                                                  </w:t>
    </w:r>
    <w:r w:rsidDel="00000000" w:rsidR="00000000" w:rsidRPr="00000000">
      <w:rPr>
        <w:rFonts w:ascii="Times New Roman" w:cs="Times New Roman" w:eastAsia="Times New Roman" w:hAnsi="Times New Roman"/>
        <w:i w:val="1"/>
        <w:i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Ongoing Monitoring Framework</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