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1316" w14:textId="4C1117AD" w:rsidR="00D167E7" w:rsidRPr="002B75EC" w:rsidRDefault="00D167E7" w:rsidP="002B75EC">
      <w:pPr>
        <w:spacing w:line="480" w:lineRule="auto"/>
        <w:jc w:val="both"/>
        <w:rPr>
          <w:rFonts w:ascii="Times New Roman" w:hAnsi="Times New Roman" w:cs="Times New Roman"/>
          <w:b/>
          <w:bCs/>
          <w:sz w:val="24"/>
          <w:szCs w:val="24"/>
        </w:rPr>
      </w:pPr>
    </w:p>
    <w:p w14:paraId="46C612ED" w14:textId="37D0E816" w:rsidR="00F83178" w:rsidRPr="002B75EC" w:rsidRDefault="00F83178" w:rsidP="002B75EC">
      <w:pPr>
        <w:spacing w:line="480" w:lineRule="auto"/>
        <w:jc w:val="both"/>
        <w:rPr>
          <w:rFonts w:ascii="Times New Roman" w:hAnsi="Times New Roman" w:cs="Times New Roman"/>
          <w:b/>
          <w:bCs/>
          <w:sz w:val="24"/>
          <w:szCs w:val="24"/>
        </w:rPr>
      </w:pPr>
    </w:p>
    <w:p w14:paraId="64647399" w14:textId="7CB3AC17" w:rsidR="00F83178" w:rsidRPr="002B75EC" w:rsidRDefault="00F83178" w:rsidP="002B75EC">
      <w:pPr>
        <w:spacing w:line="480" w:lineRule="auto"/>
        <w:jc w:val="both"/>
        <w:rPr>
          <w:rFonts w:ascii="Times New Roman" w:hAnsi="Times New Roman" w:cs="Times New Roman"/>
          <w:b/>
          <w:bCs/>
          <w:sz w:val="24"/>
          <w:szCs w:val="24"/>
        </w:rPr>
      </w:pPr>
    </w:p>
    <w:p w14:paraId="13DDE3B2" w14:textId="5A4D39CD" w:rsidR="00F83178" w:rsidRDefault="00F83178" w:rsidP="002B75EC">
      <w:pPr>
        <w:spacing w:line="480" w:lineRule="auto"/>
        <w:jc w:val="both"/>
        <w:rPr>
          <w:rFonts w:ascii="Times New Roman" w:hAnsi="Times New Roman" w:cs="Times New Roman"/>
          <w:b/>
          <w:bCs/>
          <w:sz w:val="24"/>
          <w:szCs w:val="24"/>
        </w:rPr>
      </w:pPr>
    </w:p>
    <w:p w14:paraId="5FAF4C8E" w14:textId="6318D0AE" w:rsidR="00266164" w:rsidRDefault="00266164" w:rsidP="002B75EC">
      <w:pPr>
        <w:spacing w:line="480" w:lineRule="auto"/>
        <w:jc w:val="both"/>
        <w:rPr>
          <w:rFonts w:ascii="Times New Roman" w:hAnsi="Times New Roman" w:cs="Times New Roman"/>
          <w:b/>
          <w:bCs/>
          <w:sz w:val="24"/>
          <w:szCs w:val="24"/>
        </w:rPr>
      </w:pPr>
    </w:p>
    <w:p w14:paraId="4A0A8F08" w14:textId="121E0E5C" w:rsidR="00266164" w:rsidRDefault="00266164" w:rsidP="002B75EC">
      <w:pPr>
        <w:spacing w:line="480" w:lineRule="auto"/>
        <w:jc w:val="both"/>
        <w:rPr>
          <w:rFonts w:ascii="Times New Roman" w:hAnsi="Times New Roman" w:cs="Times New Roman"/>
          <w:b/>
          <w:bCs/>
          <w:sz w:val="24"/>
          <w:szCs w:val="24"/>
        </w:rPr>
      </w:pPr>
    </w:p>
    <w:p w14:paraId="26199AD8" w14:textId="77777777" w:rsidR="00266164" w:rsidRPr="002B75EC" w:rsidRDefault="00266164" w:rsidP="002B75EC">
      <w:pPr>
        <w:spacing w:line="480" w:lineRule="auto"/>
        <w:jc w:val="both"/>
        <w:rPr>
          <w:rFonts w:ascii="Times New Roman" w:hAnsi="Times New Roman" w:cs="Times New Roman"/>
          <w:b/>
          <w:bCs/>
          <w:sz w:val="24"/>
          <w:szCs w:val="24"/>
        </w:rPr>
      </w:pPr>
    </w:p>
    <w:p w14:paraId="1A0933C0" w14:textId="77777777" w:rsidR="00F83178" w:rsidRPr="002B75EC" w:rsidRDefault="00F83178" w:rsidP="002B75EC">
      <w:pPr>
        <w:spacing w:line="480" w:lineRule="auto"/>
        <w:jc w:val="both"/>
        <w:rPr>
          <w:rFonts w:ascii="Times New Roman" w:hAnsi="Times New Roman" w:cs="Times New Roman"/>
          <w:b/>
          <w:bCs/>
          <w:sz w:val="24"/>
          <w:szCs w:val="24"/>
        </w:rPr>
      </w:pPr>
    </w:p>
    <w:p w14:paraId="184FF874" w14:textId="77777777" w:rsidR="00D167E7" w:rsidRPr="002B75EC" w:rsidRDefault="00D167E7" w:rsidP="002B75EC">
      <w:pPr>
        <w:spacing w:line="480" w:lineRule="auto"/>
        <w:jc w:val="center"/>
        <w:rPr>
          <w:rFonts w:ascii="Times New Roman" w:hAnsi="Times New Roman" w:cs="Times New Roman"/>
          <w:b/>
          <w:bCs/>
          <w:sz w:val="48"/>
          <w:szCs w:val="48"/>
        </w:rPr>
      </w:pPr>
      <w:r w:rsidRPr="002B75EC">
        <w:rPr>
          <w:rFonts w:ascii="Times New Roman" w:hAnsi="Times New Roman" w:cs="Times New Roman"/>
          <w:b/>
          <w:bCs/>
          <w:sz w:val="48"/>
          <w:szCs w:val="48"/>
        </w:rPr>
        <w:t>“Contractual estoppel: a general overview.”</w:t>
      </w:r>
    </w:p>
    <w:p w14:paraId="4EFB3C3A" w14:textId="77777777" w:rsidR="00D167E7" w:rsidRPr="002B75EC" w:rsidRDefault="00D167E7" w:rsidP="002B75EC">
      <w:pPr>
        <w:spacing w:line="480" w:lineRule="auto"/>
        <w:jc w:val="both"/>
        <w:rPr>
          <w:rFonts w:ascii="Times New Roman" w:hAnsi="Times New Roman" w:cs="Times New Roman"/>
          <w:b/>
          <w:bCs/>
          <w:sz w:val="24"/>
          <w:szCs w:val="24"/>
        </w:rPr>
      </w:pPr>
    </w:p>
    <w:p w14:paraId="17425EDB" w14:textId="77777777" w:rsidR="00D167E7" w:rsidRPr="002B75EC" w:rsidRDefault="00D167E7" w:rsidP="002B75EC">
      <w:pPr>
        <w:spacing w:line="480" w:lineRule="auto"/>
        <w:jc w:val="both"/>
        <w:rPr>
          <w:rFonts w:ascii="Times New Roman" w:hAnsi="Times New Roman" w:cs="Times New Roman"/>
          <w:b/>
          <w:bCs/>
          <w:sz w:val="24"/>
          <w:szCs w:val="24"/>
        </w:rPr>
      </w:pPr>
    </w:p>
    <w:p w14:paraId="683DAC9B" w14:textId="77777777" w:rsidR="00D167E7" w:rsidRPr="002B75EC" w:rsidRDefault="00D167E7" w:rsidP="002B75EC">
      <w:pPr>
        <w:spacing w:line="480" w:lineRule="auto"/>
        <w:jc w:val="both"/>
        <w:rPr>
          <w:rFonts w:ascii="Times New Roman" w:hAnsi="Times New Roman" w:cs="Times New Roman"/>
          <w:b/>
          <w:bCs/>
          <w:sz w:val="24"/>
          <w:szCs w:val="24"/>
        </w:rPr>
      </w:pPr>
    </w:p>
    <w:p w14:paraId="2113A73A" w14:textId="77777777" w:rsidR="00D167E7" w:rsidRPr="002B75EC" w:rsidRDefault="00D167E7" w:rsidP="002B75EC">
      <w:pPr>
        <w:spacing w:line="480" w:lineRule="auto"/>
        <w:jc w:val="both"/>
        <w:rPr>
          <w:rFonts w:ascii="Times New Roman" w:hAnsi="Times New Roman" w:cs="Times New Roman"/>
          <w:b/>
          <w:bCs/>
          <w:sz w:val="24"/>
          <w:szCs w:val="24"/>
        </w:rPr>
      </w:pPr>
    </w:p>
    <w:p w14:paraId="0A032BA6" w14:textId="77777777" w:rsidR="00D167E7" w:rsidRPr="002B75EC" w:rsidRDefault="00D167E7" w:rsidP="002B75EC">
      <w:pPr>
        <w:spacing w:line="480" w:lineRule="auto"/>
        <w:jc w:val="both"/>
        <w:rPr>
          <w:rFonts w:ascii="Times New Roman" w:hAnsi="Times New Roman" w:cs="Times New Roman"/>
          <w:b/>
          <w:bCs/>
          <w:sz w:val="24"/>
          <w:szCs w:val="24"/>
        </w:rPr>
      </w:pPr>
    </w:p>
    <w:p w14:paraId="36AE2F09" w14:textId="77777777" w:rsidR="00D167E7" w:rsidRPr="002B75EC" w:rsidRDefault="00D167E7" w:rsidP="002B75EC">
      <w:pPr>
        <w:spacing w:line="480" w:lineRule="auto"/>
        <w:jc w:val="both"/>
        <w:rPr>
          <w:rFonts w:ascii="Times New Roman" w:hAnsi="Times New Roman" w:cs="Times New Roman"/>
          <w:b/>
          <w:bCs/>
          <w:sz w:val="24"/>
          <w:szCs w:val="24"/>
        </w:rPr>
      </w:pPr>
    </w:p>
    <w:p w14:paraId="534F3ACB" w14:textId="77777777" w:rsidR="00D167E7" w:rsidRPr="002B75EC" w:rsidRDefault="00D167E7" w:rsidP="002B75EC">
      <w:pPr>
        <w:spacing w:line="480" w:lineRule="auto"/>
        <w:jc w:val="both"/>
        <w:rPr>
          <w:rFonts w:ascii="Times New Roman" w:hAnsi="Times New Roman" w:cs="Times New Roman"/>
          <w:b/>
          <w:bCs/>
          <w:sz w:val="24"/>
          <w:szCs w:val="24"/>
        </w:rPr>
      </w:pPr>
    </w:p>
    <w:p w14:paraId="218F6560" w14:textId="77777777" w:rsidR="00D167E7" w:rsidRPr="002B75EC" w:rsidRDefault="00D167E7" w:rsidP="002B75EC">
      <w:pPr>
        <w:spacing w:line="480" w:lineRule="auto"/>
        <w:jc w:val="both"/>
        <w:rPr>
          <w:rFonts w:ascii="Times New Roman" w:hAnsi="Times New Roman" w:cs="Times New Roman"/>
          <w:b/>
          <w:bCs/>
          <w:sz w:val="24"/>
          <w:szCs w:val="24"/>
        </w:rPr>
      </w:pPr>
    </w:p>
    <w:p w14:paraId="1530CF5F" w14:textId="77777777" w:rsidR="00D167E7" w:rsidRPr="002B75EC" w:rsidRDefault="00D167E7" w:rsidP="002B75EC">
      <w:pPr>
        <w:spacing w:line="480" w:lineRule="auto"/>
        <w:jc w:val="both"/>
        <w:rPr>
          <w:rFonts w:ascii="Times New Roman" w:hAnsi="Times New Roman" w:cs="Times New Roman"/>
          <w:b/>
          <w:bCs/>
          <w:sz w:val="24"/>
          <w:szCs w:val="24"/>
        </w:rPr>
      </w:pPr>
    </w:p>
    <w:p w14:paraId="1AFDF090" w14:textId="77777777" w:rsidR="00D167E7" w:rsidRPr="002B75EC" w:rsidRDefault="00D167E7" w:rsidP="002B75EC">
      <w:pPr>
        <w:spacing w:line="480" w:lineRule="auto"/>
        <w:jc w:val="both"/>
        <w:rPr>
          <w:rFonts w:ascii="Times New Roman" w:hAnsi="Times New Roman" w:cs="Times New Roman"/>
          <w:b/>
          <w:bCs/>
          <w:sz w:val="24"/>
          <w:szCs w:val="24"/>
        </w:rPr>
      </w:pPr>
    </w:p>
    <w:p w14:paraId="1B029490" w14:textId="058FE74D" w:rsidR="00D167E7" w:rsidRDefault="00D167E7" w:rsidP="002B75EC">
      <w:pPr>
        <w:spacing w:line="480" w:lineRule="auto"/>
        <w:jc w:val="center"/>
        <w:rPr>
          <w:rFonts w:ascii="Times New Roman" w:hAnsi="Times New Roman" w:cs="Times New Roman"/>
          <w:b/>
          <w:bCs/>
          <w:sz w:val="24"/>
          <w:szCs w:val="24"/>
        </w:rPr>
      </w:pPr>
      <w:r w:rsidRPr="002B75EC">
        <w:rPr>
          <w:rFonts w:ascii="Times New Roman" w:hAnsi="Times New Roman" w:cs="Times New Roman"/>
          <w:b/>
          <w:bCs/>
          <w:sz w:val="24"/>
          <w:szCs w:val="24"/>
        </w:rPr>
        <w:lastRenderedPageBreak/>
        <w:t>Table of Contents:</w:t>
      </w:r>
    </w:p>
    <w:p w14:paraId="7CA92047" w14:textId="77777777" w:rsidR="002B75EC" w:rsidRPr="002B75EC" w:rsidRDefault="002B75EC" w:rsidP="002B75EC">
      <w:pPr>
        <w:spacing w:line="480" w:lineRule="auto"/>
        <w:jc w:val="center"/>
        <w:rPr>
          <w:rFonts w:ascii="Times New Roman" w:hAnsi="Times New Roman" w:cs="Times New Roman"/>
          <w:b/>
          <w:bCs/>
          <w:sz w:val="24"/>
          <w:szCs w:val="24"/>
        </w:rPr>
      </w:pPr>
    </w:p>
    <w:p w14:paraId="4D0A2065" w14:textId="6465A82C" w:rsidR="00D167E7" w:rsidRPr="002B75EC" w:rsidRDefault="00D167E7" w:rsidP="002B75EC">
      <w:pPr>
        <w:pStyle w:val="ListParagraph"/>
        <w:numPr>
          <w:ilvl w:val="0"/>
          <w:numId w:val="1"/>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Abstract…………………………………………………………</w:t>
      </w:r>
      <w:r w:rsidR="00AE51A0">
        <w:rPr>
          <w:rFonts w:ascii="Times New Roman" w:hAnsi="Times New Roman" w:cs="Times New Roman"/>
          <w:sz w:val="24"/>
          <w:szCs w:val="24"/>
        </w:rPr>
        <w:t>…………</w:t>
      </w:r>
      <w:bookmarkStart w:id="0" w:name="_GoBack"/>
      <w:bookmarkEnd w:id="0"/>
      <w:r w:rsidRPr="002B75EC">
        <w:rPr>
          <w:rFonts w:ascii="Times New Roman" w:hAnsi="Times New Roman" w:cs="Times New Roman"/>
          <w:sz w:val="24"/>
          <w:szCs w:val="24"/>
        </w:rPr>
        <w:t>(Page-3</w:t>
      </w:r>
      <w:r w:rsidR="00DA3A93">
        <w:rPr>
          <w:rFonts w:ascii="Times New Roman" w:hAnsi="Times New Roman" w:cs="Times New Roman"/>
          <w:sz w:val="24"/>
          <w:szCs w:val="24"/>
        </w:rPr>
        <w:t xml:space="preserve"> to 4</w:t>
      </w:r>
      <w:r w:rsidRPr="002B75EC">
        <w:rPr>
          <w:rFonts w:ascii="Times New Roman" w:hAnsi="Times New Roman" w:cs="Times New Roman"/>
          <w:sz w:val="24"/>
          <w:szCs w:val="24"/>
        </w:rPr>
        <w:t>)</w:t>
      </w:r>
    </w:p>
    <w:p w14:paraId="1889927E" w14:textId="343A3B65" w:rsidR="00D167E7" w:rsidRPr="002B75EC" w:rsidRDefault="00D167E7" w:rsidP="002B75EC">
      <w:pPr>
        <w:pStyle w:val="ListParagraph"/>
        <w:numPr>
          <w:ilvl w:val="0"/>
          <w:numId w:val="1"/>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Chapter One: Introduction to Contractual Estoppel……………</w:t>
      </w:r>
      <w:r w:rsidR="00AE51A0">
        <w:rPr>
          <w:rFonts w:ascii="Times New Roman" w:hAnsi="Times New Roman" w:cs="Times New Roman"/>
          <w:sz w:val="24"/>
          <w:szCs w:val="24"/>
        </w:rPr>
        <w:t>………</w:t>
      </w:r>
      <w:proofErr w:type="gramStart"/>
      <w:r w:rsidR="00AE51A0">
        <w:rPr>
          <w:rFonts w:ascii="Times New Roman" w:hAnsi="Times New Roman" w:cs="Times New Roman"/>
          <w:sz w:val="24"/>
          <w:szCs w:val="24"/>
        </w:rPr>
        <w:t>…</w:t>
      </w:r>
      <w:r w:rsidRPr="002B75EC">
        <w:rPr>
          <w:rFonts w:ascii="Times New Roman" w:hAnsi="Times New Roman" w:cs="Times New Roman"/>
          <w:sz w:val="24"/>
          <w:szCs w:val="24"/>
        </w:rPr>
        <w:t>(</w:t>
      </w:r>
      <w:proofErr w:type="gramEnd"/>
      <w:r w:rsidRPr="002B75EC">
        <w:rPr>
          <w:rFonts w:ascii="Times New Roman" w:hAnsi="Times New Roman" w:cs="Times New Roman"/>
          <w:sz w:val="24"/>
          <w:szCs w:val="24"/>
        </w:rPr>
        <w:t>Page-</w:t>
      </w:r>
      <w:r w:rsidR="005B1474">
        <w:rPr>
          <w:rFonts w:ascii="Times New Roman" w:hAnsi="Times New Roman" w:cs="Times New Roman"/>
          <w:sz w:val="24"/>
          <w:szCs w:val="24"/>
        </w:rPr>
        <w:t>5</w:t>
      </w:r>
      <w:r w:rsidR="00DA3A93">
        <w:rPr>
          <w:rFonts w:ascii="Times New Roman" w:hAnsi="Times New Roman" w:cs="Times New Roman"/>
          <w:sz w:val="24"/>
          <w:szCs w:val="24"/>
        </w:rPr>
        <w:t xml:space="preserve"> to 9</w:t>
      </w:r>
      <w:r w:rsidRPr="002B75EC">
        <w:rPr>
          <w:rFonts w:ascii="Times New Roman" w:hAnsi="Times New Roman" w:cs="Times New Roman"/>
          <w:sz w:val="24"/>
          <w:szCs w:val="24"/>
        </w:rPr>
        <w:t>)</w:t>
      </w:r>
    </w:p>
    <w:p w14:paraId="70C5B068" w14:textId="77777777" w:rsidR="00D167E7" w:rsidRPr="002B75EC" w:rsidRDefault="00D167E7" w:rsidP="002B75EC">
      <w:pPr>
        <w:pStyle w:val="ListParagraph"/>
        <w:numPr>
          <w:ilvl w:val="0"/>
          <w:numId w:val="2"/>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Introduction</w:t>
      </w:r>
    </w:p>
    <w:p w14:paraId="6B0D6E4E" w14:textId="77777777" w:rsidR="00D167E7" w:rsidRPr="002B75EC" w:rsidRDefault="00D167E7" w:rsidP="002B75EC">
      <w:pPr>
        <w:pStyle w:val="ListParagraph"/>
        <w:numPr>
          <w:ilvl w:val="0"/>
          <w:numId w:val="2"/>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History behind contractual estoppel</w:t>
      </w:r>
    </w:p>
    <w:p w14:paraId="7D4D8F28" w14:textId="3E5B93BC" w:rsidR="00D167E7" w:rsidRPr="002B75EC" w:rsidRDefault="00D167E7" w:rsidP="002B75EC">
      <w:pPr>
        <w:pStyle w:val="ListParagraph"/>
        <w:numPr>
          <w:ilvl w:val="0"/>
          <w:numId w:val="1"/>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Chapter Two: Development of Contractual Estoppel: </w:t>
      </w:r>
      <w:r w:rsidR="002B75EC">
        <w:rPr>
          <w:rFonts w:ascii="Times New Roman" w:hAnsi="Times New Roman" w:cs="Times New Roman"/>
          <w:sz w:val="24"/>
          <w:szCs w:val="24"/>
        </w:rPr>
        <w:t>pivotal cases</w:t>
      </w:r>
      <w:r w:rsidR="00AE51A0">
        <w:rPr>
          <w:rFonts w:ascii="Times New Roman" w:hAnsi="Times New Roman" w:cs="Times New Roman"/>
          <w:sz w:val="24"/>
          <w:szCs w:val="24"/>
        </w:rPr>
        <w:t>……</w:t>
      </w:r>
      <w:r w:rsidRPr="002B75EC">
        <w:rPr>
          <w:rFonts w:ascii="Times New Roman" w:hAnsi="Times New Roman" w:cs="Times New Roman"/>
          <w:sz w:val="24"/>
          <w:szCs w:val="24"/>
        </w:rPr>
        <w:t xml:space="preserve"> (Page-</w:t>
      </w:r>
      <w:r w:rsidR="00527996">
        <w:rPr>
          <w:rFonts w:ascii="Times New Roman" w:hAnsi="Times New Roman" w:cs="Times New Roman"/>
          <w:sz w:val="24"/>
          <w:szCs w:val="24"/>
        </w:rPr>
        <w:t>10 to 16</w:t>
      </w:r>
      <w:r w:rsidRPr="002B75EC">
        <w:rPr>
          <w:rFonts w:ascii="Times New Roman" w:hAnsi="Times New Roman" w:cs="Times New Roman"/>
          <w:sz w:val="24"/>
          <w:szCs w:val="24"/>
        </w:rPr>
        <w:t>)</w:t>
      </w:r>
    </w:p>
    <w:p w14:paraId="2379F63B" w14:textId="77777777" w:rsidR="00D167E7" w:rsidRPr="002B75EC" w:rsidRDefault="00D167E7" w:rsidP="002B75EC">
      <w:pPr>
        <w:pStyle w:val="ListParagraph"/>
        <w:numPr>
          <w:ilvl w:val="0"/>
          <w:numId w:val="3"/>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Chapter overview</w:t>
      </w:r>
    </w:p>
    <w:p w14:paraId="18E80349" w14:textId="77777777" w:rsidR="00D167E7" w:rsidRPr="002B75EC" w:rsidRDefault="00D167E7" w:rsidP="002B75EC">
      <w:pPr>
        <w:pStyle w:val="ListParagraph"/>
        <w:numPr>
          <w:ilvl w:val="0"/>
          <w:numId w:val="3"/>
        </w:numPr>
        <w:spacing w:line="480" w:lineRule="auto"/>
        <w:jc w:val="both"/>
        <w:rPr>
          <w:rFonts w:ascii="Times New Roman" w:hAnsi="Times New Roman" w:cs="Times New Roman"/>
          <w:sz w:val="24"/>
          <w:szCs w:val="24"/>
        </w:rPr>
      </w:pPr>
      <w:bookmarkStart w:id="1" w:name="_Hlk523150953"/>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proofErr w:type="spellStart"/>
      <w:r w:rsidRPr="002B75EC">
        <w:rPr>
          <w:rFonts w:ascii="Times New Roman" w:hAnsi="Times New Roman" w:cs="Times New Roman"/>
          <w:i/>
          <w:iCs/>
          <w:sz w:val="24"/>
          <w:szCs w:val="24"/>
        </w:rPr>
        <w:t>Intermark</w:t>
      </w:r>
      <w:proofErr w:type="spellEnd"/>
      <w:r w:rsidRPr="002B75EC">
        <w:rPr>
          <w:rFonts w:ascii="Times New Roman" w:hAnsi="Times New Roman" w:cs="Times New Roman"/>
          <w:i/>
          <w:iCs/>
          <w:sz w:val="24"/>
          <w:szCs w:val="24"/>
        </w:rPr>
        <w:t xml:space="preserve"> v Australia and New Zealand Banking Group </w:t>
      </w:r>
      <w:r w:rsidRPr="002B75EC">
        <w:rPr>
          <w:rFonts w:ascii="Times New Roman" w:hAnsi="Times New Roman" w:cs="Times New Roman"/>
          <w:sz w:val="24"/>
          <w:szCs w:val="24"/>
        </w:rPr>
        <w:t xml:space="preserve">[2006] EWCA </w:t>
      </w:r>
      <w:proofErr w:type="spellStart"/>
      <w:r w:rsidRPr="002B75EC">
        <w:rPr>
          <w:rFonts w:ascii="Times New Roman" w:hAnsi="Times New Roman" w:cs="Times New Roman"/>
          <w:sz w:val="24"/>
          <w:szCs w:val="24"/>
        </w:rPr>
        <w:t>Civ</w:t>
      </w:r>
      <w:proofErr w:type="spellEnd"/>
      <w:r w:rsidRPr="002B75EC">
        <w:rPr>
          <w:rFonts w:ascii="Times New Roman" w:hAnsi="Times New Roman" w:cs="Times New Roman"/>
          <w:sz w:val="24"/>
          <w:szCs w:val="24"/>
        </w:rPr>
        <w:t xml:space="preserve"> 386</w:t>
      </w:r>
    </w:p>
    <w:p w14:paraId="17D2D6CC" w14:textId="77777777" w:rsidR="00D167E7" w:rsidRPr="002B75EC" w:rsidRDefault="00D167E7" w:rsidP="002B75EC">
      <w:pPr>
        <w:pStyle w:val="ListParagraph"/>
        <w:numPr>
          <w:ilvl w:val="0"/>
          <w:numId w:val="3"/>
        </w:numPr>
        <w:spacing w:line="480" w:lineRule="auto"/>
        <w:jc w:val="both"/>
        <w:rPr>
          <w:rStyle w:val="Emphasis"/>
          <w:rFonts w:ascii="Times New Roman" w:hAnsi="Times New Roman" w:cs="Times New Roman"/>
          <w:i w:val="0"/>
          <w:iCs w:val="0"/>
          <w:sz w:val="24"/>
          <w:szCs w:val="24"/>
        </w:rPr>
      </w:pPr>
      <w:bookmarkStart w:id="2" w:name="_Hlk523150966"/>
      <w:bookmarkEnd w:id="1"/>
      <w:r w:rsidRPr="00E04D1D">
        <w:rPr>
          <w:rStyle w:val="Emphasis"/>
          <w:rFonts w:ascii="Times New Roman" w:hAnsi="Times New Roman" w:cs="Times New Roman"/>
          <w:color w:val="000000"/>
          <w:sz w:val="24"/>
          <w:szCs w:val="24"/>
          <w:shd w:val="clear" w:color="auto" w:fill="FFFFFF"/>
        </w:rPr>
        <w:t>JP Morgan Chase v Springwell Navigation Corporation</w:t>
      </w:r>
      <w:r w:rsidRPr="002B75EC">
        <w:rPr>
          <w:rStyle w:val="Emphasis"/>
          <w:rFonts w:ascii="Times New Roman" w:hAnsi="Times New Roman" w:cs="Times New Roman"/>
          <w:i w:val="0"/>
          <w:iCs w:val="0"/>
          <w:color w:val="000000"/>
          <w:sz w:val="24"/>
          <w:szCs w:val="24"/>
          <w:shd w:val="clear" w:color="auto" w:fill="FFFFFF"/>
        </w:rPr>
        <w:t xml:space="preserve"> [2010] 2 CLC 705</w:t>
      </w:r>
    </w:p>
    <w:p w14:paraId="0E870A55" w14:textId="77777777" w:rsidR="00D167E7" w:rsidRPr="002B75EC" w:rsidRDefault="00D167E7" w:rsidP="002B75EC">
      <w:pPr>
        <w:pStyle w:val="ListParagraph"/>
        <w:numPr>
          <w:ilvl w:val="0"/>
          <w:numId w:val="3"/>
        </w:numPr>
        <w:spacing w:line="480" w:lineRule="auto"/>
        <w:jc w:val="both"/>
        <w:rPr>
          <w:rFonts w:ascii="Times New Roman" w:hAnsi="Times New Roman" w:cs="Times New Roman"/>
          <w:sz w:val="24"/>
          <w:szCs w:val="24"/>
        </w:rPr>
      </w:pPr>
      <w:bookmarkStart w:id="3" w:name="_Hlk523150975"/>
      <w:bookmarkEnd w:id="2"/>
      <w:r w:rsidRPr="00E04D1D">
        <w:rPr>
          <w:rFonts w:ascii="Times New Roman" w:hAnsi="Times New Roman" w:cs="Times New Roman"/>
          <w:i/>
          <w:iCs/>
          <w:sz w:val="24"/>
          <w:szCs w:val="24"/>
        </w:rPr>
        <w:t xml:space="preserve">Prime Sight Ltd v </w:t>
      </w:r>
      <w:proofErr w:type="spellStart"/>
      <w:r w:rsidRPr="00E04D1D">
        <w:rPr>
          <w:rFonts w:ascii="Times New Roman" w:hAnsi="Times New Roman" w:cs="Times New Roman"/>
          <w:i/>
          <w:iCs/>
          <w:sz w:val="24"/>
          <w:szCs w:val="24"/>
        </w:rPr>
        <w:t>Lavarello</w:t>
      </w:r>
      <w:proofErr w:type="spellEnd"/>
      <w:r w:rsidRPr="002B75EC">
        <w:rPr>
          <w:rFonts w:ascii="Times New Roman" w:hAnsi="Times New Roman" w:cs="Times New Roman"/>
          <w:sz w:val="24"/>
          <w:szCs w:val="24"/>
        </w:rPr>
        <w:t xml:space="preserve"> [2013] WLR 514</w:t>
      </w:r>
    </w:p>
    <w:bookmarkEnd w:id="3"/>
    <w:p w14:paraId="6DA41786" w14:textId="1C84F456" w:rsidR="00D167E7" w:rsidRPr="002B75EC" w:rsidRDefault="00D167E7" w:rsidP="002B75EC">
      <w:pPr>
        <w:pStyle w:val="ListParagraph"/>
        <w:numPr>
          <w:ilvl w:val="0"/>
          <w:numId w:val="1"/>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Chapter Three: Contractual Estoppel: its General Features…………</w:t>
      </w:r>
      <w:r w:rsidR="00AE51A0">
        <w:rPr>
          <w:rFonts w:ascii="Times New Roman" w:hAnsi="Times New Roman" w:cs="Times New Roman"/>
          <w:sz w:val="24"/>
          <w:szCs w:val="24"/>
        </w:rPr>
        <w:t>….</w:t>
      </w:r>
      <w:r w:rsidR="00AE51A0" w:rsidRPr="002B75EC">
        <w:rPr>
          <w:rFonts w:ascii="Times New Roman" w:hAnsi="Times New Roman" w:cs="Times New Roman"/>
          <w:sz w:val="24"/>
          <w:szCs w:val="24"/>
        </w:rPr>
        <w:t xml:space="preserve"> (</w:t>
      </w:r>
      <w:r w:rsidRPr="002B75EC">
        <w:rPr>
          <w:rFonts w:ascii="Times New Roman" w:hAnsi="Times New Roman" w:cs="Times New Roman"/>
          <w:sz w:val="24"/>
          <w:szCs w:val="24"/>
        </w:rPr>
        <w:t>Page-1</w:t>
      </w:r>
      <w:r w:rsidR="006737DA">
        <w:rPr>
          <w:rFonts w:ascii="Times New Roman" w:hAnsi="Times New Roman" w:cs="Times New Roman"/>
          <w:sz w:val="24"/>
          <w:szCs w:val="24"/>
        </w:rPr>
        <w:t>7 to 22</w:t>
      </w:r>
      <w:r w:rsidRPr="002B75EC">
        <w:rPr>
          <w:rFonts w:ascii="Times New Roman" w:hAnsi="Times New Roman" w:cs="Times New Roman"/>
          <w:sz w:val="24"/>
          <w:szCs w:val="24"/>
        </w:rPr>
        <w:t>)</w:t>
      </w:r>
    </w:p>
    <w:p w14:paraId="4B2755CE" w14:textId="00DB4EC0" w:rsidR="00D167E7" w:rsidRPr="002B75EC" w:rsidRDefault="00D167E7" w:rsidP="002B75EC">
      <w:pPr>
        <w:pStyle w:val="ListParagraph"/>
        <w:numPr>
          <w:ilvl w:val="0"/>
          <w:numId w:val="1"/>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Chapter Four: Contractual Estoppel: is it really an estoppel?.............</w:t>
      </w:r>
      <w:r w:rsidR="00AE51A0">
        <w:rPr>
          <w:rFonts w:ascii="Times New Roman" w:hAnsi="Times New Roman" w:cs="Times New Roman"/>
          <w:sz w:val="24"/>
          <w:szCs w:val="24"/>
        </w:rPr>
        <w:t>....</w:t>
      </w:r>
      <w:r w:rsidRPr="002B75EC">
        <w:rPr>
          <w:rFonts w:ascii="Times New Roman" w:hAnsi="Times New Roman" w:cs="Times New Roman"/>
          <w:sz w:val="24"/>
          <w:szCs w:val="24"/>
        </w:rPr>
        <w:t>.(Page-</w:t>
      </w:r>
      <w:r w:rsidR="006737DA">
        <w:rPr>
          <w:rFonts w:ascii="Times New Roman" w:hAnsi="Times New Roman" w:cs="Times New Roman"/>
          <w:sz w:val="24"/>
          <w:szCs w:val="24"/>
        </w:rPr>
        <w:t>23 to 27</w:t>
      </w:r>
      <w:r w:rsidRPr="002B75EC">
        <w:rPr>
          <w:rFonts w:ascii="Times New Roman" w:hAnsi="Times New Roman" w:cs="Times New Roman"/>
          <w:sz w:val="24"/>
          <w:szCs w:val="24"/>
        </w:rPr>
        <w:t>)</w:t>
      </w:r>
    </w:p>
    <w:p w14:paraId="3F13AFDB" w14:textId="39050DCF" w:rsidR="00D167E7" w:rsidRPr="002B75EC" w:rsidRDefault="00D167E7" w:rsidP="002B75EC">
      <w:pPr>
        <w:pStyle w:val="ListParagraph"/>
        <w:numPr>
          <w:ilvl w:val="0"/>
          <w:numId w:val="1"/>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Chapter Five: The Implication of Contractual Estoppel……………...</w:t>
      </w:r>
      <w:r w:rsidR="00AE51A0">
        <w:rPr>
          <w:rFonts w:ascii="Times New Roman" w:hAnsi="Times New Roman" w:cs="Times New Roman"/>
          <w:sz w:val="24"/>
          <w:szCs w:val="24"/>
        </w:rPr>
        <w:t>....</w:t>
      </w:r>
      <w:r w:rsidRPr="002B75EC">
        <w:rPr>
          <w:rFonts w:ascii="Times New Roman" w:hAnsi="Times New Roman" w:cs="Times New Roman"/>
          <w:sz w:val="24"/>
          <w:szCs w:val="24"/>
        </w:rPr>
        <w:t>(Page</w:t>
      </w:r>
      <w:r w:rsidR="006737DA">
        <w:rPr>
          <w:rFonts w:ascii="Times New Roman" w:hAnsi="Times New Roman" w:cs="Times New Roman"/>
          <w:sz w:val="24"/>
          <w:szCs w:val="24"/>
        </w:rPr>
        <w:t>-28 to 33)</w:t>
      </w:r>
    </w:p>
    <w:p w14:paraId="714E2D3D" w14:textId="5643BED9" w:rsidR="00D167E7" w:rsidRPr="002B75EC" w:rsidRDefault="00D167E7" w:rsidP="002B75EC">
      <w:pPr>
        <w:pStyle w:val="ListParagraph"/>
        <w:numPr>
          <w:ilvl w:val="0"/>
          <w:numId w:val="1"/>
        </w:num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Conclusion……………………………………………………………</w:t>
      </w:r>
      <w:r w:rsidR="00AE51A0">
        <w:rPr>
          <w:rFonts w:ascii="Times New Roman" w:hAnsi="Times New Roman" w:cs="Times New Roman"/>
          <w:sz w:val="24"/>
          <w:szCs w:val="24"/>
        </w:rPr>
        <w:t xml:space="preserve">... </w:t>
      </w:r>
      <w:r w:rsidRPr="002B75EC">
        <w:rPr>
          <w:rFonts w:ascii="Times New Roman" w:hAnsi="Times New Roman" w:cs="Times New Roman"/>
          <w:sz w:val="24"/>
          <w:szCs w:val="24"/>
        </w:rPr>
        <w:t>(Page</w:t>
      </w:r>
      <w:r w:rsidR="006737DA">
        <w:rPr>
          <w:rFonts w:ascii="Times New Roman" w:hAnsi="Times New Roman" w:cs="Times New Roman"/>
          <w:sz w:val="24"/>
          <w:szCs w:val="24"/>
        </w:rPr>
        <w:t>-33</w:t>
      </w:r>
      <w:r w:rsidR="00AE51A0">
        <w:rPr>
          <w:rFonts w:ascii="Times New Roman" w:hAnsi="Times New Roman" w:cs="Times New Roman"/>
          <w:sz w:val="24"/>
          <w:szCs w:val="24"/>
        </w:rPr>
        <w:t xml:space="preserve"> </w:t>
      </w:r>
      <w:r w:rsidR="006737DA">
        <w:rPr>
          <w:rFonts w:ascii="Times New Roman" w:hAnsi="Times New Roman" w:cs="Times New Roman"/>
          <w:sz w:val="24"/>
          <w:szCs w:val="24"/>
        </w:rPr>
        <w:t>to 34)</w:t>
      </w:r>
    </w:p>
    <w:p w14:paraId="5F2A5E57" w14:textId="77777777" w:rsidR="00D167E7" w:rsidRPr="002B75EC" w:rsidRDefault="00D167E7" w:rsidP="002B75EC">
      <w:pPr>
        <w:spacing w:line="480" w:lineRule="auto"/>
        <w:jc w:val="both"/>
        <w:rPr>
          <w:rFonts w:ascii="Times New Roman" w:hAnsi="Times New Roman" w:cs="Times New Roman"/>
          <w:sz w:val="24"/>
          <w:szCs w:val="24"/>
        </w:rPr>
      </w:pPr>
    </w:p>
    <w:p w14:paraId="77722012" w14:textId="77777777" w:rsidR="00D167E7" w:rsidRPr="002B75EC" w:rsidRDefault="00D167E7" w:rsidP="002B75EC">
      <w:pPr>
        <w:spacing w:line="480" w:lineRule="auto"/>
        <w:jc w:val="both"/>
        <w:rPr>
          <w:rFonts w:ascii="Times New Roman" w:hAnsi="Times New Roman" w:cs="Times New Roman"/>
          <w:sz w:val="24"/>
          <w:szCs w:val="24"/>
        </w:rPr>
      </w:pPr>
    </w:p>
    <w:p w14:paraId="70454507" w14:textId="77777777" w:rsidR="00D167E7" w:rsidRPr="002B75EC" w:rsidRDefault="00D167E7" w:rsidP="002B75EC">
      <w:pPr>
        <w:spacing w:line="480" w:lineRule="auto"/>
        <w:jc w:val="both"/>
        <w:rPr>
          <w:rFonts w:ascii="Times New Roman" w:hAnsi="Times New Roman" w:cs="Times New Roman"/>
          <w:sz w:val="24"/>
          <w:szCs w:val="24"/>
        </w:rPr>
      </w:pPr>
    </w:p>
    <w:p w14:paraId="2C760C5D" w14:textId="77777777" w:rsidR="00D167E7" w:rsidRPr="002B75EC" w:rsidRDefault="00D167E7" w:rsidP="002B75EC">
      <w:pPr>
        <w:spacing w:line="480" w:lineRule="auto"/>
        <w:jc w:val="both"/>
        <w:rPr>
          <w:rFonts w:ascii="Times New Roman" w:hAnsi="Times New Roman" w:cs="Times New Roman"/>
          <w:sz w:val="24"/>
          <w:szCs w:val="24"/>
        </w:rPr>
      </w:pPr>
    </w:p>
    <w:p w14:paraId="47C51823" w14:textId="77777777" w:rsidR="00D167E7" w:rsidRPr="002B75EC" w:rsidRDefault="00D167E7" w:rsidP="002B75EC">
      <w:pPr>
        <w:spacing w:line="480" w:lineRule="auto"/>
        <w:jc w:val="both"/>
        <w:rPr>
          <w:rFonts w:ascii="Times New Roman" w:hAnsi="Times New Roman" w:cs="Times New Roman"/>
          <w:sz w:val="24"/>
          <w:szCs w:val="24"/>
        </w:rPr>
      </w:pPr>
    </w:p>
    <w:p w14:paraId="6F3BD413" w14:textId="77777777" w:rsidR="00D167E7" w:rsidRPr="002B75EC" w:rsidRDefault="00D167E7" w:rsidP="002B75EC">
      <w:pPr>
        <w:spacing w:line="480" w:lineRule="auto"/>
        <w:jc w:val="both"/>
        <w:rPr>
          <w:rFonts w:ascii="Times New Roman" w:hAnsi="Times New Roman" w:cs="Times New Roman"/>
          <w:sz w:val="24"/>
          <w:szCs w:val="24"/>
        </w:rPr>
      </w:pPr>
    </w:p>
    <w:p w14:paraId="5C72A1A9" w14:textId="77777777" w:rsidR="006E7A02" w:rsidRDefault="006E7A02" w:rsidP="002B75EC">
      <w:pPr>
        <w:spacing w:line="480" w:lineRule="auto"/>
        <w:jc w:val="both"/>
        <w:rPr>
          <w:rFonts w:ascii="Times New Roman" w:hAnsi="Times New Roman" w:cs="Times New Roman"/>
          <w:sz w:val="24"/>
          <w:szCs w:val="24"/>
        </w:rPr>
      </w:pPr>
    </w:p>
    <w:p w14:paraId="0221AE63" w14:textId="640CDC77" w:rsidR="00D167E7" w:rsidRPr="002B75EC" w:rsidRDefault="00D167E7" w:rsidP="006E7A02">
      <w:pPr>
        <w:spacing w:line="480" w:lineRule="auto"/>
        <w:jc w:val="center"/>
        <w:rPr>
          <w:rFonts w:ascii="Times New Roman" w:hAnsi="Times New Roman" w:cs="Times New Roman"/>
          <w:b/>
          <w:bCs/>
          <w:sz w:val="24"/>
          <w:szCs w:val="24"/>
          <w:u w:val="single"/>
        </w:rPr>
      </w:pPr>
      <w:r w:rsidRPr="002B75EC">
        <w:rPr>
          <w:rFonts w:ascii="Times New Roman" w:hAnsi="Times New Roman" w:cs="Times New Roman"/>
          <w:b/>
          <w:bCs/>
          <w:sz w:val="24"/>
          <w:szCs w:val="24"/>
          <w:u w:val="single"/>
        </w:rPr>
        <w:lastRenderedPageBreak/>
        <w:t>Abstract</w:t>
      </w:r>
    </w:p>
    <w:p w14:paraId="612BB147" w14:textId="77777777" w:rsidR="00D167E7" w:rsidRPr="002B75EC" w:rsidRDefault="00D167E7" w:rsidP="002B75EC">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The origin of estoppel lies with the mediaeval common law estoppel in </w:t>
      </w:r>
      <w:proofErr w:type="spellStart"/>
      <w:r w:rsidRPr="002B75EC">
        <w:rPr>
          <w:rFonts w:ascii="Times New Roman" w:hAnsi="Times New Roman" w:cs="Times New Roman"/>
          <w:i/>
          <w:iCs/>
          <w:sz w:val="24"/>
          <w:szCs w:val="24"/>
        </w:rPr>
        <w:t>Pais</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However, most development of modern estoppel has occurred since the law of equity has developed. Consequently, various forms of estoppel have developed in both the courts of law and equity. However, most development the law of estoppel has received is through equitable doctrines. Historical origins of different estoppel are of little practical relevance today. It is time to consider each estoppel individually because each has slightly different requirements. Since its development there was a need for uniformity and merging different categories of estoppel into one overarching rule. Although many attempts have been made to formulate a unified theory of estoppel with a single set of requirements, these have been unsuccessful. In 21</w:t>
      </w:r>
      <w:r w:rsidRPr="002B75EC">
        <w:rPr>
          <w:rFonts w:ascii="Times New Roman" w:hAnsi="Times New Roman" w:cs="Times New Roman"/>
          <w:sz w:val="24"/>
          <w:szCs w:val="24"/>
          <w:vertAlign w:val="superscript"/>
        </w:rPr>
        <w:t>st</w:t>
      </w:r>
      <w:r w:rsidRPr="002B75EC">
        <w:rPr>
          <w:rFonts w:ascii="Times New Roman" w:hAnsi="Times New Roman" w:cs="Times New Roman"/>
          <w:sz w:val="24"/>
          <w:szCs w:val="24"/>
        </w:rPr>
        <w:t xml:space="preserve"> century courts have increased its attention to the law of estoppel since a new category of estoppel has developed, known as contractual estoppel or estoppel by contract. This is the only category of estoppel entirely developed in law, going beyond the traditional estoppel developed from equity. The modern contractual estoppel has made its first appearance in famous case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proofErr w:type="spellStart"/>
      <w:r w:rsidRPr="002B75EC">
        <w:rPr>
          <w:rFonts w:ascii="Times New Roman" w:hAnsi="Times New Roman" w:cs="Times New Roman"/>
          <w:i/>
          <w:iCs/>
          <w:sz w:val="24"/>
          <w:szCs w:val="24"/>
        </w:rPr>
        <w:t>Intermark</w:t>
      </w:r>
      <w:proofErr w:type="spellEnd"/>
      <w:r w:rsidRPr="002B75EC">
        <w:rPr>
          <w:rFonts w:ascii="Times New Roman" w:hAnsi="Times New Roman" w:cs="Times New Roman"/>
          <w:i/>
          <w:iCs/>
          <w:sz w:val="24"/>
          <w:szCs w:val="24"/>
        </w:rPr>
        <w:t xml:space="preserve"> v Australia and New Zealand Banking Group</w:t>
      </w:r>
      <w:r w:rsidRPr="002B75EC">
        <w:rPr>
          <w:rStyle w:val="FootnoteReference"/>
          <w:rFonts w:ascii="Times New Roman" w:hAnsi="Times New Roman" w:cs="Times New Roman"/>
          <w:i/>
          <w:iCs/>
          <w:sz w:val="24"/>
          <w:szCs w:val="24"/>
        </w:rPr>
        <w:footnoteReference w:id="1"/>
      </w:r>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Later the concept of contractual estoppel is fully argued and established in the judgement of </w:t>
      </w:r>
      <w:r w:rsidRPr="002B75EC">
        <w:rPr>
          <w:rFonts w:ascii="Times New Roman" w:hAnsi="Times New Roman" w:cs="Times New Roman"/>
          <w:i/>
          <w:iCs/>
          <w:sz w:val="24"/>
          <w:szCs w:val="24"/>
        </w:rPr>
        <w:t>JP Morgan Chase Bank v Springwell Navigation Corporation</w:t>
      </w:r>
      <w:r w:rsidRPr="002B75EC">
        <w:rPr>
          <w:rStyle w:val="FootnoteReference"/>
          <w:rFonts w:ascii="Times New Roman" w:hAnsi="Times New Roman" w:cs="Times New Roman"/>
          <w:i/>
          <w:iCs/>
          <w:sz w:val="24"/>
          <w:szCs w:val="24"/>
        </w:rPr>
        <w:footnoteReference w:id="2"/>
      </w:r>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Since its development, the doctrine of contractual estoppel has been greatly applied in practice and widely accepted by the judiciary in many commercial litigations. Such acceptance and recognition by judiciary and legal profession creates a strong case for the recognition of contractual estoppel as a separate new category of legal estoppel. This paper seeks to give a general overview on contractual estoppel. First chapter of this paper will be devoted to introductory part and historical background of contractual estoppel. On subsequent chapter there will be critical analysis of landmark cases </w:t>
      </w:r>
      <w:r w:rsidRPr="002B75EC">
        <w:rPr>
          <w:rFonts w:ascii="Times New Roman" w:hAnsi="Times New Roman" w:cs="Times New Roman"/>
          <w:sz w:val="24"/>
          <w:szCs w:val="24"/>
        </w:rPr>
        <w:lastRenderedPageBreak/>
        <w:t>on contractual estoppel through which this principle has received its most developments. On next chapter, there will be critical discussion on general features of contractual estoppel. In following chapter, the implication of contractual estoppel will be discussed and finally, there will be a concluding mark on the findings.</w:t>
      </w:r>
    </w:p>
    <w:p w14:paraId="0DD73344" w14:textId="34B0C7D5" w:rsidR="00D167E7" w:rsidRDefault="00D167E7" w:rsidP="002B75EC">
      <w:pPr>
        <w:spacing w:line="480" w:lineRule="auto"/>
        <w:jc w:val="both"/>
        <w:rPr>
          <w:rFonts w:ascii="Times New Roman" w:hAnsi="Times New Roman" w:cs="Times New Roman"/>
          <w:sz w:val="24"/>
          <w:szCs w:val="24"/>
        </w:rPr>
      </w:pPr>
    </w:p>
    <w:p w14:paraId="7CEEFE62" w14:textId="77A1E4CB" w:rsidR="006E7A02" w:rsidRDefault="006E7A02" w:rsidP="002B75EC">
      <w:pPr>
        <w:spacing w:line="480" w:lineRule="auto"/>
        <w:jc w:val="both"/>
        <w:rPr>
          <w:rFonts w:ascii="Times New Roman" w:hAnsi="Times New Roman" w:cs="Times New Roman"/>
          <w:sz w:val="24"/>
          <w:szCs w:val="24"/>
        </w:rPr>
      </w:pPr>
    </w:p>
    <w:p w14:paraId="18D32EDE" w14:textId="78B9BC82" w:rsidR="006E7A02" w:rsidRDefault="006E7A02" w:rsidP="002B75EC">
      <w:pPr>
        <w:spacing w:line="480" w:lineRule="auto"/>
        <w:jc w:val="both"/>
        <w:rPr>
          <w:rFonts w:ascii="Times New Roman" w:hAnsi="Times New Roman" w:cs="Times New Roman"/>
          <w:sz w:val="24"/>
          <w:szCs w:val="24"/>
        </w:rPr>
      </w:pPr>
    </w:p>
    <w:p w14:paraId="0881BA78" w14:textId="73DB4F27" w:rsidR="006E7A02" w:rsidRDefault="006E7A02" w:rsidP="002B75EC">
      <w:pPr>
        <w:spacing w:line="480" w:lineRule="auto"/>
        <w:jc w:val="both"/>
        <w:rPr>
          <w:rFonts w:ascii="Times New Roman" w:hAnsi="Times New Roman" w:cs="Times New Roman"/>
          <w:sz w:val="24"/>
          <w:szCs w:val="24"/>
        </w:rPr>
      </w:pPr>
    </w:p>
    <w:p w14:paraId="3F7888E6" w14:textId="0E28B19B" w:rsidR="006E7A02" w:rsidRDefault="006E7A02" w:rsidP="002B75EC">
      <w:pPr>
        <w:spacing w:line="480" w:lineRule="auto"/>
        <w:jc w:val="both"/>
        <w:rPr>
          <w:rFonts w:ascii="Times New Roman" w:hAnsi="Times New Roman" w:cs="Times New Roman"/>
          <w:sz w:val="24"/>
          <w:szCs w:val="24"/>
        </w:rPr>
      </w:pPr>
    </w:p>
    <w:p w14:paraId="4A3236D0" w14:textId="036DA98D" w:rsidR="006E7A02" w:rsidRDefault="006E7A02" w:rsidP="002B75EC">
      <w:pPr>
        <w:spacing w:line="480" w:lineRule="auto"/>
        <w:jc w:val="both"/>
        <w:rPr>
          <w:rFonts w:ascii="Times New Roman" w:hAnsi="Times New Roman" w:cs="Times New Roman"/>
          <w:sz w:val="24"/>
          <w:szCs w:val="24"/>
        </w:rPr>
      </w:pPr>
    </w:p>
    <w:p w14:paraId="210E2D7D" w14:textId="37F3CEC8" w:rsidR="006E7A02" w:rsidRDefault="006E7A02" w:rsidP="002B75EC">
      <w:pPr>
        <w:spacing w:line="480" w:lineRule="auto"/>
        <w:jc w:val="both"/>
        <w:rPr>
          <w:rFonts w:ascii="Times New Roman" w:hAnsi="Times New Roman" w:cs="Times New Roman"/>
          <w:sz w:val="24"/>
          <w:szCs w:val="24"/>
        </w:rPr>
      </w:pPr>
    </w:p>
    <w:p w14:paraId="1F50953E" w14:textId="717A230B" w:rsidR="006E7A02" w:rsidRDefault="006E7A02" w:rsidP="002B75EC">
      <w:pPr>
        <w:spacing w:line="480" w:lineRule="auto"/>
        <w:jc w:val="both"/>
        <w:rPr>
          <w:rFonts w:ascii="Times New Roman" w:hAnsi="Times New Roman" w:cs="Times New Roman"/>
          <w:sz w:val="24"/>
          <w:szCs w:val="24"/>
        </w:rPr>
      </w:pPr>
    </w:p>
    <w:p w14:paraId="759F4DAF" w14:textId="7B7439F7" w:rsidR="006E7A02" w:rsidRDefault="006E7A02" w:rsidP="002B75EC">
      <w:pPr>
        <w:spacing w:line="480" w:lineRule="auto"/>
        <w:jc w:val="both"/>
        <w:rPr>
          <w:rFonts w:ascii="Times New Roman" w:hAnsi="Times New Roman" w:cs="Times New Roman"/>
          <w:sz w:val="24"/>
          <w:szCs w:val="24"/>
        </w:rPr>
      </w:pPr>
    </w:p>
    <w:p w14:paraId="34E0C1A0" w14:textId="2D70EB92" w:rsidR="006E7A02" w:rsidRDefault="006E7A02" w:rsidP="002B75EC">
      <w:pPr>
        <w:spacing w:line="480" w:lineRule="auto"/>
        <w:jc w:val="both"/>
        <w:rPr>
          <w:rFonts w:ascii="Times New Roman" w:hAnsi="Times New Roman" w:cs="Times New Roman"/>
          <w:sz w:val="24"/>
          <w:szCs w:val="24"/>
        </w:rPr>
      </w:pPr>
    </w:p>
    <w:p w14:paraId="600A0EB6" w14:textId="7CE351AD" w:rsidR="006E7A02" w:rsidRDefault="006E7A02" w:rsidP="002B75EC">
      <w:pPr>
        <w:spacing w:line="480" w:lineRule="auto"/>
        <w:jc w:val="both"/>
        <w:rPr>
          <w:rFonts w:ascii="Times New Roman" w:hAnsi="Times New Roman" w:cs="Times New Roman"/>
          <w:sz w:val="24"/>
          <w:szCs w:val="24"/>
        </w:rPr>
      </w:pPr>
    </w:p>
    <w:p w14:paraId="37C159D3" w14:textId="0F9FD6C9" w:rsidR="006E7A02" w:rsidRDefault="006E7A02" w:rsidP="002B75EC">
      <w:pPr>
        <w:spacing w:line="480" w:lineRule="auto"/>
        <w:jc w:val="both"/>
        <w:rPr>
          <w:rFonts w:ascii="Times New Roman" w:hAnsi="Times New Roman" w:cs="Times New Roman"/>
          <w:sz w:val="24"/>
          <w:szCs w:val="24"/>
        </w:rPr>
      </w:pPr>
    </w:p>
    <w:p w14:paraId="01FF9C6A" w14:textId="4620353F" w:rsidR="006E7A02" w:rsidRDefault="006E7A02" w:rsidP="002B75EC">
      <w:pPr>
        <w:spacing w:line="480" w:lineRule="auto"/>
        <w:jc w:val="both"/>
        <w:rPr>
          <w:rFonts w:ascii="Times New Roman" w:hAnsi="Times New Roman" w:cs="Times New Roman"/>
          <w:sz w:val="24"/>
          <w:szCs w:val="24"/>
        </w:rPr>
      </w:pPr>
    </w:p>
    <w:p w14:paraId="5CA78834" w14:textId="22212D53" w:rsidR="006E7A02" w:rsidRDefault="006E7A02" w:rsidP="002B75EC">
      <w:pPr>
        <w:spacing w:line="480" w:lineRule="auto"/>
        <w:jc w:val="both"/>
        <w:rPr>
          <w:rFonts w:ascii="Times New Roman" w:hAnsi="Times New Roman" w:cs="Times New Roman"/>
          <w:sz w:val="24"/>
          <w:szCs w:val="24"/>
        </w:rPr>
      </w:pPr>
    </w:p>
    <w:p w14:paraId="6DD49B59" w14:textId="10588924" w:rsidR="006E7A02" w:rsidRDefault="006E7A02" w:rsidP="002B75EC">
      <w:pPr>
        <w:spacing w:line="480" w:lineRule="auto"/>
        <w:jc w:val="both"/>
        <w:rPr>
          <w:rFonts w:ascii="Times New Roman" w:hAnsi="Times New Roman" w:cs="Times New Roman"/>
          <w:sz w:val="24"/>
          <w:szCs w:val="24"/>
        </w:rPr>
      </w:pPr>
    </w:p>
    <w:p w14:paraId="2F91DB75" w14:textId="77777777" w:rsidR="006E7A02" w:rsidRPr="002B75EC" w:rsidRDefault="006E7A02" w:rsidP="002B75EC">
      <w:pPr>
        <w:spacing w:line="480" w:lineRule="auto"/>
        <w:jc w:val="both"/>
        <w:rPr>
          <w:rFonts w:ascii="Times New Roman" w:hAnsi="Times New Roman" w:cs="Times New Roman"/>
          <w:sz w:val="24"/>
          <w:szCs w:val="24"/>
        </w:rPr>
      </w:pPr>
    </w:p>
    <w:p w14:paraId="13D682C9" w14:textId="77777777" w:rsidR="00D167E7" w:rsidRPr="006E7A02" w:rsidRDefault="00D167E7" w:rsidP="006E7A02">
      <w:pPr>
        <w:spacing w:line="480" w:lineRule="auto"/>
        <w:jc w:val="center"/>
        <w:rPr>
          <w:rFonts w:ascii="Times New Roman" w:hAnsi="Times New Roman" w:cs="Times New Roman"/>
          <w:b/>
          <w:bCs/>
          <w:sz w:val="36"/>
          <w:szCs w:val="36"/>
          <w:u w:val="single"/>
        </w:rPr>
      </w:pPr>
      <w:r w:rsidRPr="006E7A02">
        <w:rPr>
          <w:rFonts w:ascii="Times New Roman" w:hAnsi="Times New Roman" w:cs="Times New Roman"/>
          <w:b/>
          <w:bCs/>
          <w:sz w:val="36"/>
          <w:szCs w:val="36"/>
          <w:u w:val="single"/>
        </w:rPr>
        <w:lastRenderedPageBreak/>
        <w:t>CHAPTER ONE</w:t>
      </w:r>
    </w:p>
    <w:p w14:paraId="27640CA6" w14:textId="77777777" w:rsidR="00D167E7" w:rsidRPr="006E7A02" w:rsidRDefault="00D167E7" w:rsidP="006E7A02">
      <w:pPr>
        <w:pStyle w:val="ListParagraph"/>
        <w:numPr>
          <w:ilvl w:val="0"/>
          <w:numId w:val="5"/>
        </w:numPr>
        <w:spacing w:line="480" w:lineRule="auto"/>
        <w:jc w:val="center"/>
        <w:rPr>
          <w:rFonts w:ascii="Times New Roman" w:hAnsi="Times New Roman" w:cs="Times New Roman"/>
          <w:b/>
          <w:bCs/>
          <w:sz w:val="32"/>
          <w:szCs w:val="32"/>
          <w:u w:val="single"/>
        </w:rPr>
      </w:pPr>
      <w:r w:rsidRPr="006E7A02">
        <w:rPr>
          <w:rFonts w:ascii="Times New Roman" w:hAnsi="Times New Roman" w:cs="Times New Roman"/>
          <w:b/>
          <w:bCs/>
          <w:sz w:val="32"/>
          <w:szCs w:val="32"/>
          <w:u w:val="single"/>
        </w:rPr>
        <w:t>Introduction to Contractual Estoppel</w:t>
      </w:r>
    </w:p>
    <w:p w14:paraId="4445F58D" w14:textId="77777777" w:rsidR="00D167E7" w:rsidRPr="002B75EC" w:rsidRDefault="00D167E7" w:rsidP="002B75EC">
      <w:pPr>
        <w:spacing w:line="480" w:lineRule="auto"/>
        <w:jc w:val="both"/>
        <w:rPr>
          <w:rFonts w:ascii="Times New Roman" w:hAnsi="Times New Roman" w:cs="Times New Roman"/>
          <w:sz w:val="24"/>
          <w:szCs w:val="24"/>
        </w:rPr>
      </w:pPr>
    </w:p>
    <w:p w14:paraId="71582EDC" w14:textId="77777777" w:rsidR="00757BA6" w:rsidRPr="00757BA6" w:rsidRDefault="00D167E7" w:rsidP="002B75EC">
      <w:pPr>
        <w:pStyle w:val="ListParagraph"/>
        <w:numPr>
          <w:ilvl w:val="1"/>
          <w:numId w:val="4"/>
        </w:numPr>
        <w:spacing w:line="480" w:lineRule="auto"/>
        <w:jc w:val="both"/>
        <w:rPr>
          <w:rFonts w:ascii="Times New Roman" w:hAnsi="Times New Roman" w:cs="Times New Roman"/>
          <w:i/>
          <w:iCs/>
          <w:sz w:val="24"/>
          <w:szCs w:val="24"/>
        </w:rPr>
      </w:pPr>
      <w:r w:rsidRPr="006E7A02">
        <w:rPr>
          <w:rFonts w:ascii="Times New Roman" w:hAnsi="Times New Roman" w:cs="Times New Roman"/>
          <w:b/>
          <w:bCs/>
          <w:sz w:val="24"/>
          <w:szCs w:val="24"/>
          <w:u w:val="single"/>
        </w:rPr>
        <w:t>Introduction</w:t>
      </w:r>
      <w:r w:rsidRPr="002B75EC">
        <w:rPr>
          <w:rFonts w:ascii="Times New Roman" w:hAnsi="Times New Roman" w:cs="Times New Roman"/>
          <w:sz w:val="24"/>
          <w:szCs w:val="24"/>
          <w:u w:val="single"/>
        </w:rPr>
        <w:t>:</w:t>
      </w:r>
      <w:r w:rsidRPr="002B75EC">
        <w:rPr>
          <w:rFonts w:ascii="Times New Roman" w:hAnsi="Times New Roman" w:cs="Times New Roman"/>
          <w:sz w:val="24"/>
          <w:szCs w:val="24"/>
        </w:rPr>
        <w:t xml:space="preserve"> </w:t>
      </w:r>
    </w:p>
    <w:p w14:paraId="4AE9F35F" w14:textId="4AF342D8" w:rsidR="00D167E7" w:rsidRPr="00757BA6" w:rsidRDefault="00D167E7" w:rsidP="00757BA6">
      <w:pPr>
        <w:spacing w:line="480" w:lineRule="auto"/>
        <w:jc w:val="both"/>
        <w:rPr>
          <w:rFonts w:ascii="Times New Roman" w:hAnsi="Times New Roman" w:cs="Times New Roman"/>
          <w:i/>
          <w:iCs/>
          <w:sz w:val="24"/>
          <w:szCs w:val="24"/>
        </w:rPr>
      </w:pPr>
      <w:r w:rsidRPr="00757BA6">
        <w:rPr>
          <w:rFonts w:ascii="Times New Roman" w:hAnsi="Times New Roman" w:cs="Times New Roman"/>
          <w:sz w:val="24"/>
          <w:szCs w:val="24"/>
        </w:rPr>
        <w:t xml:space="preserve">Contractual estoppel is undoubtedly now one of the most significant defensive tools in the arena of commercial relationship. The doctrine of contractual estoppel enables parties to agree facts that they both know to be false, thereby creating a contractual basis for subsequent disputes. It does not belong to the traditional categories of estoppel, it is a distinct category of legal estoppel. The requirements for contractual estoppel are not as strict as for other form of estoppel. Where parties created a contract containing an acknowledgement of </w:t>
      </w:r>
      <w:proofErr w:type="gramStart"/>
      <w:r w:rsidRPr="00757BA6">
        <w:rPr>
          <w:rFonts w:ascii="Times New Roman" w:hAnsi="Times New Roman" w:cs="Times New Roman"/>
          <w:sz w:val="24"/>
          <w:szCs w:val="24"/>
        </w:rPr>
        <w:t>certain state of affairs, subject</w:t>
      </w:r>
      <w:proofErr w:type="gramEnd"/>
      <w:r w:rsidRPr="00757BA6">
        <w:rPr>
          <w:rFonts w:ascii="Times New Roman" w:hAnsi="Times New Roman" w:cs="Times New Roman"/>
          <w:sz w:val="24"/>
          <w:szCs w:val="24"/>
        </w:rPr>
        <w:t xml:space="preserve"> to statue and public policy, the maker of the statement will be barred by the contractual estoppel from asserting in litigation that the opposite was true.</w:t>
      </w:r>
      <w:r w:rsidRPr="002B75EC">
        <w:rPr>
          <w:rStyle w:val="FootnoteReference"/>
          <w:rFonts w:ascii="Times New Roman" w:hAnsi="Times New Roman" w:cs="Times New Roman"/>
          <w:sz w:val="24"/>
          <w:szCs w:val="24"/>
        </w:rPr>
        <w:footnoteReference w:id="3"/>
      </w:r>
      <w:r w:rsidRPr="00757BA6">
        <w:rPr>
          <w:rFonts w:ascii="Times New Roman" w:hAnsi="Times New Roman" w:cs="Times New Roman"/>
          <w:sz w:val="24"/>
          <w:szCs w:val="24"/>
        </w:rPr>
        <w:t xml:space="preserve"> The modern view on doctrine of contractual estoppel was developed in modern landmark case </w:t>
      </w:r>
      <w:proofErr w:type="spellStart"/>
      <w:r w:rsidRPr="00757BA6">
        <w:rPr>
          <w:rFonts w:ascii="Times New Roman" w:hAnsi="Times New Roman" w:cs="Times New Roman"/>
          <w:i/>
          <w:iCs/>
          <w:sz w:val="24"/>
          <w:szCs w:val="24"/>
        </w:rPr>
        <w:t>Peekay</w:t>
      </w:r>
      <w:proofErr w:type="spellEnd"/>
      <w:r w:rsidRPr="00757BA6">
        <w:rPr>
          <w:rFonts w:ascii="Times New Roman" w:hAnsi="Times New Roman" w:cs="Times New Roman"/>
          <w:i/>
          <w:iCs/>
          <w:sz w:val="24"/>
          <w:szCs w:val="24"/>
        </w:rPr>
        <w:t xml:space="preserve"> </w:t>
      </w:r>
      <w:proofErr w:type="spellStart"/>
      <w:r w:rsidRPr="00757BA6">
        <w:rPr>
          <w:rFonts w:ascii="Times New Roman" w:hAnsi="Times New Roman" w:cs="Times New Roman"/>
          <w:i/>
          <w:iCs/>
          <w:sz w:val="24"/>
          <w:szCs w:val="24"/>
        </w:rPr>
        <w:t>Intermark</w:t>
      </w:r>
      <w:proofErr w:type="spellEnd"/>
      <w:r w:rsidRPr="00757BA6">
        <w:rPr>
          <w:rFonts w:ascii="Times New Roman" w:hAnsi="Times New Roman" w:cs="Times New Roman"/>
          <w:i/>
          <w:iCs/>
          <w:sz w:val="24"/>
          <w:szCs w:val="24"/>
        </w:rPr>
        <w:t xml:space="preserve"> v Australia and New Zealand Banking Group</w:t>
      </w:r>
      <w:r w:rsidRPr="002B75EC">
        <w:rPr>
          <w:rStyle w:val="FootnoteReference"/>
          <w:rFonts w:ascii="Times New Roman" w:hAnsi="Times New Roman" w:cs="Times New Roman"/>
          <w:i/>
          <w:iCs/>
          <w:sz w:val="24"/>
          <w:szCs w:val="24"/>
        </w:rPr>
        <w:footnoteReference w:id="4"/>
      </w:r>
      <w:r w:rsidRPr="00757BA6">
        <w:rPr>
          <w:rFonts w:ascii="Times New Roman" w:hAnsi="Times New Roman" w:cs="Times New Roman"/>
          <w:i/>
          <w:iCs/>
          <w:sz w:val="24"/>
          <w:szCs w:val="24"/>
        </w:rPr>
        <w:t xml:space="preserve">. </w:t>
      </w:r>
      <w:r w:rsidRPr="00757BA6">
        <w:rPr>
          <w:rFonts w:ascii="Times New Roman" w:hAnsi="Times New Roman" w:cs="Times New Roman"/>
          <w:sz w:val="24"/>
          <w:szCs w:val="24"/>
        </w:rPr>
        <w:t xml:space="preserve">From the fact of this case, </w:t>
      </w:r>
      <w:proofErr w:type="spellStart"/>
      <w:proofErr w:type="gramStart"/>
      <w:r w:rsidRPr="00757BA6">
        <w:rPr>
          <w:rFonts w:ascii="Times New Roman" w:hAnsi="Times New Roman" w:cs="Times New Roman"/>
          <w:sz w:val="24"/>
          <w:szCs w:val="24"/>
        </w:rPr>
        <w:t>a</w:t>
      </w:r>
      <w:proofErr w:type="spellEnd"/>
      <w:proofErr w:type="gramEnd"/>
      <w:r w:rsidRPr="00757BA6">
        <w:rPr>
          <w:rFonts w:ascii="Times New Roman" w:hAnsi="Times New Roman" w:cs="Times New Roman"/>
          <w:sz w:val="24"/>
          <w:szCs w:val="24"/>
        </w:rPr>
        <w:t xml:space="preserve"> investor signed a contract containing terms that describes the descriptions of his investment and acknowledgement that he had read and understood the documentation. Establishing contractual estoppel, the Court of Appeal held that the investor was barred from arguing that he had been induced by a misrepresentation as to the nature of investment to enter into contract.</w:t>
      </w:r>
      <w:r w:rsidRPr="002B75EC">
        <w:rPr>
          <w:rStyle w:val="FootnoteReference"/>
          <w:rFonts w:ascii="Times New Roman" w:hAnsi="Times New Roman" w:cs="Times New Roman"/>
          <w:sz w:val="24"/>
          <w:szCs w:val="24"/>
        </w:rPr>
        <w:footnoteReference w:id="5"/>
      </w:r>
      <w:r w:rsidRPr="00757BA6">
        <w:rPr>
          <w:rFonts w:ascii="Times New Roman" w:hAnsi="Times New Roman" w:cs="Times New Roman"/>
          <w:sz w:val="24"/>
          <w:szCs w:val="24"/>
        </w:rPr>
        <w:t xml:space="preserve"> The landmark court of appeal decision in </w:t>
      </w:r>
      <w:proofErr w:type="spellStart"/>
      <w:r w:rsidRPr="00757BA6">
        <w:rPr>
          <w:rFonts w:ascii="Times New Roman" w:hAnsi="Times New Roman" w:cs="Times New Roman"/>
          <w:i/>
          <w:iCs/>
          <w:sz w:val="24"/>
          <w:szCs w:val="24"/>
        </w:rPr>
        <w:t>Peekay</w:t>
      </w:r>
      <w:proofErr w:type="spellEnd"/>
      <w:r w:rsidRPr="00757BA6">
        <w:rPr>
          <w:rFonts w:ascii="Times New Roman" w:hAnsi="Times New Roman" w:cs="Times New Roman"/>
          <w:i/>
          <w:iCs/>
          <w:sz w:val="24"/>
          <w:szCs w:val="24"/>
        </w:rPr>
        <w:t xml:space="preserve"> </w:t>
      </w:r>
      <w:r w:rsidRPr="00757BA6">
        <w:rPr>
          <w:rFonts w:ascii="Times New Roman" w:hAnsi="Times New Roman" w:cs="Times New Roman"/>
          <w:sz w:val="24"/>
          <w:szCs w:val="24"/>
        </w:rPr>
        <w:t xml:space="preserve">was later recognised in </w:t>
      </w:r>
      <w:r w:rsidRPr="00757BA6">
        <w:rPr>
          <w:rFonts w:ascii="Times New Roman" w:hAnsi="Times New Roman" w:cs="Times New Roman"/>
          <w:i/>
          <w:iCs/>
          <w:color w:val="000000"/>
          <w:sz w:val="24"/>
          <w:szCs w:val="24"/>
          <w:shd w:val="clear" w:color="auto" w:fill="FFFFFF"/>
        </w:rPr>
        <w:t>Springwell</w:t>
      </w:r>
      <w:r w:rsidRPr="00757BA6">
        <w:rPr>
          <w:rFonts w:ascii="Times New Roman" w:hAnsi="Times New Roman" w:cs="Times New Roman"/>
          <w:color w:val="000000"/>
          <w:sz w:val="24"/>
          <w:szCs w:val="24"/>
          <w:shd w:val="clear" w:color="auto" w:fill="FFFFFF"/>
        </w:rPr>
        <w:t> </w:t>
      </w:r>
      <w:r w:rsidRPr="00757BA6">
        <w:rPr>
          <w:rFonts w:ascii="Times New Roman" w:hAnsi="Times New Roman" w:cs="Times New Roman"/>
          <w:i/>
          <w:iCs/>
          <w:color w:val="000000"/>
          <w:sz w:val="24"/>
          <w:szCs w:val="24"/>
          <w:shd w:val="clear" w:color="auto" w:fill="FFFFFF"/>
        </w:rPr>
        <w:t xml:space="preserve">Navigation </w:t>
      </w:r>
      <w:r w:rsidRPr="00757BA6">
        <w:rPr>
          <w:rFonts w:ascii="Times New Roman" w:hAnsi="Times New Roman" w:cs="Times New Roman"/>
          <w:i/>
          <w:iCs/>
          <w:color w:val="000000"/>
          <w:sz w:val="24"/>
          <w:szCs w:val="24"/>
          <w:shd w:val="clear" w:color="auto" w:fill="FFFFFF"/>
        </w:rPr>
        <w:lastRenderedPageBreak/>
        <w:t>Corp v JP Morgan Chase Bank</w:t>
      </w:r>
      <w:r w:rsidRPr="002B75EC">
        <w:rPr>
          <w:rStyle w:val="FootnoteReference"/>
          <w:rFonts w:ascii="Times New Roman" w:hAnsi="Times New Roman" w:cs="Times New Roman"/>
          <w:i/>
          <w:iCs/>
          <w:color w:val="000000"/>
          <w:sz w:val="24"/>
          <w:szCs w:val="24"/>
          <w:shd w:val="clear" w:color="auto" w:fill="FFFFFF"/>
        </w:rPr>
        <w:footnoteReference w:id="6"/>
      </w:r>
      <w:r w:rsidRPr="00757BA6">
        <w:rPr>
          <w:rFonts w:ascii="Times New Roman" w:hAnsi="Times New Roman" w:cs="Times New Roman"/>
          <w:i/>
          <w:iCs/>
          <w:color w:val="000000"/>
          <w:sz w:val="24"/>
          <w:szCs w:val="24"/>
          <w:shd w:val="clear" w:color="auto" w:fill="FFFFFF"/>
        </w:rPr>
        <w:t>.</w:t>
      </w:r>
      <w:r w:rsidRPr="00757BA6">
        <w:rPr>
          <w:rFonts w:ascii="Times New Roman" w:hAnsi="Times New Roman" w:cs="Times New Roman"/>
          <w:sz w:val="24"/>
          <w:szCs w:val="24"/>
        </w:rPr>
        <w:t xml:space="preserve"> After detailed analysis, </w:t>
      </w:r>
      <w:proofErr w:type="spellStart"/>
      <w:r w:rsidRPr="00757BA6">
        <w:rPr>
          <w:rFonts w:ascii="Times New Roman" w:hAnsi="Times New Roman" w:cs="Times New Roman"/>
          <w:sz w:val="24"/>
          <w:szCs w:val="24"/>
        </w:rPr>
        <w:t>Gloster</w:t>
      </w:r>
      <w:proofErr w:type="spellEnd"/>
      <w:r w:rsidRPr="00757BA6">
        <w:rPr>
          <w:rFonts w:ascii="Times New Roman" w:hAnsi="Times New Roman" w:cs="Times New Roman"/>
          <w:sz w:val="24"/>
          <w:szCs w:val="24"/>
        </w:rPr>
        <w:t xml:space="preserve"> J. upheld the </w:t>
      </w:r>
      <w:proofErr w:type="spellStart"/>
      <w:r w:rsidRPr="00757BA6">
        <w:rPr>
          <w:rFonts w:ascii="Times New Roman" w:hAnsi="Times New Roman" w:cs="Times New Roman"/>
          <w:sz w:val="24"/>
          <w:szCs w:val="24"/>
        </w:rPr>
        <w:t>the</w:t>
      </w:r>
      <w:proofErr w:type="spellEnd"/>
      <w:r w:rsidRPr="00757BA6">
        <w:rPr>
          <w:rFonts w:ascii="Times New Roman" w:hAnsi="Times New Roman" w:cs="Times New Roman"/>
          <w:sz w:val="24"/>
          <w:szCs w:val="24"/>
        </w:rPr>
        <w:t xml:space="preserve"> doctrine of contractual estoppel as set out by Moore-Bick LJ in </w:t>
      </w:r>
      <w:proofErr w:type="spellStart"/>
      <w:r w:rsidRPr="00757BA6">
        <w:rPr>
          <w:rFonts w:ascii="Times New Roman" w:hAnsi="Times New Roman" w:cs="Times New Roman"/>
          <w:i/>
          <w:iCs/>
          <w:sz w:val="24"/>
          <w:szCs w:val="24"/>
        </w:rPr>
        <w:t>Peekay</w:t>
      </w:r>
      <w:proofErr w:type="spellEnd"/>
      <w:r w:rsidRPr="00757BA6">
        <w:rPr>
          <w:rFonts w:ascii="Times New Roman" w:hAnsi="Times New Roman" w:cs="Times New Roman"/>
          <w:i/>
          <w:iCs/>
          <w:sz w:val="24"/>
          <w:szCs w:val="24"/>
        </w:rPr>
        <w:t>.</w:t>
      </w:r>
      <w:r w:rsidRPr="002B75EC">
        <w:rPr>
          <w:rStyle w:val="FootnoteReference"/>
          <w:rFonts w:ascii="Times New Roman" w:hAnsi="Times New Roman" w:cs="Times New Roman"/>
          <w:i/>
          <w:iCs/>
          <w:sz w:val="24"/>
          <w:szCs w:val="24"/>
        </w:rPr>
        <w:footnoteReference w:id="7"/>
      </w:r>
    </w:p>
    <w:p w14:paraId="60FA2C25" w14:textId="77777777" w:rsidR="006E7A02" w:rsidRPr="002B75EC" w:rsidRDefault="006E7A02" w:rsidP="006E7A02">
      <w:pPr>
        <w:pStyle w:val="ListParagraph"/>
        <w:spacing w:line="480" w:lineRule="auto"/>
        <w:ind w:left="360"/>
        <w:jc w:val="both"/>
        <w:rPr>
          <w:rFonts w:ascii="Times New Roman" w:hAnsi="Times New Roman" w:cs="Times New Roman"/>
          <w:i/>
          <w:iCs/>
          <w:sz w:val="24"/>
          <w:szCs w:val="24"/>
        </w:rPr>
      </w:pPr>
    </w:p>
    <w:p w14:paraId="0C2A527D" w14:textId="77777777" w:rsidR="00D167E7" w:rsidRPr="002B75EC" w:rsidRDefault="00D167E7" w:rsidP="00757BA6">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Since the doctrine of contractual estoppel has developed through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and subsequently recognised in </w:t>
      </w:r>
      <w:r w:rsidRPr="002B75EC">
        <w:rPr>
          <w:rFonts w:ascii="Times New Roman" w:hAnsi="Times New Roman" w:cs="Times New Roman"/>
          <w:i/>
          <w:iCs/>
          <w:sz w:val="24"/>
          <w:szCs w:val="24"/>
        </w:rPr>
        <w:t xml:space="preserve">Springwell, </w:t>
      </w:r>
      <w:r w:rsidRPr="002B75EC">
        <w:rPr>
          <w:rFonts w:ascii="Times New Roman" w:hAnsi="Times New Roman" w:cs="Times New Roman"/>
          <w:sz w:val="24"/>
          <w:szCs w:val="24"/>
        </w:rPr>
        <w:t xml:space="preserve">it has received a tremendous acceptance by the courts in different occasions. Specially, it become regular feature in the disputes arising from financial markets. Despite its great popularity in a short period of time, it became the subject of debate too. The courts have clearly confirmed that, as a matter of freedom of contract, parties of a contract are now able to agree </w:t>
      </w:r>
      <w:proofErr w:type="gramStart"/>
      <w:r w:rsidRPr="002B75EC">
        <w:rPr>
          <w:rFonts w:ascii="Times New Roman" w:hAnsi="Times New Roman" w:cs="Times New Roman"/>
          <w:sz w:val="24"/>
          <w:szCs w:val="24"/>
        </w:rPr>
        <w:t>on the basis of</w:t>
      </w:r>
      <w:proofErr w:type="gramEnd"/>
      <w:r w:rsidRPr="002B75EC">
        <w:rPr>
          <w:rFonts w:ascii="Times New Roman" w:hAnsi="Times New Roman" w:cs="Times New Roman"/>
          <w:sz w:val="24"/>
          <w:szCs w:val="24"/>
        </w:rPr>
        <w:t xml:space="preserve"> certain state of affairs, and the court would not disrupt this approach as a matter of contractual certainty. However, many academics think that this view of the court is inappropriate. S Wilken and K </w:t>
      </w:r>
      <w:proofErr w:type="spellStart"/>
      <w:r w:rsidRPr="002B75EC">
        <w:rPr>
          <w:rFonts w:ascii="Times New Roman" w:hAnsi="Times New Roman" w:cs="Times New Roman"/>
          <w:sz w:val="24"/>
          <w:szCs w:val="24"/>
        </w:rPr>
        <w:t>Ghaly</w:t>
      </w:r>
      <w:proofErr w:type="spellEnd"/>
      <w:r w:rsidRPr="002B75EC">
        <w:rPr>
          <w:rFonts w:ascii="Times New Roman" w:hAnsi="Times New Roman" w:cs="Times New Roman"/>
          <w:sz w:val="24"/>
          <w:szCs w:val="24"/>
        </w:rPr>
        <w:t xml:space="preserve"> in their book described the contractual estoppel as “anomalous” and “not an estoppel”.</w:t>
      </w:r>
      <w:r w:rsidRPr="002B75EC">
        <w:rPr>
          <w:rStyle w:val="FootnoteReference"/>
          <w:rFonts w:ascii="Times New Roman" w:hAnsi="Times New Roman" w:cs="Times New Roman"/>
          <w:sz w:val="24"/>
          <w:szCs w:val="24"/>
        </w:rPr>
        <w:footnoteReference w:id="8"/>
      </w:r>
      <w:r w:rsidRPr="002B75EC">
        <w:rPr>
          <w:rFonts w:ascii="Times New Roman" w:hAnsi="Times New Roman" w:cs="Times New Roman"/>
          <w:sz w:val="24"/>
          <w:szCs w:val="24"/>
        </w:rPr>
        <w:t xml:space="preserve"> Moreover, many academics think that contractual estoppel is an illegitimate species of estoppel and this doctrine is a “myth”.</w:t>
      </w:r>
      <w:r w:rsidRPr="002B75EC">
        <w:rPr>
          <w:rStyle w:val="FootnoteReference"/>
          <w:rFonts w:ascii="Times New Roman" w:hAnsi="Times New Roman" w:cs="Times New Roman"/>
          <w:sz w:val="24"/>
          <w:szCs w:val="24"/>
        </w:rPr>
        <w:footnoteReference w:id="9"/>
      </w:r>
      <w:r w:rsidRPr="002B75EC">
        <w:rPr>
          <w:rFonts w:ascii="Times New Roman" w:hAnsi="Times New Roman" w:cs="Times New Roman"/>
          <w:sz w:val="24"/>
          <w:szCs w:val="24"/>
        </w:rPr>
        <w:t xml:space="preserve"> Despite all these controversies the doctrine of contractual estoppel is in wide use in the arena of commercial contracts where parties to the contract binds themselves from making false claims in future disputes. This paper is combined with five chapters. The very first chapter (this chapter) will be on introductory observations and the historical background of the doctrine of contractual estoppel. Second chapter will critically analyse the leading cases that have developed modern concept of contractual estoppel. On the third chapter there will be critical discussion on general principles of contractual estoppel. Fourth chapter of this paper will analyse the controversy created regarding the position of contractual estoppel in the family of </w:t>
      </w:r>
      <w:r w:rsidRPr="002B75EC">
        <w:rPr>
          <w:rFonts w:ascii="Times New Roman" w:hAnsi="Times New Roman" w:cs="Times New Roman"/>
          <w:sz w:val="24"/>
          <w:szCs w:val="24"/>
        </w:rPr>
        <w:lastRenderedPageBreak/>
        <w:t>estoppel. The fifth chapter will critically discuss the implications of contractual estoppel and finally there will be concluding remarks on the findings.</w:t>
      </w:r>
    </w:p>
    <w:p w14:paraId="4EAB4A1E" w14:textId="77777777" w:rsidR="00D167E7" w:rsidRPr="002B75EC" w:rsidRDefault="00D167E7" w:rsidP="002B75EC">
      <w:pPr>
        <w:spacing w:line="480" w:lineRule="auto"/>
        <w:ind w:left="360"/>
        <w:jc w:val="both"/>
        <w:rPr>
          <w:rFonts w:ascii="Times New Roman" w:hAnsi="Times New Roman" w:cs="Times New Roman"/>
          <w:sz w:val="24"/>
          <w:szCs w:val="24"/>
        </w:rPr>
      </w:pPr>
    </w:p>
    <w:p w14:paraId="6DE8CD71" w14:textId="77777777" w:rsidR="00757BA6" w:rsidRDefault="00D167E7" w:rsidP="002B75EC">
      <w:pPr>
        <w:pStyle w:val="ListParagraph"/>
        <w:numPr>
          <w:ilvl w:val="1"/>
          <w:numId w:val="4"/>
        </w:numPr>
        <w:spacing w:line="480" w:lineRule="auto"/>
        <w:jc w:val="both"/>
        <w:rPr>
          <w:rFonts w:ascii="Times New Roman" w:hAnsi="Times New Roman" w:cs="Times New Roman"/>
          <w:sz w:val="24"/>
          <w:szCs w:val="24"/>
        </w:rPr>
      </w:pPr>
      <w:r w:rsidRPr="006E7A02">
        <w:rPr>
          <w:rFonts w:ascii="Times New Roman" w:hAnsi="Times New Roman" w:cs="Times New Roman"/>
          <w:b/>
          <w:bCs/>
          <w:sz w:val="24"/>
          <w:szCs w:val="24"/>
          <w:u w:val="single"/>
        </w:rPr>
        <w:t>History behind contractual estoppel:</w:t>
      </w:r>
      <w:r w:rsidRPr="002B75EC">
        <w:rPr>
          <w:rFonts w:ascii="Times New Roman" w:hAnsi="Times New Roman" w:cs="Times New Roman"/>
          <w:sz w:val="24"/>
          <w:szCs w:val="24"/>
        </w:rPr>
        <w:t xml:space="preserve"> </w:t>
      </w:r>
    </w:p>
    <w:p w14:paraId="1C475065" w14:textId="57979981" w:rsidR="00D167E7" w:rsidRPr="00757BA6" w:rsidRDefault="00D167E7" w:rsidP="00757BA6">
      <w:pPr>
        <w:spacing w:line="480" w:lineRule="auto"/>
        <w:jc w:val="both"/>
        <w:rPr>
          <w:rStyle w:val="Emphasis"/>
          <w:rFonts w:ascii="Times New Roman" w:hAnsi="Times New Roman" w:cs="Times New Roman"/>
          <w:i w:val="0"/>
          <w:iCs w:val="0"/>
          <w:sz w:val="24"/>
          <w:szCs w:val="24"/>
        </w:rPr>
      </w:pPr>
      <w:r w:rsidRPr="00757BA6">
        <w:rPr>
          <w:rFonts w:ascii="Times New Roman" w:hAnsi="Times New Roman" w:cs="Times New Roman"/>
          <w:sz w:val="24"/>
          <w:szCs w:val="24"/>
        </w:rPr>
        <w:t>The term ‘contractual estoppel’ is likely to have originated in an early edition of Spencer Bower’s text on estoppel.</w:t>
      </w:r>
      <w:r w:rsidRPr="002B75EC">
        <w:rPr>
          <w:rStyle w:val="FootnoteReference"/>
          <w:rFonts w:ascii="Times New Roman" w:hAnsi="Times New Roman" w:cs="Times New Roman"/>
          <w:sz w:val="24"/>
          <w:szCs w:val="24"/>
        </w:rPr>
        <w:footnoteReference w:id="10"/>
      </w:r>
      <w:r w:rsidRPr="00757BA6">
        <w:rPr>
          <w:rFonts w:ascii="Times New Roman" w:hAnsi="Times New Roman" w:cs="Times New Roman"/>
          <w:sz w:val="24"/>
          <w:szCs w:val="24"/>
        </w:rPr>
        <w:t xml:space="preserve"> Ferris J was the first judge who has imported this term into judicial lexicon by quoting from Spencer Bower in the first instance of </w:t>
      </w:r>
      <w:r w:rsidRPr="00757BA6">
        <w:rPr>
          <w:rFonts w:ascii="Times New Roman" w:hAnsi="Times New Roman" w:cs="Times New Roman"/>
          <w:i/>
          <w:iCs/>
          <w:sz w:val="24"/>
          <w:szCs w:val="24"/>
        </w:rPr>
        <w:t>Colchester BC v Smith</w:t>
      </w:r>
      <w:r w:rsidRPr="002B75EC">
        <w:rPr>
          <w:rStyle w:val="FootnoteReference"/>
          <w:rFonts w:ascii="Times New Roman" w:hAnsi="Times New Roman" w:cs="Times New Roman"/>
          <w:i/>
          <w:iCs/>
          <w:sz w:val="24"/>
          <w:szCs w:val="24"/>
        </w:rPr>
        <w:footnoteReference w:id="11"/>
      </w:r>
      <w:r w:rsidRPr="00757BA6">
        <w:rPr>
          <w:rFonts w:ascii="Times New Roman" w:hAnsi="Times New Roman" w:cs="Times New Roman"/>
          <w:i/>
          <w:iCs/>
          <w:sz w:val="24"/>
          <w:szCs w:val="24"/>
        </w:rPr>
        <w:t xml:space="preserve">. </w:t>
      </w:r>
      <w:r w:rsidRPr="00757BA6">
        <w:rPr>
          <w:rFonts w:ascii="Times New Roman" w:hAnsi="Times New Roman" w:cs="Times New Roman"/>
          <w:sz w:val="24"/>
          <w:szCs w:val="24"/>
        </w:rPr>
        <w:t xml:space="preserve">The term ‘contractual estoppel’ later popularised by the court of appeal decision in </w:t>
      </w:r>
      <w:proofErr w:type="spellStart"/>
      <w:r w:rsidRPr="00757BA6">
        <w:rPr>
          <w:rFonts w:ascii="Times New Roman" w:hAnsi="Times New Roman" w:cs="Times New Roman"/>
          <w:i/>
          <w:iCs/>
          <w:sz w:val="24"/>
          <w:szCs w:val="24"/>
        </w:rPr>
        <w:t>Peekay</w:t>
      </w:r>
      <w:proofErr w:type="spellEnd"/>
      <w:r w:rsidRPr="00757BA6">
        <w:rPr>
          <w:rFonts w:ascii="Times New Roman" w:hAnsi="Times New Roman" w:cs="Times New Roman"/>
          <w:i/>
          <w:iCs/>
          <w:sz w:val="24"/>
          <w:szCs w:val="24"/>
        </w:rPr>
        <w:t xml:space="preserve"> and</w:t>
      </w:r>
      <w:r w:rsidRPr="00757BA6">
        <w:rPr>
          <w:rFonts w:ascii="Times New Roman" w:hAnsi="Times New Roman" w:cs="Times New Roman"/>
          <w:sz w:val="24"/>
          <w:szCs w:val="24"/>
        </w:rPr>
        <w:t xml:space="preserve"> has since taken root. In some respect, the function of contractual estoppel is very different from traditional estoppel. Therefore, before discussing contractual estoppel, it is important to have some idea on traditional estoppel and historical background of the development of contractual estoppel. It can be seen from historical origin modern estoppel is a classic example of equity, which prevents the exercise of strict legal rights ignoring the true situation and the behaviour of the parties towards each other.</w:t>
      </w:r>
      <w:r w:rsidRPr="002B75EC">
        <w:rPr>
          <w:rStyle w:val="FootnoteReference"/>
          <w:rFonts w:ascii="Times New Roman" w:hAnsi="Times New Roman" w:cs="Times New Roman"/>
          <w:sz w:val="24"/>
          <w:szCs w:val="24"/>
        </w:rPr>
        <w:footnoteReference w:id="12"/>
      </w:r>
      <w:r w:rsidRPr="00757BA6">
        <w:rPr>
          <w:rFonts w:ascii="Times New Roman" w:hAnsi="Times New Roman" w:cs="Times New Roman"/>
          <w:sz w:val="24"/>
          <w:szCs w:val="24"/>
        </w:rPr>
        <w:t xml:space="preserve"> For the policy reason, traditional estoppel sometimes prefers natural justice over legal certainty to represent the desire of the court. The traditional view of estoppel can be found in the wordings of Diplock J in </w:t>
      </w:r>
      <w:r w:rsidRPr="00757BA6">
        <w:rPr>
          <w:rFonts w:ascii="Times New Roman" w:hAnsi="Times New Roman" w:cs="Times New Roman"/>
          <w:i/>
          <w:iCs/>
          <w:sz w:val="24"/>
          <w:szCs w:val="24"/>
        </w:rPr>
        <w:t xml:space="preserve">Lowe v </w:t>
      </w:r>
      <w:proofErr w:type="spellStart"/>
      <w:r w:rsidRPr="00757BA6">
        <w:rPr>
          <w:rFonts w:ascii="Times New Roman" w:hAnsi="Times New Roman" w:cs="Times New Roman"/>
          <w:i/>
          <w:iCs/>
          <w:sz w:val="24"/>
          <w:szCs w:val="24"/>
        </w:rPr>
        <w:t>lombak</w:t>
      </w:r>
      <w:proofErr w:type="spellEnd"/>
      <w:r w:rsidRPr="002B75EC">
        <w:rPr>
          <w:rStyle w:val="FootnoteReference"/>
          <w:rFonts w:ascii="Times New Roman" w:hAnsi="Times New Roman" w:cs="Times New Roman"/>
          <w:i/>
          <w:iCs/>
          <w:sz w:val="24"/>
          <w:szCs w:val="24"/>
        </w:rPr>
        <w:footnoteReference w:id="13"/>
      </w:r>
      <w:r w:rsidRPr="00757BA6">
        <w:rPr>
          <w:rFonts w:ascii="Times New Roman" w:hAnsi="Times New Roman" w:cs="Times New Roman"/>
          <w:i/>
          <w:iCs/>
          <w:sz w:val="24"/>
          <w:szCs w:val="24"/>
        </w:rPr>
        <w:t xml:space="preserve">, </w:t>
      </w:r>
      <w:r w:rsidRPr="00757BA6">
        <w:rPr>
          <w:rFonts w:ascii="Times New Roman" w:hAnsi="Times New Roman" w:cs="Times New Roman"/>
          <w:sz w:val="24"/>
          <w:szCs w:val="24"/>
        </w:rPr>
        <w:t xml:space="preserve">applying a standard estoppel analysis to a contractual representation, an estoppel would arise where a clear and unambiguous statement was made, intended by the claimant to be acted upon by the defendant, or that such an intention could be inferred, and the defendant believed it to be true and was induced by such belief. It can be seen from above analysis; a contractual estoppel cannot be created if a representation in a contract known to be false. Therefore, commercial lawyers have </w:t>
      </w:r>
      <w:r w:rsidRPr="00757BA6">
        <w:rPr>
          <w:rFonts w:ascii="Times New Roman" w:hAnsi="Times New Roman" w:cs="Times New Roman"/>
          <w:sz w:val="24"/>
          <w:szCs w:val="24"/>
        </w:rPr>
        <w:lastRenderedPageBreak/>
        <w:t xml:space="preserve">been struggling in the face of analysis in </w:t>
      </w:r>
      <w:r w:rsidRPr="00757BA6">
        <w:rPr>
          <w:rFonts w:ascii="Times New Roman" w:hAnsi="Times New Roman" w:cs="Times New Roman"/>
          <w:i/>
          <w:iCs/>
          <w:sz w:val="24"/>
          <w:szCs w:val="24"/>
        </w:rPr>
        <w:t xml:space="preserve">Lowe v </w:t>
      </w:r>
      <w:proofErr w:type="spellStart"/>
      <w:r w:rsidRPr="00757BA6">
        <w:rPr>
          <w:rFonts w:ascii="Times New Roman" w:hAnsi="Times New Roman" w:cs="Times New Roman"/>
          <w:i/>
          <w:iCs/>
          <w:sz w:val="24"/>
          <w:szCs w:val="24"/>
        </w:rPr>
        <w:t>Lombak</w:t>
      </w:r>
      <w:proofErr w:type="spellEnd"/>
      <w:r w:rsidRPr="002B75EC">
        <w:rPr>
          <w:rStyle w:val="FootnoteReference"/>
          <w:rFonts w:ascii="Times New Roman" w:hAnsi="Times New Roman" w:cs="Times New Roman"/>
          <w:i/>
          <w:iCs/>
          <w:sz w:val="24"/>
          <w:szCs w:val="24"/>
        </w:rPr>
        <w:footnoteReference w:id="14"/>
      </w:r>
      <w:r w:rsidRPr="00757BA6">
        <w:rPr>
          <w:rFonts w:ascii="Times New Roman" w:hAnsi="Times New Roman" w:cs="Times New Roman"/>
          <w:sz w:val="24"/>
          <w:szCs w:val="24"/>
        </w:rPr>
        <w:t xml:space="preserve"> to design or frame the contractual terms that would give their clients certainty on the future disputes.</w:t>
      </w:r>
      <w:r w:rsidRPr="002B75EC">
        <w:rPr>
          <w:rStyle w:val="FootnoteReference"/>
          <w:rFonts w:ascii="Times New Roman" w:hAnsi="Times New Roman" w:cs="Times New Roman"/>
          <w:sz w:val="24"/>
          <w:szCs w:val="24"/>
        </w:rPr>
        <w:footnoteReference w:id="15"/>
      </w:r>
      <w:r w:rsidRPr="00757BA6">
        <w:rPr>
          <w:rFonts w:ascii="Times New Roman" w:hAnsi="Times New Roman" w:cs="Times New Roman"/>
          <w:sz w:val="24"/>
          <w:szCs w:val="24"/>
        </w:rPr>
        <w:t xml:space="preserve"> Such struggles have been continued for decades since above analysis of traditional estoppel. However, in 21</w:t>
      </w:r>
      <w:r w:rsidRPr="00757BA6">
        <w:rPr>
          <w:rFonts w:ascii="Times New Roman" w:hAnsi="Times New Roman" w:cs="Times New Roman"/>
          <w:sz w:val="24"/>
          <w:szCs w:val="24"/>
          <w:vertAlign w:val="superscript"/>
        </w:rPr>
        <w:t>st</w:t>
      </w:r>
      <w:r w:rsidRPr="00757BA6">
        <w:rPr>
          <w:rFonts w:ascii="Times New Roman" w:hAnsi="Times New Roman" w:cs="Times New Roman"/>
          <w:sz w:val="24"/>
          <w:szCs w:val="24"/>
        </w:rPr>
        <w:t xml:space="preserve"> century commercial lawyers finally got relived from such struggle since the most needed concept ‘contractual estoppel’ has developed. Many commercial cases have been decided applying this principle. In short period of time the principle of contractual estoppel received mass popularity in the arena of commercial litigations. Such popularity of contractual estoppel is the evidence that it serves the real demand.</w:t>
      </w:r>
      <w:r w:rsidRPr="002B75EC">
        <w:rPr>
          <w:rStyle w:val="FootnoteReference"/>
          <w:rFonts w:ascii="Times New Roman" w:hAnsi="Times New Roman" w:cs="Times New Roman"/>
          <w:sz w:val="24"/>
          <w:szCs w:val="24"/>
        </w:rPr>
        <w:footnoteReference w:id="16"/>
      </w:r>
      <w:r w:rsidRPr="00757BA6">
        <w:rPr>
          <w:rFonts w:ascii="Times New Roman" w:hAnsi="Times New Roman" w:cs="Times New Roman"/>
          <w:sz w:val="24"/>
          <w:szCs w:val="24"/>
        </w:rPr>
        <w:t xml:space="preserve"> The modern doctrine originates from the famous case </w:t>
      </w:r>
      <w:proofErr w:type="spellStart"/>
      <w:r w:rsidRPr="00757BA6">
        <w:rPr>
          <w:rFonts w:ascii="Times New Roman" w:hAnsi="Times New Roman" w:cs="Times New Roman"/>
          <w:i/>
          <w:iCs/>
          <w:sz w:val="24"/>
          <w:szCs w:val="24"/>
        </w:rPr>
        <w:t>Peekay</w:t>
      </w:r>
      <w:proofErr w:type="spellEnd"/>
      <w:r w:rsidRPr="00757BA6">
        <w:rPr>
          <w:rFonts w:ascii="Times New Roman" w:hAnsi="Times New Roman" w:cs="Times New Roman"/>
          <w:i/>
          <w:iCs/>
          <w:sz w:val="24"/>
          <w:szCs w:val="24"/>
        </w:rPr>
        <w:t xml:space="preserve"> </w:t>
      </w:r>
      <w:proofErr w:type="spellStart"/>
      <w:r w:rsidRPr="00757BA6">
        <w:rPr>
          <w:rFonts w:ascii="Times New Roman" w:hAnsi="Times New Roman" w:cs="Times New Roman"/>
          <w:i/>
          <w:iCs/>
          <w:sz w:val="24"/>
          <w:szCs w:val="24"/>
        </w:rPr>
        <w:t>Intermark</w:t>
      </w:r>
      <w:proofErr w:type="spellEnd"/>
      <w:r w:rsidRPr="00757BA6">
        <w:rPr>
          <w:rFonts w:ascii="Times New Roman" w:hAnsi="Times New Roman" w:cs="Times New Roman"/>
          <w:i/>
          <w:iCs/>
          <w:sz w:val="24"/>
          <w:szCs w:val="24"/>
        </w:rPr>
        <w:t xml:space="preserve"> v Australia and New Zealand Banking Group</w:t>
      </w:r>
      <w:r w:rsidRPr="002B75EC">
        <w:rPr>
          <w:rStyle w:val="FootnoteReference"/>
          <w:rFonts w:ascii="Times New Roman" w:hAnsi="Times New Roman" w:cs="Times New Roman"/>
          <w:i/>
          <w:iCs/>
          <w:sz w:val="24"/>
          <w:szCs w:val="24"/>
        </w:rPr>
        <w:footnoteReference w:id="17"/>
      </w:r>
      <w:r w:rsidRPr="00757BA6">
        <w:rPr>
          <w:rFonts w:ascii="Times New Roman" w:hAnsi="Times New Roman" w:cs="Times New Roman"/>
          <w:i/>
          <w:iCs/>
          <w:sz w:val="24"/>
          <w:szCs w:val="24"/>
        </w:rPr>
        <w:t xml:space="preserve">. </w:t>
      </w:r>
      <w:r w:rsidRPr="00757BA6">
        <w:rPr>
          <w:rFonts w:ascii="Times New Roman" w:hAnsi="Times New Roman" w:cs="Times New Roman"/>
          <w:sz w:val="24"/>
          <w:szCs w:val="24"/>
        </w:rPr>
        <w:t xml:space="preserve">The doctrine states, ‘there is no reason in principle why parties to a contract should not agree that a certain </w:t>
      </w:r>
      <w:proofErr w:type="gramStart"/>
      <w:r w:rsidRPr="00757BA6">
        <w:rPr>
          <w:rFonts w:ascii="Times New Roman" w:hAnsi="Times New Roman" w:cs="Times New Roman"/>
          <w:sz w:val="24"/>
          <w:szCs w:val="24"/>
        </w:rPr>
        <w:t>state of affairs should</w:t>
      </w:r>
      <w:proofErr w:type="gramEnd"/>
      <w:r w:rsidRPr="00757BA6">
        <w:rPr>
          <w:rFonts w:ascii="Times New Roman" w:hAnsi="Times New Roman" w:cs="Times New Roman"/>
          <w:sz w:val="24"/>
          <w:szCs w:val="24"/>
        </w:rPr>
        <w:t xml:space="preserve"> form the basis for the transaction, whether it be the case or not.’ The principle in </w:t>
      </w:r>
      <w:proofErr w:type="spellStart"/>
      <w:r w:rsidRPr="00757BA6">
        <w:rPr>
          <w:rFonts w:ascii="Times New Roman" w:hAnsi="Times New Roman" w:cs="Times New Roman"/>
          <w:i/>
          <w:iCs/>
          <w:sz w:val="24"/>
          <w:szCs w:val="24"/>
        </w:rPr>
        <w:t>Peekay</w:t>
      </w:r>
      <w:proofErr w:type="spellEnd"/>
      <w:r w:rsidRPr="00757BA6">
        <w:rPr>
          <w:rFonts w:ascii="Times New Roman" w:hAnsi="Times New Roman" w:cs="Times New Roman"/>
          <w:i/>
          <w:iCs/>
          <w:sz w:val="24"/>
          <w:szCs w:val="24"/>
        </w:rPr>
        <w:t xml:space="preserve"> </w:t>
      </w:r>
      <w:r w:rsidRPr="00757BA6">
        <w:rPr>
          <w:rFonts w:ascii="Times New Roman" w:hAnsi="Times New Roman" w:cs="Times New Roman"/>
          <w:sz w:val="24"/>
          <w:szCs w:val="24"/>
        </w:rPr>
        <w:t xml:space="preserve">also states that, where parties express an agreement in a contractual document neither party can subsequently deny the existence of the facts and matters upon which they have agreed, at least so far as concerned those aspects of their relationship to which the agreement was directed. The contract itself gives rise to an estoppel. The first case the modern principle of contractual estoppel has been recognised since its appearance in </w:t>
      </w:r>
      <w:proofErr w:type="spellStart"/>
      <w:r w:rsidRPr="00757BA6">
        <w:rPr>
          <w:rFonts w:ascii="Times New Roman" w:hAnsi="Times New Roman" w:cs="Times New Roman"/>
          <w:i/>
          <w:iCs/>
          <w:sz w:val="24"/>
          <w:szCs w:val="24"/>
        </w:rPr>
        <w:t>Peekay</w:t>
      </w:r>
      <w:proofErr w:type="spellEnd"/>
      <w:r w:rsidRPr="00757BA6">
        <w:rPr>
          <w:rFonts w:ascii="Times New Roman" w:hAnsi="Times New Roman" w:cs="Times New Roman"/>
          <w:i/>
          <w:iCs/>
          <w:sz w:val="24"/>
          <w:szCs w:val="24"/>
        </w:rPr>
        <w:t xml:space="preserve">, is </w:t>
      </w:r>
      <w:r w:rsidRPr="00757BA6">
        <w:rPr>
          <w:rStyle w:val="Emphasis"/>
          <w:rFonts w:ascii="Times New Roman" w:hAnsi="Times New Roman" w:cs="Times New Roman"/>
          <w:color w:val="000000"/>
          <w:sz w:val="24"/>
          <w:szCs w:val="24"/>
          <w:shd w:val="clear" w:color="auto" w:fill="FFFFFF"/>
        </w:rPr>
        <w:t>JP Morgan Chase v Springwell Navigation</w:t>
      </w:r>
      <w:r w:rsidRPr="002B75EC">
        <w:rPr>
          <w:rStyle w:val="FootnoteReference"/>
          <w:rFonts w:ascii="Times New Roman" w:hAnsi="Times New Roman" w:cs="Times New Roman"/>
          <w:i/>
          <w:iCs/>
          <w:color w:val="000000"/>
          <w:sz w:val="24"/>
          <w:szCs w:val="24"/>
          <w:shd w:val="clear" w:color="auto" w:fill="FFFFFF"/>
        </w:rPr>
        <w:footnoteReference w:id="18"/>
      </w:r>
      <w:r w:rsidRPr="00757BA6">
        <w:rPr>
          <w:rStyle w:val="Emphasis"/>
          <w:rFonts w:ascii="Times New Roman" w:hAnsi="Times New Roman" w:cs="Times New Roman"/>
          <w:color w:val="000000"/>
          <w:sz w:val="24"/>
          <w:szCs w:val="24"/>
          <w:shd w:val="clear" w:color="auto" w:fill="FFFFFF"/>
        </w:rPr>
        <w:t xml:space="preserve">. </w:t>
      </w:r>
      <w:r w:rsidRPr="00757BA6">
        <w:rPr>
          <w:rStyle w:val="Emphasis"/>
          <w:rFonts w:ascii="Times New Roman" w:hAnsi="Times New Roman" w:cs="Times New Roman"/>
          <w:i w:val="0"/>
          <w:iCs w:val="0"/>
          <w:color w:val="000000"/>
          <w:sz w:val="24"/>
          <w:szCs w:val="24"/>
          <w:shd w:val="clear" w:color="auto" w:fill="FFFFFF"/>
        </w:rPr>
        <w:t xml:space="preserve">In this case Springwell had made contractual representations and given warranties to the effect that it was sophisticated, was not relying upon advice from the bank and had made its own independent decision to acquire the financial instruments in question. It was held by </w:t>
      </w:r>
      <w:proofErr w:type="spellStart"/>
      <w:r w:rsidRPr="00757BA6">
        <w:rPr>
          <w:rStyle w:val="Emphasis"/>
          <w:rFonts w:ascii="Times New Roman" w:hAnsi="Times New Roman" w:cs="Times New Roman"/>
          <w:i w:val="0"/>
          <w:iCs w:val="0"/>
          <w:color w:val="000000"/>
          <w:sz w:val="24"/>
          <w:szCs w:val="24"/>
          <w:shd w:val="clear" w:color="auto" w:fill="FFFFFF"/>
        </w:rPr>
        <w:t>Gloster</w:t>
      </w:r>
      <w:proofErr w:type="spellEnd"/>
      <w:r w:rsidRPr="00757BA6">
        <w:rPr>
          <w:rStyle w:val="Emphasis"/>
          <w:rFonts w:ascii="Times New Roman" w:hAnsi="Times New Roman" w:cs="Times New Roman"/>
          <w:i w:val="0"/>
          <w:iCs w:val="0"/>
          <w:color w:val="000000"/>
          <w:sz w:val="24"/>
          <w:szCs w:val="24"/>
          <w:shd w:val="clear" w:color="auto" w:fill="FFFFFF"/>
        </w:rPr>
        <w:t xml:space="preserve"> J that there was no reason why Springwell and the bank were not free contractually to determine the factual basis upon which they conduct business, even if those statements were in fact inaccurate. Later in Court of appeal the decision of </w:t>
      </w:r>
      <w:proofErr w:type="spellStart"/>
      <w:r w:rsidRPr="00757BA6">
        <w:rPr>
          <w:rStyle w:val="Emphasis"/>
          <w:rFonts w:ascii="Times New Roman" w:hAnsi="Times New Roman" w:cs="Times New Roman"/>
          <w:i w:val="0"/>
          <w:iCs w:val="0"/>
          <w:color w:val="000000"/>
          <w:sz w:val="24"/>
          <w:szCs w:val="24"/>
          <w:shd w:val="clear" w:color="auto" w:fill="FFFFFF"/>
        </w:rPr>
        <w:t>Gloster</w:t>
      </w:r>
      <w:proofErr w:type="spellEnd"/>
      <w:r w:rsidRPr="00757BA6">
        <w:rPr>
          <w:rStyle w:val="Emphasis"/>
          <w:rFonts w:ascii="Times New Roman" w:hAnsi="Times New Roman" w:cs="Times New Roman"/>
          <w:i w:val="0"/>
          <w:iCs w:val="0"/>
          <w:color w:val="000000"/>
          <w:sz w:val="24"/>
          <w:szCs w:val="24"/>
          <w:shd w:val="clear" w:color="auto" w:fill="FFFFFF"/>
        </w:rPr>
        <w:t xml:space="preserve"> J was </w:t>
      </w:r>
      <w:r w:rsidRPr="00757BA6">
        <w:rPr>
          <w:rStyle w:val="Emphasis"/>
          <w:rFonts w:ascii="Times New Roman" w:hAnsi="Times New Roman" w:cs="Times New Roman"/>
          <w:i w:val="0"/>
          <w:iCs w:val="0"/>
          <w:color w:val="000000"/>
          <w:sz w:val="24"/>
          <w:szCs w:val="24"/>
          <w:shd w:val="clear" w:color="auto" w:fill="FFFFFF"/>
        </w:rPr>
        <w:lastRenderedPageBreak/>
        <w:t xml:space="preserve">upheld. The court of appeal also made it clear that, contractual estoppel is a separate doctrine from estoppel by convention, and that there was no requirement on the part of bank to show that it would be unconscionable to </w:t>
      </w:r>
      <w:proofErr w:type="spellStart"/>
      <w:r w:rsidRPr="00757BA6">
        <w:rPr>
          <w:rStyle w:val="Emphasis"/>
          <w:rFonts w:ascii="Times New Roman" w:hAnsi="Times New Roman" w:cs="Times New Roman"/>
          <w:i w:val="0"/>
          <w:iCs w:val="0"/>
          <w:color w:val="000000"/>
          <w:sz w:val="24"/>
          <w:szCs w:val="24"/>
          <w:shd w:val="clear" w:color="auto" w:fill="FFFFFF"/>
        </w:rPr>
        <w:t>resile</w:t>
      </w:r>
      <w:proofErr w:type="spellEnd"/>
      <w:r w:rsidRPr="00757BA6">
        <w:rPr>
          <w:rStyle w:val="Emphasis"/>
          <w:rFonts w:ascii="Times New Roman" w:hAnsi="Times New Roman" w:cs="Times New Roman"/>
          <w:i w:val="0"/>
          <w:iCs w:val="0"/>
          <w:color w:val="000000"/>
          <w:sz w:val="24"/>
          <w:szCs w:val="24"/>
          <w:shd w:val="clear" w:color="auto" w:fill="FFFFFF"/>
        </w:rPr>
        <w:t xml:space="preserve"> from the representation made.  Since the formal recognition of contractual estoppel by court in </w:t>
      </w:r>
      <w:r w:rsidRPr="00757BA6">
        <w:rPr>
          <w:rStyle w:val="Emphasis"/>
          <w:rFonts w:ascii="Times New Roman" w:hAnsi="Times New Roman" w:cs="Times New Roman"/>
          <w:color w:val="000000"/>
          <w:sz w:val="24"/>
          <w:szCs w:val="24"/>
          <w:shd w:val="clear" w:color="auto" w:fill="FFFFFF"/>
        </w:rPr>
        <w:t xml:space="preserve">Springwell, </w:t>
      </w:r>
      <w:r w:rsidRPr="00757BA6">
        <w:rPr>
          <w:rStyle w:val="Emphasis"/>
          <w:rFonts w:ascii="Times New Roman" w:hAnsi="Times New Roman" w:cs="Times New Roman"/>
          <w:i w:val="0"/>
          <w:iCs w:val="0"/>
          <w:color w:val="000000"/>
          <w:sz w:val="24"/>
          <w:szCs w:val="24"/>
          <w:shd w:val="clear" w:color="auto" w:fill="FFFFFF"/>
        </w:rPr>
        <w:t xml:space="preserve">the doctrine has become a popular tool in commercial litigation. A complete development of this doctrine will be critically discussed in the following chapter through the analysis of leading cases. </w:t>
      </w:r>
    </w:p>
    <w:p w14:paraId="76E3F0F4"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219FBEAC"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0862940B"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48D62F61"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5BE47DB8"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67B7E1BE"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145C376D"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30C71EAD"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61F090A9"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64EA9DFA" w14:textId="7ACD5AD6" w:rsidR="00D167E7" w:rsidRDefault="00D167E7" w:rsidP="002B75EC">
      <w:pPr>
        <w:spacing w:line="480" w:lineRule="auto"/>
        <w:jc w:val="both"/>
        <w:rPr>
          <w:rStyle w:val="Emphasis"/>
          <w:rFonts w:ascii="Times New Roman" w:hAnsi="Times New Roman" w:cs="Times New Roman"/>
          <w:i w:val="0"/>
          <w:iCs w:val="0"/>
          <w:sz w:val="24"/>
          <w:szCs w:val="24"/>
        </w:rPr>
      </w:pPr>
    </w:p>
    <w:p w14:paraId="3322C811" w14:textId="5862059F" w:rsidR="00383A76" w:rsidRDefault="00383A76" w:rsidP="002B75EC">
      <w:pPr>
        <w:spacing w:line="480" w:lineRule="auto"/>
        <w:jc w:val="both"/>
        <w:rPr>
          <w:rStyle w:val="Emphasis"/>
          <w:rFonts w:ascii="Times New Roman" w:hAnsi="Times New Roman" w:cs="Times New Roman"/>
          <w:i w:val="0"/>
          <w:iCs w:val="0"/>
          <w:sz w:val="24"/>
          <w:szCs w:val="24"/>
        </w:rPr>
      </w:pPr>
    </w:p>
    <w:p w14:paraId="437E8F9C" w14:textId="69582E42" w:rsidR="00383A76" w:rsidRDefault="00383A76" w:rsidP="002B75EC">
      <w:pPr>
        <w:spacing w:line="480" w:lineRule="auto"/>
        <w:jc w:val="both"/>
        <w:rPr>
          <w:rStyle w:val="Emphasis"/>
          <w:rFonts w:ascii="Times New Roman" w:hAnsi="Times New Roman" w:cs="Times New Roman"/>
          <w:i w:val="0"/>
          <w:iCs w:val="0"/>
          <w:sz w:val="24"/>
          <w:szCs w:val="24"/>
        </w:rPr>
      </w:pPr>
    </w:p>
    <w:p w14:paraId="76F38AF7" w14:textId="77777777" w:rsidR="00383A76" w:rsidRPr="002B75EC" w:rsidRDefault="00383A76" w:rsidP="002B75EC">
      <w:pPr>
        <w:spacing w:line="480" w:lineRule="auto"/>
        <w:jc w:val="both"/>
        <w:rPr>
          <w:rStyle w:val="Emphasis"/>
          <w:rFonts w:ascii="Times New Roman" w:hAnsi="Times New Roman" w:cs="Times New Roman"/>
          <w:i w:val="0"/>
          <w:iCs w:val="0"/>
          <w:sz w:val="24"/>
          <w:szCs w:val="24"/>
        </w:rPr>
      </w:pPr>
    </w:p>
    <w:p w14:paraId="17BB5FF5" w14:textId="77777777" w:rsidR="00D167E7" w:rsidRPr="002B75EC" w:rsidRDefault="00D167E7" w:rsidP="002B75EC">
      <w:pPr>
        <w:spacing w:line="480" w:lineRule="auto"/>
        <w:jc w:val="both"/>
        <w:rPr>
          <w:rStyle w:val="Emphasis"/>
          <w:rFonts w:ascii="Times New Roman" w:hAnsi="Times New Roman" w:cs="Times New Roman"/>
          <w:i w:val="0"/>
          <w:iCs w:val="0"/>
          <w:sz w:val="24"/>
          <w:szCs w:val="24"/>
        </w:rPr>
      </w:pPr>
    </w:p>
    <w:p w14:paraId="5FC9E9BC" w14:textId="77777777" w:rsidR="006E7A02" w:rsidRDefault="006E7A02" w:rsidP="006E7A02">
      <w:pPr>
        <w:spacing w:line="480" w:lineRule="auto"/>
        <w:rPr>
          <w:rStyle w:val="Emphasis"/>
          <w:rFonts w:ascii="Times New Roman" w:hAnsi="Times New Roman" w:cs="Times New Roman"/>
          <w:i w:val="0"/>
          <w:iCs w:val="0"/>
          <w:sz w:val="24"/>
          <w:szCs w:val="24"/>
        </w:rPr>
      </w:pPr>
    </w:p>
    <w:p w14:paraId="6C4DFA82" w14:textId="5C706B1C" w:rsidR="00D167E7" w:rsidRPr="006E7A02" w:rsidRDefault="00D167E7" w:rsidP="006E7A02">
      <w:pPr>
        <w:spacing w:line="480" w:lineRule="auto"/>
        <w:jc w:val="center"/>
        <w:rPr>
          <w:rStyle w:val="Emphasis"/>
          <w:rFonts w:ascii="Times New Roman" w:hAnsi="Times New Roman" w:cs="Times New Roman"/>
          <w:b/>
          <w:bCs/>
          <w:i w:val="0"/>
          <w:iCs w:val="0"/>
          <w:sz w:val="36"/>
          <w:szCs w:val="36"/>
          <w:u w:val="single"/>
        </w:rPr>
      </w:pPr>
      <w:r w:rsidRPr="006E7A02">
        <w:rPr>
          <w:rFonts w:ascii="Times New Roman" w:hAnsi="Times New Roman" w:cs="Times New Roman"/>
          <w:b/>
          <w:bCs/>
          <w:sz w:val="36"/>
          <w:szCs w:val="36"/>
          <w:u w:val="single"/>
        </w:rPr>
        <w:lastRenderedPageBreak/>
        <w:t>CHAPTER TWO</w:t>
      </w:r>
    </w:p>
    <w:p w14:paraId="06902C8A" w14:textId="6C7D0E2A" w:rsidR="00D167E7" w:rsidRPr="006E7A02" w:rsidRDefault="00D167E7" w:rsidP="006E7A02">
      <w:pPr>
        <w:pStyle w:val="ListParagraph"/>
        <w:numPr>
          <w:ilvl w:val="0"/>
          <w:numId w:val="5"/>
        </w:numPr>
        <w:spacing w:line="480" w:lineRule="auto"/>
        <w:jc w:val="center"/>
        <w:rPr>
          <w:rFonts w:ascii="Times New Roman" w:hAnsi="Times New Roman" w:cs="Times New Roman"/>
          <w:b/>
          <w:bCs/>
          <w:sz w:val="32"/>
          <w:szCs w:val="32"/>
          <w:u w:val="single"/>
        </w:rPr>
      </w:pPr>
      <w:r w:rsidRPr="006E7A02">
        <w:rPr>
          <w:rFonts w:ascii="Times New Roman" w:hAnsi="Times New Roman" w:cs="Times New Roman"/>
          <w:b/>
          <w:bCs/>
          <w:sz w:val="32"/>
          <w:szCs w:val="32"/>
          <w:u w:val="single"/>
        </w:rPr>
        <w:t xml:space="preserve">Development of Contractual Estoppel: </w:t>
      </w:r>
      <w:r w:rsidR="00F83178" w:rsidRPr="006E7A02">
        <w:rPr>
          <w:rFonts w:ascii="Times New Roman" w:hAnsi="Times New Roman" w:cs="Times New Roman"/>
          <w:b/>
          <w:bCs/>
          <w:sz w:val="32"/>
          <w:szCs w:val="32"/>
          <w:u w:val="single"/>
        </w:rPr>
        <w:t>pivotal cases</w:t>
      </w:r>
    </w:p>
    <w:p w14:paraId="64095F68" w14:textId="77777777" w:rsidR="00D167E7" w:rsidRPr="002B75EC" w:rsidRDefault="00D167E7" w:rsidP="002B75EC">
      <w:pPr>
        <w:pStyle w:val="ListParagraph"/>
        <w:spacing w:line="480" w:lineRule="auto"/>
        <w:ind w:left="360"/>
        <w:jc w:val="both"/>
        <w:rPr>
          <w:rFonts w:ascii="Times New Roman" w:hAnsi="Times New Roman" w:cs="Times New Roman"/>
          <w:sz w:val="24"/>
          <w:szCs w:val="24"/>
        </w:rPr>
      </w:pPr>
    </w:p>
    <w:p w14:paraId="6C4CB4ED" w14:textId="77777777" w:rsidR="00DB1A08" w:rsidRDefault="00D167E7" w:rsidP="002B75EC">
      <w:pPr>
        <w:pStyle w:val="ListParagraph"/>
        <w:numPr>
          <w:ilvl w:val="1"/>
          <w:numId w:val="7"/>
        </w:numPr>
        <w:spacing w:line="480" w:lineRule="auto"/>
        <w:jc w:val="both"/>
        <w:rPr>
          <w:rFonts w:ascii="Times New Roman" w:hAnsi="Times New Roman" w:cs="Times New Roman"/>
          <w:sz w:val="24"/>
          <w:szCs w:val="24"/>
        </w:rPr>
      </w:pPr>
      <w:r w:rsidRPr="006E7A02">
        <w:rPr>
          <w:rFonts w:ascii="Times New Roman" w:hAnsi="Times New Roman" w:cs="Times New Roman"/>
          <w:b/>
          <w:bCs/>
          <w:sz w:val="24"/>
          <w:szCs w:val="24"/>
          <w:u w:val="single"/>
        </w:rPr>
        <w:t>Chapter overview:</w:t>
      </w:r>
      <w:r w:rsidRPr="002B75EC">
        <w:rPr>
          <w:rFonts w:ascii="Times New Roman" w:hAnsi="Times New Roman" w:cs="Times New Roman"/>
          <w:sz w:val="24"/>
          <w:szCs w:val="24"/>
        </w:rPr>
        <w:t xml:space="preserve"> </w:t>
      </w:r>
    </w:p>
    <w:p w14:paraId="316F4117" w14:textId="4D5DA784" w:rsidR="006E7A02" w:rsidRPr="00DB1A08" w:rsidRDefault="00D167E7" w:rsidP="00DB1A08">
      <w:pPr>
        <w:spacing w:line="480" w:lineRule="auto"/>
        <w:jc w:val="both"/>
        <w:rPr>
          <w:rFonts w:ascii="Times New Roman" w:hAnsi="Times New Roman" w:cs="Times New Roman"/>
          <w:sz w:val="24"/>
          <w:szCs w:val="24"/>
        </w:rPr>
      </w:pPr>
      <w:r w:rsidRPr="00DB1A08">
        <w:rPr>
          <w:rFonts w:ascii="Times New Roman" w:hAnsi="Times New Roman" w:cs="Times New Roman"/>
          <w:sz w:val="24"/>
          <w:szCs w:val="24"/>
        </w:rPr>
        <w:t xml:space="preserve">The doctrine of contractual estoppel keeps the contracting parties to the bargain they have stuck, even if the reality of the situation is not reflected. This type of estoppel was the desire of the English courts for a long time, to give the parties freedom to resolve the uncertainty and to determine the basis on which they wish to </w:t>
      </w:r>
      <w:proofErr w:type="gramStart"/>
      <w:r w:rsidRPr="00DB1A08">
        <w:rPr>
          <w:rFonts w:ascii="Times New Roman" w:hAnsi="Times New Roman" w:cs="Times New Roman"/>
          <w:sz w:val="24"/>
          <w:szCs w:val="24"/>
        </w:rPr>
        <w:t>enter into</w:t>
      </w:r>
      <w:proofErr w:type="gramEnd"/>
      <w:r w:rsidRPr="00DB1A08">
        <w:rPr>
          <w:rFonts w:ascii="Times New Roman" w:hAnsi="Times New Roman" w:cs="Times New Roman"/>
          <w:sz w:val="24"/>
          <w:szCs w:val="24"/>
        </w:rPr>
        <w:t xml:space="preserve"> contractual relationship. This chapter will critically </w:t>
      </w:r>
      <w:r w:rsidR="00E46358">
        <w:rPr>
          <w:rFonts w:ascii="Times New Roman" w:hAnsi="Times New Roman" w:cs="Times New Roman"/>
          <w:sz w:val="24"/>
          <w:szCs w:val="24"/>
        </w:rPr>
        <w:t>discuss</w:t>
      </w:r>
      <w:r w:rsidRPr="00DB1A08">
        <w:rPr>
          <w:rFonts w:ascii="Times New Roman" w:hAnsi="Times New Roman" w:cs="Times New Roman"/>
          <w:sz w:val="24"/>
          <w:szCs w:val="24"/>
        </w:rPr>
        <w:t xml:space="preserve"> how contractual estoppel has been developed over the </w:t>
      </w:r>
      <w:proofErr w:type="gramStart"/>
      <w:r w:rsidRPr="00DB1A08">
        <w:rPr>
          <w:rFonts w:ascii="Times New Roman" w:hAnsi="Times New Roman" w:cs="Times New Roman"/>
          <w:sz w:val="24"/>
          <w:szCs w:val="24"/>
        </w:rPr>
        <w:t>period of time</w:t>
      </w:r>
      <w:proofErr w:type="gramEnd"/>
      <w:r w:rsidRPr="00DB1A08">
        <w:rPr>
          <w:rFonts w:ascii="Times New Roman" w:hAnsi="Times New Roman" w:cs="Times New Roman"/>
          <w:sz w:val="24"/>
          <w:szCs w:val="24"/>
        </w:rPr>
        <w:t xml:space="preserve"> through its landmark cases. The first landmark case was </w:t>
      </w:r>
      <w:proofErr w:type="spellStart"/>
      <w:r w:rsidRPr="00DB1A08">
        <w:rPr>
          <w:rFonts w:ascii="Times New Roman" w:hAnsi="Times New Roman" w:cs="Times New Roman"/>
          <w:i/>
          <w:iCs/>
          <w:sz w:val="24"/>
          <w:szCs w:val="24"/>
        </w:rPr>
        <w:t>Peekay</w:t>
      </w:r>
      <w:proofErr w:type="spellEnd"/>
      <w:r w:rsidRPr="00DB1A08">
        <w:rPr>
          <w:rFonts w:ascii="Times New Roman" w:hAnsi="Times New Roman" w:cs="Times New Roman"/>
          <w:i/>
          <w:iCs/>
          <w:sz w:val="24"/>
          <w:szCs w:val="24"/>
        </w:rPr>
        <w:t xml:space="preserve"> </w:t>
      </w:r>
      <w:proofErr w:type="spellStart"/>
      <w:r w:rsidRPr="00DB1A08">
        <w:rPr>
          <w:rFonts w:ascii="Times New Roman" w:hAnsi="Times New Roman" w:cs="Times New Roman"/>
          <w:i/>
          <w:iCs/>
          <w:sz w:val="24"/>
          <w:szCs w:val="24"/>
        </w:rPr>
        <w:t>Intermark</w:t>
      </w:r>
      <w:proofErr w:type="spellEnd"/>
      <w:r w:rsidRPr="00DB1A08">
        <w:rPr>
          <w:rFonts w:ascii="Times New Roman" w:hAnsi="Times New Roman" w:cs="Times New Roman"/>
          <w:i/>
          <w:iCs/>
          <w:sz w:val="24"/>
          <w:szCs w:val="24"/>
        </w:rPr>
        <w:t xml:space="preserve"> v Australia and New Zealand Banking Group Ltd</w:t>
      </w:r>
      <w:r w:rsidRPr="002B75EC">
        <w:rPr>
          <w:rStyle w:val="FootnoteReference"/>
          <w:rFonts w:ascii="Times New Roman" w:hAnsi="Times New Roman" w:cs="Times New Roman"/>
          <w:i/>
          <w:iCs/>
          <w:sz w:val="24"/>
          <w:szCs w:val="24"/>
        </w:rPr>
        <w:footnoteReference w:id="19"/>
      </w:r>
      <w:r w:rsidRPr="00DB1A08">
        <w:rPr>
          <w:rFonts w:ascii="Times New Roman" w:hAnsi="Times New Roman" w:cs="Times New Roman"/>
          <w:i/>
          <w:iCs/>
          <w:sz w:val="24"/>
          <w:szCs w:val="24"/>
        </w:rPr>
        <w:t xml:space="preserve"> </w:t>
      </w:r>
      <w:r w:rsidRPr="00DB1A08">
        <w:rPr>
          <w:rFonts w:ascii="Times New Roman" w:hAnsi="Times New Roman" w:cs="Times New Roman"/>
          <w:sz w:val="24"/>
          <w:szCs w:val="24"/>
        </w:rPr>
        <w:t xml:space="preserve">where the doctrine of contractual estoppel first appeared. Following the decision of Court of Appeal in </w:t>
      </w:r>
      <w:proofErr w:type="spellStart"/>
      <w:r w:rsidRPr="00DB1A08">
        <w:rPr>
          <w:rFonts w:ascii="Times New Roman" w:hAnsi="Times New Roman" w:cs="Times New Roman"/>
          <w:i/>
          <w:iCs/>
          <w:sz w:val="24"/>
          <w:szCs w:val="24"/>
        </w:rPr>
        <w:t>Peekay</w:t>
      </w:r>
      <w:proofErr w:type="spellEnd"/>
      <w:r w:rsidRPr="00DB1A08">
        <w:rPr>
          <w:rFonts w:ascii="Times New Roman" w:hAnsi="Times New Roman" w:cs="Times New Roman"/>
          <w:i/>
          <w:iCs/>
          <w:sz w:val="24"/>
          <w:szCs w:val="24"/>
        </w:rPr>
        <w:t xml:space="preserve"> </w:t>
      </w:r>
      <w:r w:rsidRPr="00DB1A08">
        <w:rPr>
          <w:rFonts w:ascii="Times New Roman" w:hAnsi="Times New Roman" w:cs="Times New Roman"/>
          <w:sz w:val="24"/>
          <w:szCs w:val="24"/>
        </w:rPr>
        <w:t xml:space="preserve">the doctrine has been reconsidered and formally established in the case </w:t>
      </w:r>
      <w:r w:rsidRPr="00DB1A08">
        <w:rPr>
          <w:rStyle w:val="Emphasis"/>
          <w:rFonts w:ascii="Times New Roman" w:hAnsi="Times New Roman" w:cs="Times New Roman"/>
          <w:color w:val="000000"/>
          <w:sz w:val="24"/>
          <w:szCs w:val="24"/>
          <w:shd w:val="clear" w:color="auto" w:fill="FFFFFF"/>
        </w:rPr>
        <w:t>JP Morgan Chase v Springwell Navigation Corporation</w:t>
      </w:r>
      <w:r w:rsidRPr="002B75EC">
        <w:rPr>
          <w:rStyle w:val="FootnoteReference"/>
          <w:rFonts w:ascii="Times New Roman" w:hAnsi="Times New Roman" w:cs="Times New Roman"/>
          <w:i/>
          <w:iCs/>
          <w:color w:val="000000"/>
          <w:sz w:val="24"/>
          <w:szCs w:val="24"/>
          <w:shd w:val="clear" w:color="auto" w:fill="FFFFFF"/>
        </w:rPr>
        <w:footnoteReference w:id="20"/>
      </w:r>
      <w:r w:rsidRPr="00DB1A08">
        <w:rPr>
          <w:rStyle w:val="Emphasis"/>
          <w:rFonts w:ascii="Times New Roman" w:hAnsi="Times New Roman" w:cs="Times New Roman"/>
          <w:color w:val="000000"/>
          <w:sz w:val="24"/>
          <w:szCs w:val="24"/>
          <w:shd w:val="clear" w:color="auto" w:fill="FFFFFF"/>
        </w:rPr>
        <w:t xml:space="preserve">. </w:t>
      </w:r>
      <w:r w:rsidRPr="00DB1A08">
        <w:rPr>
          <w:rStyle w:val="Emphasis"/>
          <w:rFonts w:ascii="Times New Roman" w:hAnsi="Times New Roman" w:cs="Times New Roman"/>
          <w:i w:val="0"/>
          <w:iCs w:val="0"/>
          <w:color w:val="000000"/>
          <w:sz w:val="24"/>
          <w:szCs w:val="24"/>
          <w:shd w:val="clear" w:color="auto" w:fill="FFFFFF"/>
        </w:rPr>
        <w:t xml:space="preserve">Since the decision in </w:t>
      </w:r>
      <w:r w:rsidRPr="00DB1A08">
        <w:rPr>
          <w:rStyle w:val="Emphasis"/>
          <w:rFonts w:ascii="Times New Roman" w:hAnsi="Times New Roman" w:cs="Times New Roman"/>
          <w:color w:val="000000"/>
          <w:sz w:val="24"/>
          <w:szCs w:val="24"/>
          <w:shd w:val="clear" w:color="auto" w:fill="FFFFFF"/>
        </w:rPr>
        <w:t xml:space="preserve">Springwell, </w:t>
      </w:r>
      <w:r w:rsidRPr="00DB1A08">
        <w:rPr>
          <w:rStyle w:val="Emphasis"/>
          <w:rFonts w:ascii="Times New Roman" w:hAnsi="Times New Roman" w:cs="Times New Roman"/>
          <w:i w:val="0"/>
          <w:iCs w:val="0"/>
          <w:color w:val="000000"/>
          <w:sz w:val="24"/>
          <w:szCs w:val="24"/>
          <w:shd w:val="clear" w:color="auto" w:fill="FFFFFF"/>
        </w:rPr>
        <w:t xml:space="preserve">the doctrine of contractual estoppel has been considered by the English Courts in different occasions. </w:t>
      </w:r>
      <w:r w:rsidRPr="00DB1A08">
        <w:rPr>
          <w:rFonts w:ascii="Times New Roman" w:hAnsi="Times New Roman" w:cs="Times New Roman"/>
          <w:i/>
          <w:iCs/>
          <w:sz w:val="24"/>
          <w:szCs w:val="24"/>
        </w:rPr>
        <w:t xml:space="preserve">Prime Sight Ltd v </w:t>
      </w:r>
      <w:proofErr w:type="spellStart"/>
      <w:r w:rsidRPr="00DB1A08">
        <w:rPr>
          <w:rFonts w:ascii="Times New Roman" w:hAnsi="Times New Roman" w:cs="Times New Roman"/>
          <w:i/>
          <w:iCs/>
          <w:sz w:val="24"/>
          <w:szCs w:val="24"/>
        </w:rPr>
        <w:t>Lavarello</w:t>
      </w:r>
      <w:proofErr w:type="spellEnd"/>
      <w:r w:rsidRPr="002B75EC">
        <w:rPr>
          <w:rStyle w:val="FootnoteReference"/>
          <w:rFonts w:ascii="Times New Roman" w:hAnsi="Times New Roman" w:cs="Times New Roman"/>
          <w:i/>
          <w:iCs/>
          <w:sz w:val="24"/>
          <w:szCs w:val="24"/>
        </w:rPr>
        <w:footnoteReference w:id="21"/>
      </w:r>
      <w:r w:rsidRPr="00DB1A08">
        <w:rPr>
          <w:rFonts w:ascii="Times New Roman" w:hAnsi="Times New Roman" w:cs="Times New Roman"/>
          <w:i/>
          <w:iCs/>
          <w:sz w:val="24"/>
          <w:szCs w:val="24"/>
        </w:rPr>
        <w:t xml:space="preserve"> </w:t>
      </w:r>
      <w:r w:rsidRPr="00DB1A08">
        <w:rPr>
          <w:rFonts w:ascii="Times New Roman" w:hAnsi="Times New Roman" w:cs="Times New Roman"/>
          <w:sz w:val="24"/>
          <w:szCs w:val="24"/>
        </w:rPr>
        <w:t xml:space="preserve">is one of the independent cases where this doctrine applied since its development through </w:t>
      </w:r>
      <w:proofErr w:type="spellStart"/>
      <w:r w:rsidRPr="00DB1A08">
        <w:rPr>
          <w:rFonts w:ascii="Times New Roman" w:hAnsi="Times New Roman" w:cs="Times New Roman"/>
          <w:i/>
          <w:iCs/>
          <w:sz w:val="24"/>
          <w:szCs w:val="24"/>
        </w:rPr>
        <w:t>Peekay</w:t>
      </w:r>
      <w:proofErr w:type="spellEnd"/>
      <w:r w:rsidRPr="00DB1A08">
        <w:rPr>
          <w:rFonts w:ascii="Times New Roman" w:hAnsi="Times New Roman" w:cs="Times New Roman"/>
          <w:i/>
          <w:iCs/>
          <w:sz w:val="24"/>
          <w:szCs w:val="24"/>
        </w:rPr>
        <w:t xml:space="preserve"> </w:t>
      </w:r>
      <w:r w:rsidRPr="00DB1A08">
        <w:rPr>
          <w:rFonts w:ascii="Times New Roman" w:hAnsi="Times New Roman" w:cs="Times New Roman"/>
          <w:sz w:val="24"/>
          <w:szCs w:val="24"/>
        </w:rPr>
        <w:t xml:space="preserve">and </w:t>
      </w:r>
      <w:r w:rsidRPr="00DB1A08">
        <w:rPr>
          <w:rFonts w:ascii="Times New Roman" w:hAnsi="Times New Roman" w:cs="Times New Roman"/>
          <w:i/>
          <w:iCs/>
          <w:sz w:val="24"/>
          <w:szCs w:val="24"/>
        </w:rPr>
        <w:t>Springwell.</w:t>
      </w:r>
      <w:r w:rsidR="0031114F">
        <w:rPr>
          <w:rFonts w:ascii="Times New Roman" w:hAnsi="Times New Roman" w:cs="Times New Roman"/>
          <w:i/>
          <w:iCs/>
          <w:sz w:val="24"/>
          <w:szCs w:val="24"/>
        </w:rPr>
        <w:t xml:space="preserve"> </w:t>
      </w:r>
      <w:r w:rsidR="0031114F">
        <w:rPr>
          <w:rFonts w:ascii="Times New Roman" w:hAnsi="Times New Roman" w:cs="Times New Roman"/>
          <w:sz w:val="24"/>
          <w:szCs w:val="24"/>
        </w:rPr>
        <w:t xml:space="preserve">To have a good understanding on this doctrine many cases could be analysed, however, above three cases would give a general idea </w:t>
      </w:r>
      <w:r w:rsidR="002949DF">
        <w:rPr>
          <w:rFonts w:ascii="Times New Roman" w:hAnsi="Times New Roman" w:cs="Times New Roman"/>
          <w:sz w:val="24"/>
          <w:szCs w:val="24"/>
        </w:rPr>
        <w:t xml:space="preserve">on how this doctrine works. Any </w:t>
      </w:r>
      <w:proofErr w:type="spellStart"/>
      <w:r w:rsidR="002949DF">
        <w:rPr>
          <w:rFonts w:ascii="Times New Roman" w:hAnsi="Times New Roman" w:cs="Times New Roman"/>
          <w:sz w:val="24"/>
          <w:szCs w:val="24"/>
        </w:rPr>
        <w:t>lackings</w:t>
      </w:r>
      <w:proofErr w:type="spellEnd"/>
      <w:r w:rsidR="002949DF">
        <w:rPr>
          <w:rFonts w:ascii="Times New Roman" w:hAnsi="Times New Roman" w:cs="Times New Roman"/>
          <w:sz w:val="24"/>
          <w:szCs w:val="24"/>
        </w:rPr>
        <w:t xml:space="preserve"> or issues of debate in former cases have been considered in subsequent cases</w:t>
      </w:r>
      <w:r w:rsidR="001A2E3C">
        <w:rPr>
          <w:rFonts w:ascii="Times New Roman" w:hAnsi="Times New Roman" w:cs="Times New Roman"/>
          <w:sz w:val="24"/>
          <w:szCs w:val="24"/>
        </w:rPr>
        <w:t>.</w:t>
      </w:r>
    </w:p>
    <w:p w14:paraId="64E79F09" w14:textId="3024074A" w:rsidR="006E7A02" w:rsidRDefault="006E7A02" w:rsidP="006E7A02">
      <w:pPr>
        <w:spacing w:line="480" w:lineRule="auto"/>
        <w:jc w:val="both"/>
        <w:rPr>
          <w:rFonts w:ascii="Times New Roman" w:hAnsi="Times New Roman" w:cs="Times New Roman"/>
          <w:sz w:val="24"/>
          <w:szCs w:val="24"/>
        </w:rPr>
      </w:pPr>
    </w:p>
    <w:p w14:paraId="2597529B" w14:textId="77777777" w:rsidR="00DB1A08" w:rsidRDefault="00DB1A08" w:rsidP="006E7A02">
      <w:pPr>
        <w:spacing w:line="480" w:lineRule="auto"/>
        <w:jc w:val="both"/>
        <w:rPr>
          <w:rFonts w:ascii="Times New Roman" w:hAnsi="Times New Roman" w:cs="Times New Roman"/>
          <w:sz w:val="24"/>
          <w:szCs w:val="24"/>
        </w:rPr>
      </w:pPr>
    </w:p>
    <w:p w14:paraId="6064742E" w14:textId="0FDD0E44" w:rsidR="00D167E7" w:rsidRPr="00DB1A08" w:rsidRDefault="00D167E7" w:rsidP="00DB1A08">
      <w:pPr>
        <w:pStyle w:val="ListParagraph"/>
        <w:numPr>
          <w:ilvl w:val="1"/>
          <w:numId w:val="7"/>
        </w:numPr>
        <w:spacing w:line="480" w:lineRule="auto"/>
        <w:jc w:val="both"/>
        <w:rPr>
          <w:rFonts w:ascii="Times New Roman" w:hAnsi="Times New Roman" w:cs="Times New Roman"/>
          <w:b/>
          <w:bCs/>
          <w:sz w:val="24"/>
          <w:szCs w:val="24"/>
        </w:rPr>
      </w:pPr>
      <w:proofErr w:type="spellStart"/>
      <w:r w:rsidRPr="00DB1A08">
        <w:rPr>
          <w:rFonts w:ascii="Times New Roman" w:hAnsi="Times New Roman" w:cs="Times New Roman"/>
          <w:b/>
          <w:bCs/>
          <w:sz w:val="24"/>
          <w:szCs w:val="24"/>
          <w:u w:val="single"/>
        </w:rPr>
        <w:lastRenderedPageBreak/>
        <w:t>Casela</w:t>
      </w:r>
      <w:r w:rsidR="002605CB" w:rsidRPr="00DB1A08">
        <w:rPr>
          <w:rFonts w:ascii="Times New Roman" w:hAnsi="Times New Roman" w:cs="Times New Roman"/>
          <w:b/>
          <w:bCs/>
          <w:sz w:val="24"/>
          <w:szCs w:val="24"/>
          <w:u w:val="single"/>
        </w:rPr>
        <w:t>ws</w:t>
      </w:r>
      <w:proofErr w:type="spellEnd"/>
      <w:r w:rsidRPr="00DB1A08">
        <w:rPr>
          <w:rFonts w:ascii="Times New Roman" w:hAnsi="Times New Roman" w:cs="Times New Roman"/>
          <w:b/>
          <w:bCs/>
          <w:sz w:val="24"/>
          <w:szCs w:val="24"/>
          <w:u w:val="single"/>
        </w:rPr>
        <w:t xml:space="preserve"> on contractual Estoppel:</w:t>
      </w:r>
    </w:p>
    <w:p w14:paraId="08C9F031" w14:textId="77777777" w:rsidR="00D167E7" w:rsidRPr="006E7A02" w:rsidRDefault="00D167E7" w:rsidP="002B75EC">
      <w:pPr>
        <w:pStyle w:val="ListParagraph"/>
        <w:numPr>
          <w:ilvl w:val="0"/>
          <w:numId w:val="6"/>
        </w:numPr>
        <w:spacing w:line="480" w:lineRule="auto"/>
        <w:jc w:val="both"/>
        <w:rPr>
          <w:rFonts w:ascii="Times New Roman" w:hAnsi="Times New Roman" w:cs="Times New Roman"/>
          <w:b/>
          <w:bCs/>
          <w:sz w:val="24"/>
          <w:szCs w:val="24"/>
        </w:rPr>
      </w:pPr>
      <w:proofErr w:type="spellStart"/>
      <w:r w:rsidRPr="006E7A02">
        <w:rPr>
          <w:rFonts w:ascii="Times New Roman" w:hAnsi="Times New Roman" w:cs="Times New Roman"/>
          <w:b/>
          <w:bCs/>
          <w:i/>
          <w:iCs/>
          <w:sz w:val="24"/>
          <w:szCs w:val="24"/>
          <w:u w:val="single"/>
        </w:rPr>
        <w:t>Peekay</w:t>
      </w:r>
      <w:proofErr w:type="spellEnd"/>
      <w:r w:rsidRPr="006E7A02">
        <w:rPr>
          <w:rFonts w:ascii="Times New Roman" w:hAnsi="Times New Roman" w:cs="Times New Roman"/>
          <w:b/>
          <w:bCs/>
          <w:i/>
          <w:iCs/>
          <w:sz w:val="24"/>
          <w:szCs w:val="24"/>
          <w:u w:val="single"/>
        </w:rPr>
        <w:t xml:space="preserve"> </w:t>
      </w:r>
      <w:proofErr w:type="spellStart"/>
      <w:r w:rsidRPr="006E7A02">
        <w:rPr>
          <w:rFonts w:ascii="Times New Roman" w:hAnsi="Times New Roman" w:cs="Times New Roman"/>
          <w:b/>
          <w:bCs/>
          <w:i/>
          <w:iCs/>
          <w:sz w:val="24"/>
          <w:szCs w:val="24"/>
          <w:u w:val="single"/>
        </w:rPr>
        <w:t>Intermark</w:t>
      </w:r>
      <w:proofErr w:type="spellEnd"/>
      <w:r w:rsidRPr="006E7A02">
        <w:rPr>
          <w:rFonts w:ascii="Times New Roman" w:hAnsi="Times New Roman" w:cs="Times New Roman"/>
          <w:b/>
          <w:bCs/>
          <w:i/>
          <w:iCs/>
          <w:sz w:val="24"/>
          <w:szCs w:val="24"/>
          <w:u w:val="single"/>
        </w:rPr>
        <w:t xml:space="preserve"> v Australia and New Zealand Banking Group Ltd</w:t>
      </w:r>
      <w:r w:rsidRPr="006E7A02">
        <w:rPr>
          <w:rFonts w:ascii="Times New Roman" w:hAnsi="Times New Roman" w:cs="Times New Roman"/>
          <w:b/>
          <w:bCs/>
          <w:sz w:val="24"/>
          <w:szCs w:val="24"/>
          <w:u w:val="single"/>
        </w:rPr>
        <w:t>:</w:t>
      </w:r>
      <w:r w:rsidRPr="006E7A02">
        <w:rPr>
          <w:rFonts w:ascii="Times New Roman" w:hAnsi="Times New Roman" w:cs="Times New Roman"/>
          <w:b/>
          <w:bCs/>
          <w:sz w:val="24"/>
          <w:szCs w:val="24"/>
        </w:rPr>
        <w:t xml:space="preserve"> </w:t>
      </w:r>
    </w:p>
    <w:p w14:paraId="25A79326" w14:textId="55BDE0B1" w:rsidR="006E7A02" w:rsidRPr="002B75EC"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The modern doctrine of contractual estoppel that is widely applied now has been defined in the pivotal Court of Appeal case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proofErr w:type="spellStart"/>
      <w:r w:rsidRPr="002B75EC">
        <w:rPr>
          <w:rFonts w:ascii="Times New Roman" w:hAnsi="Times New Roman" w:cs="Times New Roman"/>
          <w:sz w:val="24"/>
          <w:szCs w:val="24"/>
        </w:rPr>
        <w:t>Peekay</w:t>
      </w:r>
      <w:proofErr w:type="spellEnd"/>
      <w:r w:rsidRPr="002B75EC">
        <w:rPr>
          <w:rFonts w:ascii="Times New Roman" w:hAnsi="Times New Roman" w:cs="Times New Roman"/>
          <w:sz w:val="24"/>
          <w:szCs w:val="24"/>
        </w:rPr>
        <w:t xml:space="preserve"> is the first modern case of contractual estoppel. In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an investor described as ‘with considerable investment experience’ purchased a product from Australia and New Zealand Banking Group Ltd (“ANZ”). The product was described as ‘structured US Dollar hedged Russian Treasury bill deposit’. The value of this bill contractually linked to the performance of a Russian government bond called “GKO”. Although the investor bought this product from ANZ bank, no proprietary right over GKO derives. The investor signed and returned the terms and condition form of the contract along with a risk discloser statement. However, investor did not read either of the documents. Both documents that have been signed and returned by the investor made it clear that before entering into a transaction or making any investment, the client should independently assess the appropriateness and truthiness of the investment upon his own judgement and upon such adviser as it considered necessary. The focal point here was that investor has received inconsistent information from the bank regarding the rights attached to the product before signing the documents. However, it was an express term that the client was not relying on any past statements either oral or written, made before entering into the contract. In August 1998, after an announcement from Russian government, the investment became worthless.</w:t>
      </w:r>
      <w:r w:rsidRPr="002B75EC">
        <w:rPr>
          <w:rStyle w:val="FootnoteReference"/>
          <w:rFonts w:ascii="Times New Roman" w:hAnsi="Times New Roman" w:cs="Times New Roman"/>
          <w:sz w:val="24"/>
          <w:szCs w:val="24"/>
        </w:rPr>
        <w:footnoteReference w:id="22"/>
      </w:r>
      <w:r w:rsidRPr="002B75EC">
        <w:rPr>
          <w:rFonts w:ascii="Times New Roman" w:hAnsi="Times New Roman" w:cs="Times New Roman"/>
          <w:sz w:val="24"/>
          <w:szCs w:val="24"/>
        </w:rPr>
        <w:t xml:space="preserve"> </w:t>
      </w:r>
    </w:p>
    <w:p w14:paraId="3B16A6F5" w14:textId="6F0FDAA5" w:rsidR="00FF33EA" w:rsidRPr="002B75EC"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Following the incident, investor made a claim of damages under section 2(1) of the Misrepresentation Act. The claimant’s basis of claim was that the product has been sold as one offering proprietary rights in GKOs. At first instance, the investor’s claim was successful with </w:t>
      </w:r>
      <w:r w:rsidRPr="002B75EC">
        <w:rPr>
          <w:rFonts w:ascii="Times New Roman" w:hAnsi="Times New Roman" w:cs="Times New Roman"/>
          <w:sz w:val="24"/>
          <w:szCs w:val="24"/>
        </w:rPr>
        <w:lastRenderedPageBreak/>
        <w:t xml:space="preserve">the finding by Judge that the investor was induced by the bank’s informal representation to purchase the product.  </w:t>
      </w:r>
    </w:p>
    <w:p w14:paraId="6994D541" w14:textId="45A976D8" w:rsidR="00D167E7" w:rsidRPr="002B75EC"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The appellant bank ANZ appealed against the decision. The Court of Appeal surprisingly upheld the appeal of ANZ. It was held that, the Claimant was induced to enter contract by his own reckless assumption that the contractual </w:t>
      </w:r>
      <w:r w:rsidR="0034380D" w:rsidRPr="002B75EC">
        <w:rPr>
          <w:rFonts w:ascii="Times New Roman" w:hAnsi="Times New Roman" w:cs="Times New Roman"/>
          <w:sz w:val="24"/>
          <w:szCs w:val="24"/>
        </w:rPr>
        <w:t xml:space="preserve">terms </w:t>
      </w:r>
      <w:r w:rsidRPr="002B75EC">
        <w:rPr>
          <w:rFonts w:ascii="Times New Roman" w:hAnsi="Times New Roman" w:cs="Times New Roman"/>
          <w:sz w:val="24"/>
          <w:szCs w:val="24"/>
        </w:rPr>
        <w:t>would match with the description of representation made to him, and he was not induced by the bank’s previous statement.</w:t>
      </w:r>
      <w:r w:rsidRPr="002B75EC">
        <w:rPr>
          <w:rStyle w:val="FootnoteReference"/>
          <w:rFonts w:ascii="Times New Roman" w:hAnsi="Times New Roman" w:cs="Times New Roman"/>
          <w:sz w:val="24"/>
          <w:szCs w:val="24"/>
        </w:rPr>
        <w:footnoteReference w:id="23"/>
      </w:r>
      <w:r w:rsidRPr="002B75EC">
        <w:rPr>
          <w:rFonts w:ascii="Times New Roman" w:hAnsi="Times New Roman" w:cs="Times New Roman"/>
          <w:sz w:val="24"/>
          <w:szCs w:val="24"/>
        </w:rPr>
        <w:t xml:space="preserve"> Although the Claimant had enough opportunity to read the description in the contract he did not do so. The Court of Appeal put a great weight on final terms and conditions, found that the wording and description in the terms and condition were clear and definitive as to the nature of the product. The prior inconsistent information given to the investor was only made innocently. </w:t>
      </w:r>
    </w:p>
    <w:p w14:paraId="0DC61C1F" w14:textId="77777777" w:rsidR="00D167E7" w:rsidRPr="002B75EC"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Moore-Bick LJ stated, “there is no reason in principle why parties to a contract should not agree that a certain state of affair should form the basis for the transaction, whether it be the case or not. For example, it might be desirable to settle an agreement as to an existing state of affairs </w:t>
      </w:r>
      <w:proofErr w:type="gramStart"/>
      <w:r w:rsidRPr="002B75EC">
        <w:rPr>
          <w:rFonts w:ascii="Times New Roman" w:hAnsi="Times New Roman" w:cs="Times New Roman"/>
          <w:sz w:val="24"/>
          <w:szCs w:val="24"/>
        </w:rPr>
        <w:t>in order to</w:t>
      </w:r>
      <w:proofErr w:type="gramEnd"/>
      <w:r w:rsidRPr="002B75EC">
        <w:rPr>
          <w:rFonts w:ascii="Times New Roman" w:hAnsi="Times New Roman" w:cs="Times New Roman"/>
          <w:sz w:val="24"/>
          <w:szCs w:val="24"/>
        </w:rPr>
        <w:t xml:space="preserve"> establish a clear basis for the contract itself and its subsequent performance. Where parties express an agreement of that kind in a contractual document neither can subsequently deny the existence of the facts and matters upon which they have agreed, at least so far as concerns those aspects of their relationship to which agreement was directed. The contract itself gives rise to an estoppel.”</w:t>
      </w:r>
      <w:r w:rsidRPr="002B75EC">
        <w:rPr>
          <w:rStyle w:val="FootnoteReference"/>
          <w:rFonts w:ascii="Times New Roman" w:hAnsi="Times New Roman" w:cs="Times New Roman"/>
          <w:sz w:val="24"/>
          <w:szCs w:val="24"/>
        </w:rPr>
        <w:footnoteReference w:id="24"/>
      </w:r>
      <w:r w:rsidRPr="002B75EC">
        <w:rPr>
          <w:rFonts w:ascii="Times New Roman" w:hAnsi="Times New Roman" w:cs="Times New Roman"/>
          <w:sz w:val="24"/>
          <w:szCs w:val="24"/>
        </w:rPr>
        <w:t xml:space="preserve">  </w:t>
      </w:r>
    </w:p>
    <w:p w14:paraId="388AC41F" w14:textId="4F4BC14C" w:rsidR="0044582F"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Therefore, the contractual estoppel was raised by the ANZ bank in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as an alternative argument, where Court of Appeal was required to decide whether, by signing the risk discloser form the investor was precluded from contending that he did not understand the nature of the investment. Such an argument lead to the two terms of the risk discloser form to be considered, </w:t>
      </w:r>
      <w:r w:rsidRPr="002B75EC">
        <w:rPr>
          <w:rFonts w:ascii="Times New Roman" w:hAnsi="Times New Roman" w:cs="Times New Roman"/>
          <w:sz w:val="24"/>
          <w:szCs w:val="24"/>
        </w:rPr>
        <w:lastRenderedPageBreak/>
        <w:t>those are: (</w:t>
      </w:r>
      <w:proofErr w:type="spellStart"/>
      <w:r w:rsidRPr="002B75EC">
        <w:rPr>
          <w:rFonts w:ascii="Times New Roman" w:hAnsi="Times New Roman" w:cs="Times New Roman"/>
          <w:sz w:val="24"/>
          <w:szCs w:val="24"/>
        </w:rPr>
        <w:t>i</w:t>
      </w:r>
      <w:proofErr w:type="spellEnd"/>
      <w:r w:rsidRPr="002B75EC">
        <w:rPr>
          <w:rFonts w:ascii="Times New Roman" w:hAnsi="Times New Roman" w:cs="Times New Roman"/>
          <w:sz w:val="24"/>
          <w:szCs w:val="24"/>
        </w:rPr>
        <w:t>) you should also ensure that you fully understand the nature of the transaction and contractual relationship into which you are entering; and (ii) the issuer assumes that the customer is aware of the risks and practices described herein, and that prior to each transaction the customer has determined that such transaction is suitable for him. It was also important to focus on the statement written immediately above the signature line of the risk discloser form, which says: "[Client] confirms it has read and understood the terms of the Emerging Markets Risk Disclosure Statement as set out above." Therefore, as per Moore-Bick LJ, by signing the risk discloser form, the investor was bound by the statement above the signature line, that he has read and understood the terms of the contract. And by returning the signed final terms and condition form along with risk discloser statement, the investor made offer to contract with bank on the terms in the forms and such offer was accepted by the bank by implementing the investor’s instruction.</w:t>
      </w:r>
      <w:r w:rsidRPr="002B75EC">
        <w:rPr>
          <w:rStyle w:val="FootnoteReference"/>
          <w:rFonts w:ascii="Times New Roman" w:hAnsi="Times New Roman" w:cs="Times New Roman"/>
          <w:sz w:val="24"/>
          <w:szCs w:val="24"/>
        </w:rPr>
        <w:footnoteReference w:id="25"/>
      </w:r>
      <w:r w:rsidRPr="002B75EC">
        <w:rPr>
          <w:rFonts w:ascii="Times New Roman" w:hAnsi="Times New Roman" w:cs="Times New Roman"/>
          <w:sz w:val="24"/>
          <w:szCs w:val="24"/>
        </w:rPr>
        <w:t xml:space="preserve"> Consequently, above two terms were included in the contract between investor and bank. Therefore, investor was aware of the nature of the investment he was seeking to purchase and had satisfied himself that it was suitable for his needs. In such circumstances, it was not open to investor to say that he did not understand the nature of the transaction, and he cannot assert that he was induced to enter into the contract by inconsistent earlier information by bank. In its simplest, contractual estoppel prevented the investor in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case to deny the effect of terms of the contract by arguing opposite of what he agreed.</w:t>
      </w:r>
    </w:p>
    <w:p w14:paraId="28434D56" w14:textId="77777777" w:rsidR="00DB1A08" w:rsidRPr="002B75EC" w:rsidRDefault="00DB1A08" w:rsidP="00DB1A08">
      <w:pPr>
        <w:spacing w:line="480" w:lineRule="auto"/>
        <w:jc w:val="both"/>
        <w:rPr>
          <w:rFonts w:ascii="Times New Roman" w:hAnsi="Times New Roman" w:cs="Times New Roman"/>
          <w:sz w:val="24"/>
          <w:szCs w:val="24"/>
        </w:rPr>
      </w:pPr>
    </w:p>
    <w:p w14:paraId="1EA6D663" w14:textId="77777777" w:rsidR="00D167E7" w:rsidRPr="006F79C6" w:rsidRDefault="00D167E7" w:rsidP="002B75EC">
      <w:pPr>
        <w:pStyle w:val="ListParagraph"/>
        <w:numPr>
          <w:ilvl w:val="0"/>
          <w:numId w:val="6"/>
        </w:numPr>
        <w:spacing w:line="480" w:lineRule="auto"/>
        <w:jc w:val="both"/>
        <w:rPr>
          <w:rFonts w:ascii="Times New Roman" w:hAnsi="Times New Roman" w:cs="Times New Roman"/>
          <w:b/>
          <w:bCs/>
          <w:sz w:val="24"/>
          <w:szCs w:val="24"/>
          <w:u w:val="single"/>
        </w:rPr>
      </w:pPr>
      <w:r w:rsidRPr="006F79C6">
        <w:rPr>
          <w:rStyle w:val="Emphasis"/>
          <w:rFonts w:ascii="Times New Roman" w:hAnsi="Times New Roman" w:cs="Times New Roman"/>
          <w:b/>
          <w:bCs/>
          <w:color w:val="000000"/>
          <w:sz w:val="24"/>
          <w:szCs w:val="24"/>
          <w:u w:val="single"/>
          <w:shd w:val="clear" w:color="auto" w:fill="FFFFFF"/>
        </w:rPr>
        <w:t>JP Morgan Chase v Springwell Navigation Corporation</w:t>
      </w:r>
      <w:r w:rsidRPr="006F79C6">
        <w:rPr>
          <w:rStyle w:val="Emphasis"/>
          <w:rFonts w:ascii="Times New Roman" w:hAnsi="Times New Roman" w:cs="Times New Roman"/>
          <w:b/>
          <w:bCs/>
          <w:i w:val="0"/>
          <w:iCs w:val="0"/>
          <w:color w:val="000000"/>
          <w:sz w:val="24"/>
          <w:szCs w:val="24"/>
          <w:u w:val="single"/>
          <w:shd w:val="clear" w:color="auto" w:fill="FFFFFF"/>
        </w:rPr>
        <w:t>:</w:t>
      </w:r>
      <w:r w:rsidRPr="006F79C6">
        <w:rPr>
          <w:rStyle w:val="Emphasis"/>
          <w:rFonts w:ascii="Times New Roman" w:hAnsi="Times New Roman" w:cs="Times New Roman"/>
          <w:b/>
          <w:bCs/>
          <w:color w:val="000000"/>
          <w:sz w:val="24"/>
          <w:szCs w:val="24"/>
          <w:u w:val="single"/>
          <w:shd w:val="clear" w:color="auto" w:fill="FFFFFF"/>
        </w:rPr>
        <w:t xml:space="preserve"> </w:t>
      </w:r>
    </w:p>
    <w:p w14:paraId="71148FDC" w14:textId="5D7D1978" w:rsidR="00D167E7" w:rsidRPr="002B75EC"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It is the second leading case on contractual estoppel after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Springwell </w:t>
      </w:r>
      <w:r w:rsidRPr="002B75EC">
        <w:rPr>
          <w:rFonts w:ascii="Times New Roman" w:hAnsi="Times New Roman" w:cs="Times New Roman"/>
          <w:sz w:val="24"/>
          <w:szCs w:val="24"/>
        </w:rPr>
        <w:t>is the first</w:t>
      </w:r>
      <w:r w:rsidR="006F79C6">
        <w:rPr>
          <w:rFonts w:ascii="Times New Roman" w:hAnsi="Times New Roman" w:cs="Times New Roman"/>
          <w:sz w:val="24"/>
          <w:szCs w:val="24"/>
        </w:rPr>
        <w:t xml:space="preserve"> </w:t>
      </w:r>
      <w:r w:rsidRPr="002B75EC">
        <w:rPr>
          <w:rFonts w:ascii="Times New Roman" w:hAnsi="Times New Roman" w:cs="Times New Roman"/>
          <w:sz w:val="24"/>
          <w:szCs w:val="24"/>
        </w:rPr>
        <w:t xml:space="preserve">case to consider and confirm the principle developed in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w:t>
      </w:r>
      <w:r w:rsidR="00C0546D">
        <w:rPr>
          <w:rFonts w:ascii="Times New Roman" w:hAnsi="Times New Roman" w:cs="Times New Roman"/>
          <w:sz w:val="24"/>
          <w:szCs w:val="24"/>
        </w:rPr>
        <w:t xml:space="preserve"> </w:t>
      </w:r>
      <w:r w:rsidRPr="002B75EC">
        <w:rPr>
          <w:rFonts w:ascii="Times New Roman" w:hAnsi="Times New Roman" w:cs="Times New Roman"/>
          <w:sz w:val="24"/>
          <w:szCs w:val="24"/>
        </w:rPr>
        <w:t xml:space="preserve">Springwell Navigation Corporation (“Springwell”) was the </w:t>
      </w:r>
      <w:proofErr w:type="spellStart"/>
      <w:r w:rsidRPr="002B75EC">
        <w:rPr>
          <w:rFonts w:ascii="Times New Roman" w:hAnsi="Times New Roman" w:cs="Times New Roman"/>
          <w:sz w:val="24"/>
          <w:szCs w:val="24"/>
        </w:rPr>
        <w:t>ivestment</w:t>
      </w:r>
      <w:proofErr w:type="spellEnd"/>
      <w:r w:rsidRPr="002B75EC">
        <w:rPr>
          <w:rFonts w:ascii="Times New Roman" w:hAnsi="Times New Roman" w:cs="Times New Roman"/>
          <w:sz w:val="24"/>
          <w:szCs w:val="24"/>
        </w:rPr>
        <w:t xml:space="preserve"> vehicle for a group of shipping companies run the </w:t>
      </w:r>
      <w:proofErr w:type="spellStart"/>
      <w:r w:rsidRPr="002B75EC">
        <w:rPr>
          <w:rFonts w:ascii="Times New Roman" w:hAnsi="Times New Roman" w:cs="Times New Roman"/>
          <w:sz w:val="24"/>
          <w:szCs w:val="24"/>
        </w:rPr>
        <w:t>Polemis</w:t>
      </w:r>
      <w:proofErr w:type="spellEnd"/>
      <w:r w:rsidRPr="002B75EC">
        <w:rPr>
          <w:rFonts w:ascii="Times New Roman" w:hAnsi="Times New Roman" w:cs="Times New Roman"/>
          <w:sz w:val="24"/>
          <w:szCs w:val="24"/>
        </w:rPr>
        <w:t xml:space="preserve"> </w:t>
      </w:r>
      <w:r w:rsidRPr="002B75EC">
        <w:rPr>
          <w:rFonts w:ascii="Times New Roman" w:hAnsi="Times New Roman" w:cs="Times New Roman"/>
          <w:sz w:val="24"/>
          <w:szCs w:val="24"/>
        </w:rPr>
        <w:lastRenderedPageBreak/>
        <w:t xml:space="preserve">family. During 1998, </w:t>
      </w:r>
      <w:proofErr w:type="spellStart"/>
      <w:r w:rsidRPr="002B75EC">
        <w:rPr>
          <w:rFonts w:ascii="Times New Roman" w:hAnsi="Times New Roman" w:cs="Times New Roman"/>
          <w:sz w:val="24"/>
          <w:szCs w:val="24"/>
        </w:rPr>
        <w:t>Adamandios</w:t>
      </w:r>
      <w:proofErr w:type="spellEnd"/>
      <w:r w:rsidRPr="002B75EC">
        <w:rPr>
          <w:rFonts w:ascii="Times New Roman" w:hAnsi="Times New Roman" w:cs="Times New Roman"/>
          <w:sz w:val="24"/>
          <w:szCs w:val="24"/>
        </w:rPr>
        <w:t xml:space="preserve"> </w:t>
      </w:r>
      <w:proofErr w:type="spellStart"/>
      <w:r w:rsidRPr="002B75EC">
        <w:rPr>
          <w:rFonts w:ascii="Times New Roman" w:hAnsi="Times New Roman" w:cs="Times New Roman"/>
          <w:sz w:val="24"/>
          <w:szCs w:val="24"/>
        </w:rPr>
        <w:t>Polemis</w:t>
      </w:r>
      <w:proofErr w:type="spellEnd"/>
      <w:r w:rsidRPr="002B75EC">
        <w:rPr>
          <w:rFonts w:ascii="Times New Roman" w:hAnsi="Times New Roman" w:cs="Times New Roman"/>
          <w:sz w:val="24"/>
          <w:szCs w:val="24"/>
        </w:rPr>
        <w:t xml:space="preserve"> was the sole person to manage the company. Springwell purchased 42 GKO linked bills from JP Morgan Chase bank. The value of those bills was linked to the GKO bonds issued by the Ministry of Finance of the Russian Federation. As the GKO linked bills always traded in US Dollar, it contained embedded forward currency swap to remove the currency risk. In August 1998, Russian government announced a moratorium on foreign debt repayments and a suspension of all trading on Russian issued bond. Consequently, GKO linked bills got affected and became worthless. Springwell still had 11 GKO linked bills in its portfolio when moratorium was declared. As Springwell has signed the documentation during the purchase, it was found that all material risks were disclosed and known to </w:t>
      </w:r>
      <w:proofErr w:type="spellStart"/>
      <w:r w:rsidRPr="002B75EC">
        <w:rPr>
          <w:rFonts w:ascii="Times New Roman" w:hAnsi="Times New Roman" w:cs="Times New Roman"/>
          <w:sz w:val="24"/>
          <w:szCs w:val="24"/>
        </w:rPr>
        <w:t>Adamandios</w:t>
      </w:r>
      <w:proofErr w:type="spellEnd"/>
      <w:r w:rsidRPr="002B75EC">
        <w:rPr>
          <w:rFonts w:ascii="Times New Roman" w:hAnsi="Times New Roman" w:cs="Times New Roman"/>
          <w:sz w:val="24"/>
          <w:szCs w:val="24"/>
        </w:rPr>
        <w:t xml:space="preserve"> </w:t>
      </w:r>
      <w:proofErr w:type="spellStart"/>
      <w:r w:rsidRPr="002B75EC">
        <w:rPr>
          <w:rFonts w:ascii="Times New Roman" w:hAnsi="Times New Roman" w:cs="Times New Roman"/>
          <w:sz w:val="24"/>
          <w:szCs w:val="24"/>
        </w:rPr>
        <w:t>Polemis</w:t>
      </w:r>
      <w:proofErr w:type="spellEnd"/>
      <w:r w:rsidRPr="002B75EC">
        <w:rPr>
          <w:rFonts w:ascii="Times New Roman" w:hAnsi="Times New Roman" w:cs="Times New Roman"/>
          <w:sz w:val="24"/>
          <w:szCs w:val="24"/>
        </w:rPr>
        <w:t xml:space="preserve"> through risk disclosure documents.</w:t>
      </w:r>
    </w:p>
    <w:p w14:paraId="3CDFD519" w14:textId="38FAB615" w:rsidR="00D167E7"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In this case, investor’s claims were heard in two parts, pre-default and post-default claims. Pre-default claims were very broad that includes claims for breach of contract, breach of fiduciary duty, negligent mis-statement and claim under section 2 of Misrepresentation Act. In pre-default claims, contractual estoppel was one of the many issues that has been considered with great significance.</w:t>
      </w:r>
      <w:r w:rsidRPr="002B75EC">
        <w:rPr>
          <w:rStyle w:val="FootnoteReference"/>
          <w:rFonts w:ascii="Times New Roman" w:hAnsi="Times New Roman" w:cs="Times New Roman"/>
          <w:sz w:val="24"/>
          <w:szCs w:val="24"/>
        </w:rPr>
        <w:footnoteReference w:id="26"/>
      </w:r>
      <w:r w:rsidRPr="002B75EC">
        <w:rPr>
          <w:rFonts w:ascii="Times New Roman" w:hAnsi="Times New Roman" w:cs="Times New Roman"/>
          <w:sz w:val="24"/>
          <w:szCs w:val="24"/>
        </w:rPr>
        <w:t xml:space="preserve"> In this case the Bank succeeded in raising a purely contractual estoppel on the basis those acknowledgement and representations were contractual terms which operated independently of reliance or any wider considerations of unconscionability. The investor argued that following </w:t>
      </w:r>
      <w:r w:rsidRPr="002B75EC">
        <w:rPr>
          <w:rFonts w:ascii="Times New Roman" w:hAnsi="Times New Roman" w:cs="Times New Roman"/>
          <w:i/>
          <w:iCs/>
          <w:sz w:val="24"/>
          <w:szCs w:val="24"/>
        </w:rPr>
        <w:t xml:space="preserve">Lowe v </w:t>
      </w:r>
      <w:proofErr w:type="spellStart"/>
      <w:r w:rsidRPr="002B75EC">
        <w:rPr>
          <w:rFonts w:ascii="Times New Roman" w:hAnsi="Times New Roman" w:cs="Times New Roman"/>
          <w:i/>
          <w:iCs/>
          <w:sz w:val="24"/>
          <w:szCs w:val="24"/>
        </w:rPr>
        <w:t>Lombank</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analysis, statements of past facts known by both parties to be false cannot create a future contractual obligation. The court disagreed with this argument on the basis that the outcome in </w:t>
      </w:r>
      <w:r w:rsidRPr="002B75EC">
        <w:rPr>
          <w:rFonts w:ascii="Times New Roman" w:hAnsi="Times New Roman" w:cs="Times New Roman"/>
          <w:i/>
          <w:iCs/>
          <w:sz w:val="24"/>
          <w:szCs w:val="24"/>
        </w:rPr>
        <w:t xml:space="preserve">Lowe v </w:t>
      </w:r>
      <w:proofErr w:type="spellStart"/>
      <w:r w:rsidRPr="002B75EC">
        <w:rPr>
          <w:rFonts w:ascii="Times New Roman" w:hAnsi="Times New Roman" w:cs="Times New Roman"/>
          <w:i/>
          <w:iCs/>
          <w:sz w:val="24"/>
          <w:szCs w:val="24"/>
        </w:rPr>
        <w:t>Lombank</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was decided under the Hire Purchase Act 1938, not on contractual estoppel. The court upheld the decision in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that it was possible for a party to be estopped by contract from asserting that it had been induced by misrepresentation to </w:t>
      </w:r>
      <w:proofErr w:type="gramStart"/>
      <w:r w:rsidRPr="002B75EC">
        <w:rPr>
          <w:rFonts w:ascii="Times New Roman" w:hAnsi="Times New Roman" w:cs="Times New Roman"/>
          <w:sz w:val="24"/>
          <w:szCs w:val="24"/>
        </w:rPr>
        <w:t>enter into</w:t>
      </w:r>
      <w:proofErr w:type="gramEnd"/>
      <w:r w:rsidRPr="002B75EC">
        <w:rPr>
          <w:rFonts w:ascii="Times New Roman" w:hAnsi="Times New Roman" w:cs="Times New Roman"/>
          <w:sz w:val="24"/>
          <w:szCs w:val="24"/>
        </w:rPr>
        <w:t xml:space="preserve"> purchase. It was also held that there was no further </w:t>
      </w:r>
      <w:r w:rsidRPr="002B75EC">
        <w:rPr>
          <w:rFonts w:ascii="Times New Roman" w:hAnsi="Times New Roman" w:cs="Times New Roman"/>
          <w:sz w:val="24"/>
          <w:szCs w:val="24"/>
        </w:rPr>
        <w:lastRenderedPageBreak/>
        <w:t>unconscionability requirement since parties were in contractual relationship.</w:t>
      </w:r>
      <w:r w:rsidRPr="002B75EC">
        <w:rPr>
          <w:rStyle w:val="FootnoteReference"/>
          <w:rFonts w:ascii="Times New Roman" w:hAnsi="Times New Roman" w:cs="Times New Roman"/>
          <w:sz w:val="24"/>
          <w:szCs w:val="24"/>
        </w:rPr>
        <w:footnoteReference w:id="27"/>
      </w:r>
      <w:r w:rsidRPr="002B75EC">
        <w:rPr>
          <w:rFonts w:ascii="Times New Roman" w:hAnsi="Times New Roman" w:cs="Times New Roman"/>
          <w:sz w:val="24"/>
          <w:szCs w:val="24"/>
        </w:rPr>
        <w:t xml:space="preserve"> Therefore, investor’s claims failed because of the contradiction with </w:t>
      </w:r>
      <w:proofErr w:type="gramStart"/>
      <w:r w:rsidRPr="002B75EC">
        <w:rPr>
          <w:rFonts w:ascii="Times New Roman" w:hAnsi="Times New Roman" w:cs="Times New Roman"/>
          <w:sz w:val="24"/>
          <w:szCs w:val="24"/>
        </w:rPr>
        <w:t>state of affairs agreed</w:t>
      </w:r>
      <w:proofErr w:type="gramEnd"/>
      <w:r w:rsidRPr="002B75EC">
        <w:rPr>
          <w:rFonts w:ascii="Times New Roman" w:hAnsi="Times New Roman" w:cs="Times New Roman"/>
          <w:sz w:val="24"/>
          <w:szCs w:val="24"/>
        </w:rPr>
        <w:t xml:space="preserve"> by the contract. </w:t>
      </w:r>
    </w:p>
    <w:p w14:paraId="0528154E" w14:textId="77777777" w:rsidR="00DB1A08" w:rsidRPr="002B75EC" w:rsidRDefault="00DB1A08" w:rsidP="00DB1A08">
      <w:pPr>
        <w:spacing w:line="480" w:lineRule="auto"/>
        <w:jc w:val="both"/>
        <w:rPr>
          <w:rFonts w:ascii="Times New Roman" w:hAnsi="Times New Roman" w:cs="Times New Roman"/>
          <w:sz w:val="24"/>
          <w:szCs w:val="24"/>
        </w:rPr>
      </w:pPr>
    </w:p>
    <w:p w14:paraId="5BFAB919" w14:textId="6DC6045C" w:rsidR="00D167E7"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i/>
          <w:iCs/>
          <w:sz w:val="24"/>
          <w:szCs w:val="24"/>
        </w:rPr>
        <w:t xml:space="preserve">Springwell </w:t>
      </w:r>
      <w:r w:rsidRPr="002B75EC">
        <w:rPr>
          <w:rFonts w:ascii="Times New Roman" w:hAnsi="Times New Roman" w:cs="Times New Roman"/>
          <w:sz w:val="24"/>
          <w:szCs w:val="24"/>
        </w:rPr>
        <w:t xml:space="preserve">is the most important case in the development of contractual estoppel. It made three important contributions to the development of contractual estoppel. This is the first occasion where the court defined the contractual estoppel as distinct from other form of estoppel. </w:t>
      </w:r>
      <w:r w:rsidRPr="002B75EC">
        <w:rPr>
          <w:rFonts w:ascii="Times New Roman" w:hAnsi="Times New Roman" w:cs="Times New Roman"/>
          <w:i/>
          <w:iCs/>
          <w:sz w:val="24"/>
          <w:szCs w:val="24"/>
        </w:rPr>
        <w:t xml:space="preserve">Springwell </w:t>
      </w:r>
      <w:r w:rsidRPr="002B75EC">
        <w:rPr>
          <w:rFonts w:ascii="Times New Roman" w:hAnsi="Times New Roman" w:cs="Times New Roman"/>
          <w:sz w:val="24"/>
          <w:szCs w:val="24"/>
        </w:rPr>
        <w:t xml:space="preserve">clearly confirmed that contractual estoppel does not require the detrimental reliance like in evidential estoppel, it arises </w:t>
      </w:r>
      <w:proofErr w:type="gramStart"/>
      <w:r w:rsidRPr="002B75EC">
        <w:rPr>
          <w:rFonts w:ascii="Times New Roman" w:hAnsi="Times New Roman" w:cs="Times New Roman"/>
          <w:sz w:val="24"/>
          <w:szCs w:val="24"/>
        </w:rPr>
        <w:t>on the basis of</w:t>
      </w:r>
      <w:proofErr w:type="gramEnd"/>
      <w:r w:rsidRPr="002B75EC">
        <w:rPr>
          <w:rFonts w:ascii="Times New Roman" w:hAnsi="Times New Roman" w:cs="Times New Roman"/>
          <w:sz w:val="24"/>
          <w:szCs w:val="24"/>
        </w:rPr>
        <w:t xml:space="preserve"> the contract alone.</w:t>
      </w:r>
      <w:r w:rsidRPr="002B75EC">
        <w:rPr>
          <w:rStyle w:val="FootnoteReference"/>
          <w:rFonts w:ascii="Times New Roman" w:hAnsi="Times New Roman" w:cs="Times New Roman"/>
          <w:sz w:val="24"/>
          <w:szCs w:val="24"/>
        </w:rPr>
        <w:footnoteReference w:id="28"/>
      </w:r>
      <w:r w:rsidRPr="002B75EC">
        <w:rPr>
          <w:rFonts w:ascii="Times New Roman" w:hAnsi="Times New Roman" w:cs="Times New Roman"/>
          <w:sz w:val="24"/>
          <w:szCs w:val="24"/>
        </w:rPr>
        <w:t xml:space="preserve"> Therefore, contractual estoppel smoothly avoids the difficulties caused by the evidential estoppel requirements in the context of non-reliance cases.</w:t>
      </w:r>
      <w:r w:rsidRPr="002B75EC">
        <w:rPr>
          <w:rStyle w:val="FootnoteReference"/>
          <w:rFonts w:ascii="Times New Roman" w:hAnsi="Times New Roman" w:cs="Times New Roman"/>
          <w:sz w:val="24"/>
          <w:szCs w:val="24"/>
        </w:rPr>
        <w:footnoteReference w:id="29"/>
      </w:r>
      <w:r w:rsidRPr="002B75EC">
        <w:rPr>
          <w:rFonts w:ascii="Times New Roman" w:hAnsi="Times New Roman" w:cs="Times New Roman"/>
          <w:sz w:val="24"/>
          <w:szCs w:val="24"/>
        </w:rPr>
        <w:t xml:space="preserve"> Detailed analysis on this topic will be discussed in later chapters.  Moreover, the question whether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is a good law or not was raised in the analysis of </w:t>
      </w:r>
      <w:r w:rsidRPr="002B75EC">
        <w:rPr>
          <w:rFonts w:ascii="Times New Roman" w:hAnsi="Times New Roman" w:cs="Times New Roman"/>
          <w:i/>
          <w:iCs/>
          <w:sz w:val="24"/>
          <w:szCs w:val="24"/>
        </w:rPr>
        <w:t xml:space="preserve">Springwell. </w:t>
      </w:r>
      <w:r w:rsidRPr="002B75EC">
        <w:rPr>
          <w:rFonts w:ascii="Times New Roman" w:hAnsi="Times New Roman" w:cs="Times New Roman"/>
          <w:sz w:val="24"/>
          <w:szCs w:val="24"/>
        </w:rPr>
        <w:t xml:space="preserve">It was argued that in addressing contractual estoppel parts of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were obiter. After detailed review such claim </w:t>
      </w:r>
      <w:r w:rsidR="00224896" w:rsidRPr="002B75EC">
        <w:rPr>
          <w:rFonts w:ascii="Times New Roman" w:hAnsi="Times New Roman" w:cs="Times New Roman"/>
          <w:sz w:val="24"/>
          <w:szCs w:val="24"/>
        </w:rPr>
        <w:t>has</w:t>
      </w:r>
      <w:r w:rsidRPr="002B75EC">
        <w:rPr>
          <w:rFonts w:ascii="Times New Roman" w:hAnsi="Times New Roman" w:cs="Times New Roman"/>
          <w:sz w:val="24"/>
          <w:szCs w:val="24"/>
        </w:rPr>
        <w:t xml:space="preserve"> been dismissed by the court. In addition, Aikens LJ found out in </w:t>
      </w:r>
      <w:r w:rsidRPr="002B75EC">
        <w:rPr>
          <w:rFonts w:ascii="Times New Roman" w:hAnsi="Times New Roman" w:cs="Times New Roman"/>
          <w:i/>
          <w:iCs/>
          <w:sz w:val="24"/>
          <w:szCs w:val="24"/>
        </w:rPr>
        <w:t xml:space="preserve">Springwell </w:t>
      </w:r>
      <w:r w:rsidRPr="002B75EC">
        <w:rPr>
          <w:rFonts w:ascii="Times New Roman" w:hAnsi="Times New Roman" w:cs="Times New Roman"/>
          <w:sz w:val="24"/>
          <w:szCs w:val="24"/>
        </w:rPr>
        <w:t xml:space="preserve">that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was good law and it was consistent with both principle and authority, although he initially considered only principle.</w:t>
      </w:r>
    </w:p>
    <w:p w14:paraId="60A23202" w14:textId="77777777" w:rsidR="00DB1A08" w:rsidRPr="002B75EC" w:rsidRDefault="00DB1A08" w:rsidP="00DB1A08">
      <w:pPr>
        <w:spacing w:line="480" w:lineRule="auto"/>
        <w:jc w:val="both"/>
        <w:rPr>
          <w:rFonts w:ascii="Times New Roman" w:hAnsi="Times New Roman" w:cs="Times New Roman"/>
          <w:sz w:val="24"/>
          <w:szCs w:val="24"/>
        </w:rPr>
      </w:pPr>
    </w:p>
    <w:p w14:paraId="3C9BD4D1" w14:textId="77777777" w:rsidR="00D167E7" w:rsidRPr="000F6B26" w:rsidRDefault="00D167E7" w:rsidP="002B75EC">
      <w:pPr>
        <w:pStyle w:val="ListParagraph"/>
        <w:numPr>
          <w:ilvl w:val="0"/>
          <w:numId w:val="6"/>
        </w:numPr>
        <w:spacing w:line="480" w:lineRule="auto"/>
        <w:jc w:val="both"/>
        <w:rPr>
          <w:rFonts w:ascii="Times New Roman" w:hAnsi="Times New Roman" w:cs="Times New Roman"/>
          <w:b/>
          <w:bCs/>
          <w:sz w:val="24"/>
          <w:szCs w:val="24"/>
          <w:u w:val="single"/>
        </w:rPr>
      </w:pPr>
      <w:r w:rsidRPr="000F6B26">
        <w:rPr>
          <w:rFonts w:ascii="Times New Roman" w:hAnsi="Times New Roman" w:cs="Times New Roman"/>
          <w:b/>
          <w:bCs/>
          <w:i/>
          <w:iCs/>
          <w:sz w:val="24"/>
          <w:szCs w:val="24"/>
          <w:u w:val="single"/>
        </w:rPr>
        <w:t xml:space="preserve">Prime Sight Ltd v </w:t>
      </w:r>
      <w:proofErr w:type="spellStart"/>
      <w:r w:rsidRPr="000F6B26">
        <w:rPr>
          <w:rFonts w:ascii="Times New Roman" w:hAnsi="Times New Roman" w:cs="Times New Roman"/>
          <w:b/>
          <w:bCs/>
          <w:i/>
          <w:iCs/>
          <w:sz w:val="24"/>
          <w:szCs w:val="24"/>
          <w:u w:val="single"/>
        </w:rPr>
        <w:t>Lavarello</w:t>
      </w:r>
      <w:proofErr w:type="spellEnd"/>
      <w:r w:rsidRPr="000F6B26">
        <w:rPr>
          <w:rFonts w:ascii="Times New Roman" w:hAnsi="Times New Roman" w:cs="Times New Roman"/>
          <w:b/>
          <w:bCs/>
          <w:sz w:val="24"/>
          <w:szCs w:val="24"/>
          <w:u w:val="single"/>
        </w:rPr>
        <w:t>:</w:t>
      </w:r>
    </w:p>
    <w:p w14:paraId="41401C82" w14:textId="496568D8" w:rsidR="00D167E7"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This is an independent case where the principle of contractual estoppel has been considered after appearance through </w:t>
      </w:r>
      <w:proofErr w:type="spellStart"/>
      <w:r w:rsidRPr="002B75EC">
        <w:rPr>
          <w:rFonts w:ascii="Times New Roman" w:hAnsi="Times New Roman" w:cs="Times New Roman"/>
          <w:i/>
          <w:iCs/>
          <w:sz w:val="24"/>
          <w:szCs w:val="24"/>
        </w:rPr>
        <w:t>Peekay</w:t>
      </w:r>
      <w:proofErr w:type="spellEnd"/>
      <w:r w:rsidRPr="002B75EC">
        <w:rPr>
          <w:rFonts w:ascii="Times New Roman" w:hAnsi="Times New Roman" w:cs="Times New Roman"/>
          <w:i/>
          <w:iCs/>
          <w:sz w:val="24"/>
          <w:szCs w:val="24"/>
        </w:rPr>
        <w:t xml:space="preserve"> </w:t>
      </w:r>
      <w:r w:rsidRPr="002B75EC">
        <w:rPr>
          <w:rFonts w:ascii="Times New Roman" w:hAnsi="Times New Roman" w:cs="Times New Roman"/>
          <w:sz w:val="24"/>
          <w:szCs w:val="24"/>
        </w:rPr>
        <w:t xml:space="preserve">and formal recognition in </w:t>
      </w:r>
      <w:r w:rsidRPr="002B75EC">
        <w:rPr>
          <w:rFonts w:ascii="Times New Roman" w:hAnsi="Times New Roman" w:cs="Times New Roman"/>
          <w:i/>
          <w:iCs/>
          <w:sz w:val="24"/>
          <w:szCs w:val="24"/>
        </w:rPr>
        <w:t xml:space="preserve">Springwell. </w:t>
      </w:r>
      <w:r w:rsidRPr="002B75EC">
        <w:rPr>
          <w:rFonts w:ascii="Times New Roman" w:hAnsi="Times New Roman" w:cs="Times New Roman"/>
          <w:sz w:val="24"/>
          <w:szCs w:val="24"/>
        </w:rPr>
        <w:t xml:space="preserve">A deed of assignment for an apartment was entered by Mr </w:t>
      </w:r>
      <w:proofErr w:type="spellStart"/>
      <w:r w:rsidRPr="002B75EC">
        <w:rPr>
          <w:rFonts w:ascii="Times New Roman" w:hAnsi="Times New Roman" w:cs="Times New Roman"/>
          <w:sz w:val="24"/>
          <w:szCs w:val="24"/>
        </w:rPr>
        <w:t>Marrache</w:t>
      </w:r>
      <w:proofErr w:type="spellEnd"/>
      <w:r w:rsidRPr="002B75EC">
        <w:rPr>
          <w:rFonts w:ascii="Times New Roman" w:hAnsi="Times New Roman" w:cs="Times New Roman"/>
          <w:sz w:val="24"/>
          <w:szCs w:val="24"/>
        </w:rPr>
        <w:t xml:space="preserve"> in return for payment of £499,950 by Prime Sight Ltd.  It has been provided in the deed that the receipt and payment of that sum was acknowledged, however, both partied </w:t>
      </w:r>
      <w:proofErr w:type="spellStart"/>
      <w:r w:rsidRPr="002B75EC">
        <w:rPr>
          <w:rFonts w:ascii="Times New Roman" w:hAnsi="Times New Roman" w:cs="Times New Roman"/>
          <w:sz w:val="24"/>
          <w:szCs w:val="24"/>
        </w:rPr>
        <w:t>knews</w:t>
      </w:r>
      <w:proofErr w:type="spellEnd"/>
      <w:r w:rsidRPr="002B75EC">
        <w:rPr>
          <w:rFonts w:ascii="Times New Roman" w:hAnsi="Times New Roman" w:cs="Times New Roman"/>
          <w:sz w:val="24"/>
          <w:szCs w:val="24"/>
        </w:rPr>
        <w:t xml:space="preserve"> that the amount was never paid. Later it has been </w:t>
      </w:r>
      <w:r w:rsidRPr="002B75EC">
        <w:rPr>
          <w:rFonts w:ascii="Times New Roman" w:hAnsi="Times New Roman" w:cs="Times New Roman"/>
          <w:sz w:val="24"/>
          <w:szCs w:val="24"/>
        </w:rPr>
        <w:lastRenderedPageBreak/>
        <w:t xml:space="preserve">found that Mr </w:t>
      </w:r>
      <w:proofErr w:type="spellStart"/>
      <w:r w:rsidRPr="002B75EC">
        <w:rPr>
          <w:rFonts w:ascii="Times New Roman" w:hAnsi="Times New Roman" w:cs="Times New Roman"/>
          <w:sz w:val="24"/>
          <w:szCs w:val="24"/>
        </w:rPr>
        <w:t>Marrache</w:t>
      </w:r>
      <w:proofErr w:type="spellEnd"/>
      <w:r w:rsidRPr="002B75EC">
        <w:rPr>
          <w:rFonts w:ascii="Times New Roman" w:hAnsi="Times New Roman" w:cs="Times New Roman"/>
          <w:sz w:val="24"/>
          <w:szCs w:val="24"/>
        </w:rPr>
        <w:t xml:space="preserve"> went bankrupt. As consequence, the official Trustee of Mr </w:t>
      </w:r>
      <w:proofErr w:type="spellStart"/>
      <w:r w:rsidRPr="002B75EC">
        <w:rPr>
          <w:rFonts w:ascii="Times New Roman" w:hAnsi="Times New Roman" w:cs="Times New Roman"/>
          <w:sz w:val="24"/>
          <w:szCs w:val="24"/>
        </w:rPr>
        <w:t>Marrache</w:t>
      </w:r>
      <w:proofErr w:type="spellEnd"/>
      <w:r w:rsidRPr="002B75EC">
        <w:rPr>
          <w:rFonts w:ascii="Times New Roman" w:hAnsi="Times New Roman" w:cs="Times New Roman"/>
          <w:sz w:val="24"/>
          <w:szCs w:val="24"/>
        </w:rPr>
        <w:t xml:space="preserve"> filed a winding up petition against the Prime Sight Ltd claiming they were indebted to Mr </w:t>
      </w:r>
      <w:proofErr w:type="spellStart"/>
      <w:r w:rsidRPr="002B75EC">
        <w:rPr>
          <w:rFonts w:ascii="Times New Roman" w:hAnsi="Times New Roman" w:cs="Times New Roman"/>
          <w:sz w:val="24"/>
          <w:szCs w:val="24"/>
        </w:rPr>
        <w:t>Marrache</w:t>
      </w:r>
      <w:proofErr w:type="spellEnd"/>
      <w:r w:rsidRPr="002B75EC">
        <w:rPr>
          <w:rFonts w:ascii="Times New Roman" w:hAnsi="Times New Roman" w:cs="Times New Roman"/>
          <w:sz w:val="24"/>
          <w:szCs w:val="24"/>
        </w:rPr>
        <w:t xml:space="preserve"> for the unpaid purchase price. </w:t>
      </w:r>
    </w:p>
    <w:p w14:paraId="5273F272" w14:textId="77777777" w:rsidR="00DB1A08" w:rsidRPr="002B75EC" w:rsidRDefault="00DB1A08" w:rsidP="00DB1A08">
      <w:pPr>
        <w:spacing w:line="480" w:lineRule="auto"/>
        <w:jc w:val="both"/>
        <w:rPr>
          <w:rFonts w:ascii="Times New Roman" w:hAnsi="Times New Roman" w:cs="Times New Roman"/>
          <w:sz w:val="24"/>
          <w:szCs w:val="24"/>
        </w:rPr>
      </w:pPr>
    </w:p>
    <w:p w14:paraId="5392851C" w14:textId="77777777" w:rsidR="00D167E7" w:rsidRPr="002B75EC" w:rsidRDefault="00D167E7" w:rsidP="00DB1A08">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An appeal to the Privy Council succeeded where official Trustees were estopped by the receipt clause from claiming the debt. In this case Privy Council outlined the development of contractual estoppel, stating that, parties are generally free to choose whatever terms they want to enter into contract under contract law except in certain situations. The appellant pleaded estoppel by deed and Privy Council considered the estoppel by convention. However, finally the Privy Council applied the principle of contractual estoppel due to its principle basis party autonomy and freedom of contract. Therefore, it was stated that, ‘if as a matter of construction, a recital amounts to a mutual agreement to treat it as true, and if there were no vitiating factors such as illegality or misrepresentation, the fact that the parties have willingly so bound themselves is itself sufficient reason for the contract to be enforced.’</w:t>
      </w:r>
      <w:r w:rsidRPr="002B75EC">
        <w:rPr>
          <w:rStyle w:val="FootnoteReference"/>
          <w:rFonts w:ascii="Times New Roman" w:hAnsi="Times New Roman" w:cs="Times New Roman"/>
          <w:sz w:val="24"/>
          <w:szCs w:val="24"/>
        </w:rPr>
        <w:footnoteReference w:id="30"/>
      </w:r>
      <w:r w:rsidRPr="002B75EC">
        <w:rPr>
          <w:rFonts w:ascii="Times New Roman" w:hAnsi="Times New Roman" w:cs="Times New Roman"/>
          <w:sz w:val="24"/>
          <w:szCs w:val="24"/>
        </w:rPr>
        <w:t xml:space="preserve"> It was also stated that, ‘parties are ordinarily free to contract on whatever terms they choose and the court’s role is to enforce them… contractual estoppels are subject to the same limits as other contractual provisions, but there is nothing inherently contrary to public policy in parties agreeing to contract on the basis that certain facts are to be treated as established for the purpose of their transaction, although they know the facts to be otherwise.’</w:t>
      </w:r>
      <w:r w:rsidRPr="002B75EC">
        <w:rPr>
          <w:rStyle w:val="FootnoteReference"/>
          <w:rFonts w:ascii="Times New Roman" w:hAnsi="Times New Roman" w:cs="Times New Roman"/>
          <w:sz w:val="24"/>
          <w:szCs w:val="24"/>
        </w:rPr>
        <w:footnoteReference w:id="31"/>
      </w:r>
      <w:r w:rsidRPr="002B75EC">
        <w:rPr>
          <w:rFonts w:ascii="Times New Roman" w:hAnsi="Times New Roman" w:cs="Times New Roman"/>
          <w:sz w:val="24"/>
          <w:szCs w:val="24"/>
        </w:rPr>
        <w:t xml:space="preserve"> </w:t>
      </w:r>
    </w:p>
    <w:p w14:paraId="01E6424F" w14:textId="4528E04C" w:rsidR="00D167E7" w:rsidRDefault="00D167E7" w:rsidP="00EB4904">
      <w:pPr>
        <w:spacing w:line="480" w:lineRule="auto"/>
        <w:rPr>
          <w:rFonts w:ascii="Times New Roman" w:hAnsi="Times New Roman" w:cs="Times New Roman"/>
          <w:b/>
          <w:bCs/>
          <w:sz w:val="36"/>
          <w:szCs w:val="36"/>
          <w:u w:val="single"/>
        </w:rPr>
      </w:pPr>
    </w:p>
    <w:p w14:paraId="4C319821" w14:textId="77777777" w:rsidR="00DB1A08" w:rsidRPr="00EB4904" w:rsidRDefault="00DB1A08" w:rsidP="00EB4904">
      <w:pPr>
        <w:spacing w:line="480" w:lineRule="auto"/>
        <w:rPr>
          <w:rFonts w:ascii="Times New Roman" w:hAnsi="Times New Roman" w:cs="Times New Roman"/>
          <w:b/>
          <w:bCs/>
          <w:sz w:val="36"/>
          <w:szCs w:val="36"/>
          <w:u w:val="single"/>
        </w:rPr>
      </w:pPr>
    </w:p>
    <w:p w14:paraId="798A7BC8" w14:textId="77777777" w:rsidR="00D167E7" w:rsidRPr="00EB4904" w:rsidRDefault="00D167E7" w:rsidP="00EB4904">
      <w:pPr>
        <w:spacing w:line="480" w:lineRule="auto"/>
        <w:jc w:val="center"/>
        <w:rPr>
          <w:rFonts w:ascii="Times New Roman" w:hAnsi="Times New Roman" w:cs="Times New Roman"/>
          <w:b/>
          <w:bCs/>
          <w:sz w:val="36"/>
          <w:szCs w:val="36"/>
          <w:u w:val="single"/>
        </w:rPr>
      </w:pPr>
      <w:r w:rsidRPr="00EB4904">
        <w:rPr>
          <w:rFonts w:ascii="Times New Roman" w:hAnsi="Times New Roman" w:cs="Times New Roman"/>
          <w:b/>
          <w:bCs/>
          <w:sz w:val="36"/>
          <w:szCs w:val="36"/>
          <w:u w:val="single"/>
        </w:rPr>
        <w:lastRenderedPageBreak/>
        <w:t>CHAPTER THREE</w:t>
      </w:r>
    </w:p>
    <w:p w14:paraId="50BB9281" w14:textId="77777777" w:rsidR="00D167E7" w:rsidRPr="00EB4904" w:rsidRDefault="00D167E7" w:rsidP="00EB4904">
      <w:pPr>
        <w:pStyle w:val="ListParagraph"/>
        <w:numPr>
          <w:ilvl w:val="0"/>
          <w:numId w:val="5"/>
        </w:numPr>
        <w:spacing w:line="480" w:lineRule="auto"/>
        <w:jc w:val="center"/>
        <w:rPr>
          <w:rFonts w:ascii="Times New Roman" w:hAnsi="Times New Roman" w:cs="Times New Roman"/>
          <w:b/>
          <w:bCs/>
          <w:sz w:val="32"/>
          <w:szCs w:val="32"/>
          <w:u w:val="single"/>
        </w:rPr>
      </w:pPr>
      <w:r w:rsidRPr="00EB4904">
        <w:rPr>
          <w:rFonts w:ascii="Times New Roman" w:hAnsi="Times New Roman" w:cs="Times New Roman"/>
          <w:b/>
          <w:bCs/>
          <w:sz w:val="32"/>
          <w:szCs w:val="32"/>
          <w:u w:val="single"/>
        </w:rPr>
        <w:t>Contractual Estoppel: General Features</w:t>
      </w:r>
    </w:p>
    <w:p w14:paraId="46F05088" w14:textId="77777777" w:rsidR="00D167E7" w:rsidRPr="002B75EC" w:rsidRDefault="00D167E7" w:rsidP="002B75EC">
      <w:pPr>
        <w:spacing w:line="480" w:lineRule="auto"/>
        <w:jc w:val="both"/>
        <w:rPr>
          <w:rFonts w:ascii="Times New Roman" w:hAnsi="Times New Roman" w:cs="Times New Roman"/>
          <w:sz w:val="24"/>
          <w:szCs w:val="24"/>
          <w:u w:val="single"/>
        </w:rPr>
      </w:pPr>
    </w:p>
    <w:p w14:paraId="10689944" w14:textId="1E845E55" w:rsidR="00383A76" w:rsidRDefault="00383A76" w:rsidP="00124F98">
      <w:pPr>
        <w:pStyle w:val="ListParagraph"/>
        <w:numPr>
          <w:ilvl w:val="1"/>
          <w:numId w:val="8"/>
        </w:numPr>
        <w:spacing w:line="480" w:lineRule="auto"/>
        <w:jc w:val="both"/>
        <w:rPr>
          <w:rFonts w:ascii="Times New Roman" w:hAnsi="Times New Roman" w:cs="Times New Roman"/>
          <w:b/>
          <w:bCs/>
          <w:sz w:val="24"/>
          <w:szCs w:val="24"/>
          <w:u w:val="single"/>
        </w:rPr>
      </w:pPr>
      <w:r w:rsidRPr="00383A76">
        <w:rPr>
          <w:rFonts w:ascii="Times New Roman" w:hAnsi="Times New Roman" w:cs="Times New Roman"/>
          <w:b/>
          <w:bCs/>
          <w:sz w:val="24"/>
          <w:szCs w:val="24"/>
          <w:u w:val="single"/>
        </w:rPr>
        <w:t>Chapter Overview:</w:t>
      </w:r>
    </w:p>
    <w:p w14:paraId="5289C46E" w14:textId="1224AE8F" w:rsidR="00BA2C5B" w:rsidRDefault="00383A76" w:rsidP="00383A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the doctrine of contractual estoppel has developed through its landmark cases it has been the subject matter of many criticism and debates about its function and characteristics. However, distinct nature of this doctrine made it more popular in short period of time </w:t>
      </w:r>
      <w:proofErr w:type="gramStart"/>
      <w:r>
        <w:rPr>
          <w:rFonts w:ascii="Times New Roman" w:hAnsi="Times New Roman" w:cs="Times New Roman"/>
          <w:sz w:val="24"/>
          <w:szCs w:val="24"/>
        </w:rPr>
        <w:t>in the area of</w:t>
      </w:r>
      <w:proofErr w:type="gramEnd"/>
      <w:r w:rsidR="001811B1">
        <w:rPr>
          <w:rFonts w:ascii="Times New Roman" w:hAnsi="Times New Roman" w:cs="Times New Roman"/>
          <w:sz w:val="24"/>
          <w:szCs w:val="24"/>
        </w:rPr>
        <w:t xml:space="preserve"> commercial contracts and banking sector. This chapter will provide a detailed discussion on the general features of contractual estoppel and </w:t>
      </w:r>
      <w:r w:rsidR="00D14D4F">
        <w:rPr>
          <w:rFonts w:ascii="Times New Roman" w:hAnsi="Times New Roman" w:cs="Times New Roman"/>
          <w:sz w:val="24"/>
          <w:szCs w:val="24"/>
        </w:rPr>
        <w:t>how such characteristics of this doctrine have been criticised and recognised in different cases.</w:t>
      </w:r>
    </w:p>
    <w:p w14:paraId="24495448" w14:textId="77777777" w:rsidR="00BA2C5B" w:rsidRPr="00383A76" w:rsidRDefault="00BA2C5B" w:rsidP="00383A76">
      <w:pPr>
        <w:spacing w:line="480" w:lineRule="auto"/>
        <w:jc w:val="both"/>
        <w:rPr>
          <w:rFonts w:ascii="Times New Roman" w:hAnsi="Times New Roman" w:cs="Times New Roman"/>
          <w:sz w:val="24"/>
          <w:szCs w:val="24"/>
        </w:rPr>
      </w:pPr>
    </w:p>
    <w:p w14:paraId="16C4B068" w14:textId="782722A2" w:rsidR="00124F98" w:rsidRPr="00124F98" w:rsidRDefault="00D167E7" w:rsidP="00124F98">
      <w:pPr>
        <w:pStyle w:val="ListParagraph"/>
        <w:numPr>
          <w:ilvl w:val="1"/>
          <w:numId w:val="8"/>
        </w:numPr>
        <w:spacing w:line="480" w:lineRule="auto"/>
        <w:jc w:val="both"/>
        <w:rPr>
          <w:rFonts w:ascii="Times New Roman" w:hAnsi="Times New Roman" w:cs="Times New Roman"/>
          <w:sz w:val="24"/>
          <w:szCs w:val="24"/>
          <w:u w:val="single"/>
        </w:rPr>
      </w:pPr>
      <w:r w:rsidRPr="0069288F">
        <w:rPr>
          <w:rFonts w:ascii="Times New Roman" w:hAnsi="Times New Roman" w:cs="Times New Roman"/>
          <w:b/>
          <w:bCs/>
          <w:sz w:val="24"/>
          <w:szCs w:val="24"/>
          <w:u w:val="single"/>
        </w:rPr>
        <w:t>Distinct form of estoppel</w:t>
      </w:r>
      <w:r w:rsidRPr="002B75EC">
        <w:rPr>
          <w:rFonts w:ascii="Times New Roman" w:hAnsi="Times New Roman" w:cs="Times New Roman"/>
          <w:sz w:val="24"/>
          <w:szCs w:val="24"/>
          <w:u w:val="single"/>
        </w:rPr>
        <w:t>:</w:t>
      </w:r>
      <w:r w:rsidRPr="002B75EC">
        <w:rPr>
          <w:rFonts w:ascii="Times New Roman" w:hAnsi="Times New Roman" w:cs="Times New Roman"/>
          <w:sz w:val="24"/>
          <w:szCs w:val="24"/>
        </w:rPr>
        <w:t xml:space="preserve"> </w:t>
      </w:r>
    </w:p>
    <w:p w14:paraId="0C4E39F1" w14:textId="12B03AC2" w:rsidR="00D167E7" w:rsidRPr="00124F98" w:rsidRDefault="00D167E7" w:rsidP="00124F98">
      <w:pPr>
        <w:spacing w:line="480" w:lineRule="auto"/>
        <w:jc w:val="both"/>
        <w:rPr>
          <w:rFonts w:ascii="Times New Roman" w:hAnsi="Times New Roman" w:cs="Times New Roman"/>
          <w:sz w:val="24"/>
          <w:szCs w:val="24"/>
          <w:u w:val="single"/>
        </w:rPr>
      </w:pPr>
      <w:r w:rsidRPr="00124F98">
        <w:rPr>
          <w:rFonts w:ascii="Times New Roman" w:hAnsi="Times New Roman" w:cs="Times New Roman"/>
          <w:sz w:val="24"/>
          <w:szCs w:val="24"/>
        </w:rPr>
        <w:t xml:space="preserve">It has been clearly confirmed from </w:t>
      </w:r>
      <w:r w:rsidRPr="00124F98">
        <w:rPr>
          <w:rFonts w:ascii="Times New Roman" w:hAnsi="Times New Roman" w:cs="Times New Roman"/>
          <w:i/>
          <w:iCs/>
          <w:sz w:val="24"/>
          <w:szCs w:val="24"/>
        </w:rPr>
        <w:t>Springwell</w:t>
      </w:r>
      <w:r w:rsidRPr="00124F98">
        <w:rPr>
          <w:rFonts w:ascii="Times New Roman" w:hAnsi="Times New Roman" w:cs="Times New Roman"/>
          <w:sz w:val="24"/>
          <w:szCs w:val="24"/>
        </w:rPr>
        <w:t xml:space="preserve"> that, contractual estoppel is a separate form of estoppel from other form of estoppel. The reason behind its distinct form is clearly demonstrated in the outcome of </w:t>
      </w:r>
      <w:r w:rsidRPr="00124F98">
        <w:rPr>
          <w:rFonts w:ascii="Times New Roman" w:hAnsi="Times New Roman" w:cs="Times New Roman"/>
          <w:i/>
          <w:iCs/>
          <w:sz w:val="24"/>
          <w:szCs w:val="24"/>
        </w:rPr>
        <w:t xml:space="preserve">EA </w:t>
      </w:r>
      <w:proofErr w:type="spellStart"/>
      <w:r w:rsidRPr="00124F98">
        <w:rPr>
          <w:rFonts w:ascii="Times New Roman" w:hAnsi="Times New Roman" w:cs="Times New Roman"/>
          <w:i/>
          <w:iCs/>
          <w:sz w:val="24"/>
          <w:szCs w:val="24"/>
        </w:rPr>
        <w:t>Grimstead</w:t>
      </w:r>
      <w:proofErr w:type="spellEnd"/>
      <w:r w:rsidRPr="00124F98">
        <w:rPr>
          <w:rFonts w:ascii="Times New Roman" w:hAnsi="Times New Roman" w:cs="Times New Roman"/>
          <w:i/>
          <w:iCs/>
          <w:sz w:val="24"/>
          <w:szCs w:val="24"/>
        </w:rPr>
        <w:t xml:space="preserve"> &amp; Son Ltd v Mc </w:t>
      </w:r>
      <w:proofErr w:type="spellStart"/>
      <w:r w:rsidRPr="00124F98">
        <w:rPr>
          <w:rFonts w:ascii="Times New Roman" w:hAnsi="Times New Roman" w:cs="Times New Roman"/>
          <w:i/>
          <w:iCs/>
          <w:sz w:val="24"/>
          <w:szCs w:val="24"/>
        </w:rPr>
        <w:t>Garrigan</w:t>
      </w:r>
      <w:proofErr w:type="spellEnd"/>
      <w:r w:rsidRPr="002B75EC">
        <w:rPr>
          <w:rStyle w:val="FootnoteReference"/>
          <w:rFonts w:ascii="Times New Roman" w:hAnsi="Times New Roman" w:cs="Times New Roman"/>
          <w:i/>
          <w:iCs/>
          <w:sz w:val="24"/>
          <w:szCs w:val="24"/>
        </w:rPr>
        <w:footnoteReference w:id="32"/>
      </w:r>
      <w:r w:rsidRPr="00124F98">
        <w:rPr>
          <w:rFonts w:ascii="Times New Roman" w:hAnsi="Times New Roman" w:cs="Times New Roman"/>
          <w:i/>
          <w:iCs/>
          <w:sz w:val="24"/>
          <w:szCs w:val="24"/>
        </w:rPr>
        <w:t xml:space="preserve">. </w:t>
      </w:r>
      <w:r w:rsidRPr="00124F98">
        <w:rPr>
          <w:rFonts w:ascii="Times New Roman" w:hAnsi="Times New Roman" w:cs="Times New Roman"/>
          <w:sz w:val="24"/>
          <w:szCs w:val="24"/>
        </w:rPr>
        <w:t>In this case, a share sale agreement contained two acknowledgements of non-reliance on representations and warranties. The Court of Appeal held that, Vendor did not make any false oral representations. It also held that, even if such representations had been made, such clauses would be capable of operating as an evidential estoppel.</w:t>
      </w:r>
      <w:r w:rsidRPr="002B75EC">
        <w:rPr>
          <w:rStyle w:val="FootnoteReference"/>
          <w:rFonts w:ascii="Times New Roman" w:hAnsi="Times New Roman" w:cs="Times New Roman"/>
          <w:sz w:val="24"/>
          <w:szCs w:val="24"/>
        </w:rPr>
        <w:footnoteReference w:id="33"/>
      </w:r>
      <w:r w:rsidRPr="00124F98">
        <w:rPr>
          <w:rFonts w:ascii="Times New Roman" w:hAnsi="Times New Roman" w:cs="Times New Roman"/>
          <w:sz w:val="24"/>
          <w:szCs w:val="24"/>
        </w:rPr>
        <w:t xml:space="preserve"> The Court of Appeal in this case applied the principle set out in </w:t>
      </w:r>
      <w:r w:rsidRPr="00124F98">
        <w:rPr>
          <w:rFonts w:ascii="Times New Roman" w:hAnsi="Times New Roman" w:cs="Times New Roman"/>
          <w:i/>
          <w:iCs/>
          <w:sz w:val="24"/>
          <w:szCs w:val="24"/>
        </w:rPr>
        <w:t xml:space="preserve">Lowe v </w:t>
      </w:r>
      <w:proofErr w:type="spellStart"/>
      <w:r w:rsidRPr="00124F98">
        <w:rPr>
          <w:rFonts w:ascii="Times New Roman" w:hAnsi="Times New Roman" w:cs="Times New Roman"/>
          <w:i/>
          <w:iCs/>
          <w:sz w:val="24"/>
          <w:szCs w:val="24"/>
        </w:rPr>
        <w:t>Lombank</w:t>
      </w:r>
      <w:proofErr w:type="spellEnd"/>
      <w:r w:rsidRPr="002B75EC">
        <w:rPr>
          <w:rStyle w:val="FootnoteReference"/>
          <w:rFonts w:ascii="Times New Roman" w:hAnsi="Times New Roman" w:cs="Times New Roman"/>
          <w:i/>
          <w:iCs/>
          <w:sz w:val="24"/>
          <w:szCs w:val="24"/>
        </w:rPr>
        <w:footnoteReference w:id="34"/>
      </w:r>
      <w:r w:rsidRPr="00124F98">
        <w:rPr>
          <w:rFonts w:ascii="Times New Roman" w:hAnsi="Times New Roman" w:cs="Times New Roman"/>
          <w:i/>
          <w:iCs/>
          <w:sz w:val="24"/>
          <w:szCs w:val="24"/>
        </w:rPr>
        <w:t xml:space="preserve">, </w:t>
      </w:r>
      <w:r w:rsidRPr="00124F98">
        <w:rPr>
          <w:rFonts w:ascii="Times New Roman" w:hAnsi="Times New Roman" w:cs="Times New Roman"/>
          <w:sz w:val="24"/>
          <w:szCs w:val="24"/>
        </w:rPr>
        <w:t xml:space="preserve">to prove whether the vendor fulfilled three requirements of evidential </w:t>
      </w:r>
      <w:r w:rsidRPr="00124F98">
        <w:rPr>
          <w:rFonts w:ascii="Times New Roman" w:hAnsi="Times New Roman" w:cs="Times New Roman"/>
          <w:sz w:val="24"/>
          <w:szCs w:val="24"/>
        </w:rPr>
        <w:lastRenderedPageBreak/>
        <w:t>estoppel; (</w:t>
      </w:r>
      <w:proofErr w:type="spellStart"/>
      <w:r w:rsidRPr="00124F98">
        <w:rPr>
          <w:rFonts w:ascii="Times New Roman" w:hAnsi="Times New Roman" w:cs="Times New Roman"/>
          <w:sz w:val="24"/>
          <w:szCs w:val="24"/>
        </w:rPr>
        <w:t>i</w:t>
      </w:r>
      <w:proofErr w:type="spellEnd"/>
      <w:r w:rsidRPr="00124F98">
        <w:rPr>
          <w:rFonts w:ascii="Times New Roman" w:hAnsi="Times New Roman" w:cs="Times New Roman"/>
          <w:sz w:val="24"/>
          <w:szCs w:val="24"/>
        </w:rPr>
        <w:t>) that the non-reliance statements of purchaser were clear and unequivocal, (ii) that the purchaser intended that the vendor should act upon those statements, and (iii)that the vendor has believed the statements to be true and acted upon it. Chadwick LJ started that, although first and second requirement were met, it would be difficult for vendor to prove the third requirement since having made the representation, vendor cannot say that he did so in order to persuade the purchaser to agree to purchase.</w:t>
      </w:r>
      <w:r w:rsidRPr="002B75EC">
        <w:rPr>
          <w:rStyle w:val="FootnoteReference"/>
          <w:rFonts w:ascii="Times New Roman" w:hAnsi="Times New Roman" w:cs="Times New Roman"/>
          <w:sz w:val="24"/>
          <w:szCs w:val="24"/>
        </w:rPr>
        <w:footnoteReference w:id="35"/>
      </w:r>
      <w:r w:rsidRPr="00124F98">
        <w:rPr>
          <w:rFonts w:ascii="Times New Roman" w:hAnsi="Times New Roman" w:cs="Times New Roman"/>
          <w:sz w:val="24"/>
          <w:szCs w:val="24"/>
        </w:rPr>
        <w:t xml:space="preserve"> Contrarily, in </w:t>
      </w:r>
      <w:r w:rsidRPr="00124F98">
        <w:rPr>
          <w:rFonts w:ascii="Times New Roman" w:hAnsi="Times New Roman" w:cs="Times New Roman"/>
          <w:i/>
          <w:iCs/>
          <w:sz w:val="24"/>
          <w:szCs w:val="24"/>
        </w:rPr>
        <w:t xml:space="preserve">Springwell, </w:t>
      </w:r>
      <w:r w:rsidRPr="00124F98">
        <w:rPr>
          <w:rFonts w:ascii="Times New Roman" w:hAnsi="Times New Roman" w:cs="Times New Roman"/>
          <w:sz w:val="24"/>
          <w:szCs w:val="24"/>
        </w:rPr>
        <w:t>it was clearly confirmed that contractual estoppel does not require detrimental reliance, therefore, it does not require to follow the evidential estoppel requirements in the context of non-reliance cases.</w:t>
      </w:r>
      <w:r w:rsidRPr="002B75EC">
        <w:rPr>
          <w:rStyle w:val="FootnoteReference"/>
          <w:rFonts w:ascii="Times New Roman" w:hAnsi="Times New Roman" w:cs="Times New Roman"/>
          <w:sz w:val="24"/>
          <w:szCs w:val="24"/>
        </w:rPr>
        <w:footnoteReference w:id="36"/>
      </w:r>
      <w:r w:rsidRPr="00124F98">
        <w:rPr>
          <w:rFonts w:ascii="Times New Roman" w:hAnsi="Times New Roman" w:cs="Times New Roman"/>
          <w:sz w:val="24"/>
          <w:szCs w:val="24"/>
        </w:rPr>
        <w:t xml:space="preserve"> </w:t>
      </w:r>
    </w:p>
    <w:p w14:paraId="30117F6F" w14:textId="77777777" w:rsidR="00D167E7" w:rsidRPr="002B75EC" w:rsidRDefault="00D167E7" w:rsidP="002B75EC">
      <w:pPr>
        <w:spacing w:line="480" w:lineRule="auto"/>
        <w:jc w:val="both"/>
        <w:rPr>
          <w:rFonts w:ascii="Times New Roman" w:hAnsi="Times New Roman" w:cs="Times New Roman"/>
          <w:sz w:val="24"/>
          <w:szCs w:val="24"/>
          <w:u w:val="single"/>
        </w:rPr>
      </w:pPr>
    </w:p>
    <w:p w14:paraId="6CF4A606" w14:textId="77777777" w:rsidR="00634BFE" w:rsidRPr="00634BFE" w:rsidRDefault="00D167E7" w:rsidP="002B75EC">
      <w:pPr>
        <w:pStyle w:val="ListParagraph"/>
        <w:numPr>
          <w:ilvl w:val="1"/>
          <w:numId w:val="8"/>
        </w:numPr>
        <w:spacing w:line="480" w:lineRule="auto"/>
        <w:jc w:val="both"/>
        <w:rPr>
          <w:rFonts w:ascii="Times New Roman" w:hAnsi="Times New Roman" w:cs="Times New Roman"/>
          <w:sz w:val="24"/>
          <w:szCs w:val="24"/>
          <w:u w:val="single"/>
        </w:rPr>
      </w:pPr>
      <w:r w:rsidRPr="008D7074">
        <w:rPr>
          <w:rFonts w:ascii="Times New Roman" w:hAnsi="Times New Roman" w:cs="Times New Roman"/>
          <w:b/>
          <w:bCs/>
          <w:sz w:val="24"/>
          <w:szCs w:val="24"/>
          <w:u w:val="single"/>
        </w:rPr>
        <w:t>No requirement of unconscionability:</w:t>
      </w:r>
      <w:r w:rsidRPr="002B75EC">
        <w:rPr>
          <w:rFonts w:ascii="Times New Roman" w:hAnsi="Times New Roman" w:cs="Times New Roman"/>
          <w:sz w:val="24"/>
          <w:szCs w:val="24"/>
        </w:rPr>
        <w:t xml:space="preserve"> </w:t>
      </w:r>
    </w:p>
    <w:p w14:paraId="2A529799" w14:textId="3845E87C" w:rsidR="00D167E7" w:rsidRPr="00634BFE" w:rsidRDefault="00D167E7" w:rsidP="00634BFE">
      <w:pPr>
        <w:spacing w:line="480" w:lineRule="auto"/>
        <w:jc w:val="both"/>
        <w:rPr>
          <w:rFonts w:ascii="Times New Roman" w:hAnsi="Times New Roman" w:cs="Times New Roman"/>
          <w:sz w:val="24"/>
          <w:szCs w:val="24"/>
          <w:u w:val="single"/>
        </w:rPr>
      </w:pPr>
      <w:r w:rsidRPr="00634BFE">
        <w:rPr>
          <w:rFonts w:ascii="Times New Roman" w:hAnsi="Times New Roman" w:cs="Times New Roman"/>
          <w:sz w:val="24"/>
          <w:szCs w:val="24"/>
        </w:rPr>
        <w:t>Moreover, contractual estoppel is distinct from estoppel by convention.</w:t>
      </w:r>
      <w:r w:rsidRPr="002B75EC">
        <w:rPr>
          <w:rStyle w:val="FootnoteReference"/>
          <w:rFonts w:ascii="Times New Roman" w:hAnsi="Times New Roman" w:cs="Times New Roman"/>
          <w:sz w:val="24"/>
          <w:szCs w:val="24"/>
        </w:rPr>
        <w:footnoteReference w:id="37"/>
      </w:r>
      <w:r w:rsidRPr="00634BFE">
        <w:rPr>
          <w:rFonts w:ascii="Times New Roman" w:hAnsi="Times New Roman" w:cs="Times New Roman"/>
          <w:sz w:val="24"/>
          <w:szCs w:val="24"/>
        </w:rPr>
        <w:t xml:space="preserve"> The estoppel by convention requires party wishing to rely on a statement shows that it would be unconscionable for the other party to go back on the assumed state of affairs.</w:t>
      </w:r>
      <w:r w:rsidRPr="002B75EC">
        <w:rPr>
          <w:rStyle w:val="FootnoteReference"/>
          <w:rFonts w:ascii="Times New Roman" w:hAnsi="Times New Roman" w:cs="Times New Roman"/>
          <w:sz w:val="24"/>
          <w:szCs w:val="24"/>
        </w:rPr>
        <w:footnoteReference w:id="38"/>
      </w:r>
      <w:r w:rsidRPr="00634BFE">
        <w:rPr>
          <w:rFonts w:ascii="Times New Roman" w:hAnsi="Times New Roman" w:cs="Times New Roman"/>
          <w:sz w:val="24"/>
          <w:szCs w:val="24"/>
        </w:rPr>
        <w:t xml:space="preserve"> However, unlike reliance bas</w:t>
      </w:r>
      <w:r w:rsidR="00224896" w:rsidRPr="00634BFE">
        <w:rPr>
          <w:rFonts w:ascii="Times New Roman" w:hAnsi="Times New Roman" w:cs="Times New Roman"/>
          <w:sz w:val="24"/>
          <w:szCs w:val="24"/>
        </w:rPr>
        <w:t>ed</w:t>
      </w:r>
      <w:r w:rsidRPr="00634BFE">
        <w:rPr>
          <w:rFonts w:ascii="Times New Roman" w:hAnsi="Times New Roman" w:cs="Times New Roman"/>
          <w:sz w:val="24"/>
          <w:szCs w:val="24"/>
        </w:rPr>
        <w:t xml:space="preserve"> estoppels, contractual estoppel does not required to show the consideration of unconscionability.</w:t>
      </w:r>
      <w:r w:rsidRPr="002B75EC">
        <w:rPr>
          <w:rStyle w:val="FootnoteReference"/>
          <w:rFonts w:ascii="Times New Roman" w:hAnsi="Times New Roman" w:cs="Times New Roman"/>
          <w:sz w:val="24"/>
          <w:szCs w:val="24"/>
        </w:rPr>
        <w:footnoteReference w:id="39"/>
      </w:r>
      <w:r w:rsidRPr="00634BFE">
        <w:rPr>
          <w:rFonts w:ascii="Times New Roman" w:hAnsi="Times New Roman" w:cs="Times New Roman"/>
          <w:sz w:val="24"/>
          <w:szCs w:val="24"/>
        </w:rPr>
        <w:t xml:space="preserve">  In </w:t>
      </w:r>
      <w:r w:rsidRPr="00634BFE">
        <w:rPr>
          <w:rFonts w:ascii="Times New Roman" w:hAnsi="Times New Roman" w:cs="Times New Roman"/>
          <w:i/>
          <w:iCs/>
          <w:sz w:val="24"/>
          <w:szCs w:val="24"/>
        </w:rPr>
        <w:t xml:space="preserve">Springwell, </w:t>
      </w:r>
      <w:r w:rsidRPr="00634BFE">
        <w:rPr>
          <w:rFonts w:ascii="Times New Roman" w:hAnsi="Times New Roman" w:cs="Times New Roman"/>
          <w:sz w:val="24"/>
          <w:szCs w:val="24"/>
        </w:rPr>
        <w:t>investors submitted that any estoppel should be governed by the considerations of justice and equity.</w:t>
      </w:r>
      <w:r w:rsidRPr="002B75EC">
        <w:rPr>
          <w:rStyle w:val="FootnoteReference"/>
          <w:rFonts w:ascii="Times New Roman" w:hAnsi="Times New Roman" w:cs="Times New Roman"/>
          <w:sz w:val="24"/>
          <w:szCs w:val="24"/>
        </w:rPr>
        <w:footnoteReference w:id="40"/>
      </w:r>
      <w:r w:rsidRPr="00634BFE">
        <w:rPr>
          <w:rFonts w:ascii="Times New Roman" w:hAnsi="Times New Roman" w:cs="Times New Roman"/>
          <w:sz w:val="24"/>
          <w:szCs w:val="24"/>
        </w:rPr>
        <w:t xml:space="preserve"> The Court of Appeal in </w:t>
      </w:r>
      <w:r w:rsidRPr="00634BFE">
        <w:rPr>
          <w:rFonts w:ascii="Times New Roman" w:hAnsi="Times New Roman" w:cs="Times New Roman"/>
          <w:i/>
          <w:iCs/>
          <w:sz w:val="24"/>
          <w:szCs w:val="24"/>
        </w:rPr>
        <w:t xml:space="preserve">Springwell </w:t>
      </w:r>
      <w:r w:rsidRPr="00634BFE">
        <w:rPr>
          <w:rFonts w:ascii="Times New Roman" w:hAnsi="Times New Roman" w:cs="Times New Roman"/>
          <w:sz w:val="24"/>
          <w:szCs w:val="24"/>
        </w:rPr>
        <w:t xml:space="preserve">held that, contractual estoppel is bases on the contract between the parties, it is a separate doctrine , so no other mechanism is required; therefore, requirement of unconscionability is irrelevant to contractual estoppel. Aikens LJ expressly clarified that, ‘once it is accepted that there is a separate doctrine of contractual estoppel then there is no room for a requirement that the party which wishes to rely on that estoppel must demonstrate that it would be unconscionable for the </w:t>
      </w:r>
      <w:r w:rsidRPr="00634BFE">
        <w:rPr>
          <w:rFonts w:ascii="Times New Roman" w:hAnsi="Times New Roman" w:cs="Times New Roman"/>
          <w:sz w:val="24"/>
          <w:szCs w:val="24"/>
        </w:rPr>
        <w:lastRenderedPageBreak/>
        <w:t xml:space="preserve">party to </w:t>
      </w:r>
      <w:proofErr w:type="spellStart"/>
      <w:r w:rsidRPr="00634BFE">
        <w:rPr>
          <w:rFonts w:ascii="Times New Roman" w:hAnsi="Times New Roman" w:cs="Times New Roman"/>
          <w:sz w:val="24"/>
          <w:szCs w:val="24"/>
        </w:rPr>
        <w:t>resile</w:t>
      </w:r>
      <w:proofErr w:type="spellEnd"/>
      <w:r w:rsidRPr="00634BFE">
        <w:rPr>
          <w:rFonts w:ascii="Times New Roman" w:hAnsi="Times New Roman" w:cs="Times New Roman"/>
          <w:sz w:val="24"/>
          <w:szCs w:val="24"/>
        </w:rPr>
        <w:t xml:space="preserve"> from the conventional state of affairs that the parties have assumed.’</w:t>
      </w:r>
      <w:r w:rsidRPr="002B75EC">
        <w:rPr>
          <w:rStyle w:val="FootnoteReference"/>
          <w:rFonts w:ascii="Times New Roman" w:hAnsi="Times New Roman" w:cs="Times New Roman"/>
          <w:sz w:val="24"/>
          <w:szCs w:val="24"/>
        </w:rPr>
        <w:footnoteReference w:id="41"/>
      </w:r>
      <w:r w:rsidRPr="00634BFE">
        <w:rPr>
          <w:rFonts w:ascii="Times New Roman" w:hAnsi="Times New Roman" w:cs="Times New Roman"/>
          <w:sz w:val="24"/>
          <w:szCs w:val="24"/>
        </w:rPr>
        <w:t xml:space="preserve"> The agreement itself sufficient. As per Briggs LJ, ‘the essence of contractual estoppel, as it is now understood, is that it has contractual force.’</w:t>
      </w:r>
      <w:r w:rsidRPr="002B75EC">
        <w:rPr>
          <w:rStyle w:val="FootnoteReference"/>
          <w:rFonts w:ascii="Times New Roman" w:hAnsi="Times New Roman" w:cs="Times New Roman"/>
          <w:sz w:val="24"/>
          <w:szCs w:val="24"/>
        </w:rPr>
        <w:footnoteReference w:id="42"/>
      </w:r>
    </w:p>
    <w:p w14:paraId="3D8E8CFE" w14:textId="77777777" w:rsidR="00D167E7" w:rsidRPr="002B75EC" w:rsidRDefault="00D167E7" w:rsidP="002B75EC">
      <w:pPr>
        <w:spacing w:line="480" w:lineRule="auto"/>
        <w:jc w:val="both"/>
        <w:rPr>
          <w:rFonts w:ascii="Times New Roman" w:hAnsi="Times New Roman" w:cs="Times New Roman"/>
          <w:sz w:val="24"/>
          <w:szCs w:val="24"/>
          <w:u w:val="single"/>
        </w:rPr>
      </w:pPr>
    </w:p>
    <w:p w14:paraId="2016B150" w14:textId="77777777" w:rsidR="00124F98" w:rsidRPr="00124F98" w:rsidRDefault="00D167E7" w:rsidP="00634BFE">
      <w:pPr>
        <w:pStyle w:val="ListParagraph"/>
        <w:numPr>
          <w:ilvl w:val="1"/>
          <w:numId w:val="8"/>
        </w:numPr>
        <w:spacing w:line="480" w:lineRule="auto"/>
        <w:jc w:val="both"/>
        <w:rPr>
          <w:rFonts w:ascii="Times New Roman" w:hAnsi="Times New Roman" w:cs="Times New Roman"/>
          <w:sz w:val="24"/>
          <w:szCs w:val="24"/>
          <w:u w:val="single"/>
        </w:rPr>
      </w:pPr>
      <w:r w:rsidRPr="008D7074">
        <w:rPr>
          <w:rFonts w:ascii="Times New Roman" w:hAnsi="Times New Roman" w:cs="Times New Roman"/>
          <w:b/>
          <w:bCs/>
          <w:sz w:val="24"/>
          <w:szCs w:val="24"/>
          <w:u w:val="single"/>
        </w:rPr>
        <w:t>Truth or falsity of agreed statement is irrelevant:</w:t>
      </w:r>
    </w:p>
    <w:p w14:paraId="20C3BFE5" w14:textId="682CF743" w:rsidR="00D167E7" w:rsidRPr="00124F98" w:rsidRDefault="00D167E7" w:rsidP="00124F98">
      <w:pPr>
        <w:spacing w:line="480" w:lineRule="auto"/>
        <w:jc w:val="both"/>
        <w:rPr>
          <w:rFonts w:ascii="Times New Roman" w:hAnsi="Times New Roman" w:cs="Times New Roman"/>
          <w:sz w:val="24"/>
          <w:szCs w:val="24"/>
          <w:u w:val="single"/>
        </w:rPr>
      </w:pPr>
      <w:r w:rsidRPr="00124F98">
        <w:rPr>
          <w:rFonts w:ascii="Times New Roman" w:hAnsi="Times New Roman" w:cs="Times New Roman"/>
          <w:sz w:val="24"/>
          <w:szCs w:val="24"/>
        </w:rPr>
        <w:t xml:space="preserve">In contractual estoppel, where the parties agreed to consider certain statement of facts to be true </w:t>
      </w:r>
      <w:proofErr w:type="gramStart"/>
      <w:r w:rsidRPr="00124F98">
        <w:rPr>
          <w:rFonts w:ascii="Times New Roman" w:hAnsi="Times New Roman" w:cs="Times New Roman"/>
          <w:sz w:val="24"/>
          <w:szCs w:val="24"/>
        </w:rPr>
        <w:t>for the purpose of</w:t>
      </w:r>
      <w:proofErr w:type="gramEnd"/>
      <w:r w:rsidRPr="00124F98">
        <w:rPr>
          <w:rFonts w:ascii="Times New Roman" w:hAnsi="Times New Roman" w:cs="Times New Roman"/>
          <w:sz w:val="24"/>
          <w:szCs w:val="24"/>
        </w:rPr>
        <w:t xml:space="preserve"> their contract, it is irrelevant whether such statements are true or false.</w:t>
      </w:r>
      <w:r w:rsidRPr="002B75EC">
        <w:rPr>
          <w:rStyle w:val="FootnoteReference"/>
          <w:rFonts w:ascii="Times New Roman" w:hAnsi="Times New Roman" w:cs="Times New Roman"/>
          <w:sz w:val="24"/>
          <w:szCs w:val="24"/>
        </w:rPr>
        <w:footnoteReference w:id="43"/>
      </w:r>
      <w:r w:rsidRPr="00124F98">
        <w:rPr>
          <w:rFonts w:ascii="Times New Roman" w:hAnsi="Times New Roman" w:cs="Times New Roman"/>
          <w:sz w:val="24"/>
          <w:szCs w:val="24"/>
        </w:rPr>
        <w:t xml:space="preserve"> The main purpose of agreed statements of facts is to require the parties to accept those statements as true, even if they knew that actually they are not true. Once parties are agreed on that, there is no chance for either of the parties in later situation to deny the agreed statements or assert the opposite. </w:t>
      </w:r>
    </w:p>
    <w:p w14:paraId="10A582F2" w14:textId="77777777" w:rsidR="00D167E7" w:rsidRPr="002B75EC" w:rsidRDefault="00D167E7" w:rsidP="002B75EC">
      <w:pPr>
        <w:pStyle w:val="ListParagraph"/>
        <w:spacing w:line="480" w:lineRule="auto"/>
        <w:jc w:val="both"/>
        <w:rPr>
          <w:rFonts w:ascii="Times New Roman" w:hAnsi="Times New Roman" w:cs="Times New Roman"/>
          <w:sz w:val="24"/>
          <w:szCs w:val="24"/>
          <w:u w:val="single"/>
        </w:rPr>
      </w:pPr>
    </w:p>
    <w:p w14:paraId="389D2DB8" w14:textId="62E36317" w:rsidR="00D167E7" w:rsidRPr="00634BFE" w:rsidRDefault="00B908BE" w:rsidP="00634BFE">
      <w:pPr>
        <w:spacing w:line="480" w:lineRule="auto"/>
        <w:jc w:val="both"/>
        <w:rPr>
          <w:rFonts w:ascii="Times New Roman" w:hAnsi="Times New Roman" w:cs="Times New Roman"/>
          <w:sz w:val="24"/>
          <w:szCs w:val="24"/>
        </w:rPr>
      </w:pPr>
      <w:r w:rsidRPr="00634BFE">
        <w:rPr>
          <w:rFonts w:ascii="Times New Roman" w:hAnsi="Times New Roman" w:cs="Times New Roman"/>
          <w:sz w:val="24"/>
          <w:szCs w:val="24"/>
        </w:rPr>
        <w:t>I</w:t>
      </w:r>
      <w:r w:rsidR="00D167E7" w:rsidRPr="00634BFE">
        <w:rPr>
          <w:rFonts w:ascii="Times New Roman" w:hAnsi="Times New Roman" w:cs="Times New Roman"/>
          <w:sz w:val="24"/>
          <w:szCs w:val="24"/>
        </w:rPr>
        <w:t>t is also irrelevant that parties had the knowledge of falsity of the statements they agreed. It does not matter if any party or all know that the agreed statement is not in fact true, except where the agreement might otherwise violate public policy or a statutory prohibition.</w:t>
      </w:r>
      <w:r w:rsidR="00D167E7" w:rsidRPr="002B75EC">
        <w:rPr>
          <w:rStyle w:val="FootnoteReference"/>
          <w:rFonts w:ascii="Times New Roman" w:hAnsi="Times New Roman" w:cs="Times New Roman"/>
          <w:sz w:val="24"/>
          <w:szCs w:val="24"/>
        </w:rPr>
        <w:footnoteReference w:id="44"/>
      </w:r>
      <w:r w:rsidR="00D167E7" w:rsidRPr="00634BFE">
        <w:rPr>
          <w:rFonts w:ascii="Times New Roman" w:hAnsi="Times New Roman" w:cs="Times New Roman"/>
          <w:sz w:val="24"/>
          <w:szCs w:val="24"/>
        </w:rPr>
        <w:t xml:space="preserve"> Like other contractual provisions, contractual estoppels are subject to similar limits, however, there is nothing inherently contrary to public policy in parties agreeing to contract on the basis that certain facts are to be treated as established for the purposes of their transaction, although they know the facts to be otherwise.</w:t>
      </w:r>
      <w:r w:rsidR="00D167E7" w:rsidRPr="002B75EC">
        <w:rPr>
          <w:rStyle w:val="FootnoteReference"/>
          <w:rFonts w:ascii="Times New Roman" w:hAnsi="Times New Roman" w:cs="Times New Roman"/>
          <w:sz w:val="24"/>
          <w:szCs w:val="24"/>
        </w:rPr>
        <w:footnoteReference w:id="45"/>
      </w:r>
      <w:r w:rsidR="00D167E7" w:rsidRPr="00634BFE">
        <w:rPr>
          <w:rFonts w:ascii="Times New Roman" w:hAnsi="Times New Roman" w:cs="Times New Roman"/>
          <w:sz w:val="24"/>
          <w:szCs w:val="24"/>
        </w:rPr>
        <w:t xml:space="preserve"> Subject to the fraud, mistake or misrepresentation, a party to </w:t>
      </w:r>
      <w:r w:rsidR="00D167E7" w:rsidRPr="00634BFE">
        <w:rPr>
          <w:rFonts w:ascii="Times New Roman" w:hAnsi="Times New Roman" w:cs="Times New Roman"/>
          <w:sz w:val="24"/>
          <w:szCs w:val="24"/>
        </w:rPr>
        <w:lastRenderedPageBreak/>
        <w:t>the contract shall not be deprived of the benefit of contractual estoppel if it is shown that this party alone knew the falsity of agreed statement.</w:t>
      </w:r>
    </w:p>
    <w:p w14:paraId="00EFC157" w14:textId="77777777" w:rsidR="00D167E7" w:rsidRPr="002B75EC" w:rsidRDefault="00D167E7" w:rsidP="002B75EC">
      <w:pPr>
        <w:pStyle w:val="ListParagraph"/>
        <w:spacing w:line="480" w:lineRule="auto"/>
        <w:ind w:left="360"/>
        <w:jc w:val="both"/>
        <w:rPr>
          <w:rFonts w:ascii="Times New Roman" w:hAnsi="Times New Roman" w:cs="Times New Roman"/>
          <w:sz w:val="24"/>
          <w:szCs w:val="24"/>
          <w:u w:val="single"/>
        </w:rPr>
      </w:pPr>
    </w:p>
    <w:p w14:paraId="08D8E3C0" w14:textId="77777777" w:rsidR="00D167E7" w:rsidRPr="002B75EC" w:rsidRDefault="00D167E7" w:rsidP="002B75EC">
      <w:pPr>
        <w:pStyle w:val="ListParagraph"/>
        <w:spacing w:line="480" w:lineRule="auto"/>
        <w:jc w:val="both"/>
        <w:rPr>
          <w:rFonts w:ascii="Times New Roman" w:hAnsi="Times New Roman" w:cs="Times New Roman"/>
          <w:sz w:val="24"/>
          <w:szCs w:val="24"/>
          <w:u w:val="single"/>
        </w:rPr>
      </w:pPr>
    </w:p>
    <w:p w14:paraId="5B6A647F" w14:textId="77777777" w:rsidR="00634BFE" w:rsidRPr="00634BFE" w:rsidRDefault="00D167E7" w:rsidP="002B75EC">
      <w:pPr>
        <w:pStyle w:val="ListParagraph"/>
        <w:numPr>
          <w:ilvl w:val="1"/>
          <w:numId w:val="8"/>
        </w:numPr>
        <w:spacing w:line="480" w:lineRule="auto"/>
        <w:jc w:val="both"/>
        <w:rPr>
          <w:rFonts w:ascii="Times New Roman" w:hAnsi="Times New Roman" w:cs="Times New Roman"/>
          <w:sz w:val="24"/>
          <w:szCs w:val="24"/>
          <w:u w:val="single"/>
        </w:rPr>
      </w:pPr>
      <w:r w:rsidRPr="008D7074">
        <w:rPr>
          <w:rFonts w:ascii="Times New Roman" w:hAnsi="Times New Roman" w:cs="Times New Roman"/>
          <w:b/>
          <w:bCs/>
          <w:sz w:val="24"/>
          <w:szCs w:val="24"/>
          <w:u w:val="single"/>
        </w:rPr>
        <w:t>Future facts to raise contractual estoppel</w:t>
      </w:r>
      <w:r w:rsidRPr="002B75EC">
        <w:rPr>
          <w:rFonts w:ascii="Times New Roman" w:hAnsi="Times New Roman" w:cs="Times New Roman"/>
          <w:sz w:val="24"/>
          <w:szCs w:val="24"/>
          <w:u w:val="single"/>
        </w:rPr>
        <w:t>:</w:t>
      </w:r>
      <w:r w:rsidRPr="002B75EC">
        <w:rPr>
          <w:rFonts w:ascii="Times New Roman" w:hAnsi="Times New Roman" w:cs="Times New Roman"/>
          <w:sz w:val="24"/>
          <w:szCs w:val="24"/>
        </w:rPr>
        <w:t xml:space="preserve"> </w:t>
      </w:r>
    </w:p>
    <w:p w14:paraId="03A5F89F" w14:textId="27329AD3" w:rsidR="00D167E7" w:rsidRPr="00634BFE" w:rsidRDefault="00D167E7" w:rsidP="00634BFE">
      <w:pPr>
        <w:spacing w:line="480" w:lineRule="auto"/>
        <w:jc w:val="both"/>
        <w:rPr>
          <w:rFonts w:ascii="Times New Roman" w:hAnsi="Times New Roman" w:cs="Times New Roman"/>
          <w:sz w:val="24"/>
          <w:szCs w:val="24"/>
          <w:u w:val="single"/>
        </w:rPr>
      </w:pPr>
      <w:r w:rsidRPr="00634BFE">
        <w:rPr>
          <w:rFonts w:ascii="Times New Roman" w:hAnsi="Times New Roman" w:cs="Times New Roman"/>
          <w:sz w:val="24"/>
          <w:szCs w:val="24"/>
        </w:rPr>
        <w:t>It is now clear that contractual estoppel can be raised by an agreed statement of past or present fact. However, in nowhere future facts have been considered to raise the contractual estoppel. Since the statements of past and present facts in a contract can give rise to contractual estoppel, it would be unprincipled if agreed statement of future facts cannot, where each statement is a term of a complete and binding contract.</w:t>
      </w:r>
      <w:r w:rsidRPr="002B75EC">
        <w:rPr>
          <w:rStyle w:val="FootnoteReference"/>
          <w:rFonts w:ascii="Times New Roman" w:hAnsi="Times New Roman" w:cs="Times New Roman"/>
          <w:sz w:val="24"/>
          <w:szCs w:val="24"/>
        </w:rPr>
        <w:footnoteReference w:id="46"/>
      </w:r>
      <w:r w:rsidRPr="00634BFE">
        <w:rPr>
          <w:rFonts w:ascii="Times New Roman" w:hAnsi="Times New Roman" w:cs="Times New Roman"/>
          <w:sz w:val="24"/>
          <w:szCs w:val="24"/>
        </w:rPr>
        <w:t xml:space="preserve"> Therefore, as long as contractual statements on true construction are concerned with agreed facts or proposition, it is able to raise estoppel regardless of the point of time and event by reference to which the fact or proposition is agreed.</w:t>
      </w:r>
    </w:p>
    <w:p w14:paraId="113FAFC3" w14:textId="77777777" w:rsidR="00D167E7" w:rsidRPr="002B75EC" w:rsidRDefault="00D167E7" w:rsidP="002B75EC">
      <w:pPr>
        <w:pStyle w:val="ListParagraph"/>
        <w:spacing w:line="480" w:lineRule="auto"/>
        <w:ind w:left="360"/>
        <w:jc w:val="both"/>
        <w:rPr>
          <w:rFonts w:ascii="Times New Roman" w:hAnsi="Times New Roman" w:cs="Times New Roman"/>
          <w:sz w:val="24"/>
          <w:szCs w:val="24"/>
          <w:u w:val="single"/>
        </w:rPr>
      </w:pPr>
    </w:p>
    <w:p w14:paraId="53468C51" w14:textId="77777777" w:rsidR="00D167E7" w:rsidRPr="00634BFE" w:rsidRDefault="00D167E7" w:rsidP="00634BFE">
      <w:pPr>
        <w:spacing w:line="480" w:lineRule="auto"/>
        <w:jc w:val="both"/>
        <w:rPr>
          <w:rFonts w:ascii="Times New Roman" w:hAnsi="Times New Roman" w:cs="Times New Roman"/>
          <w:sz w:val="24"/>
          <w:szCs w:val="24"/>
        </w:rPr>
      </w:pPr>
      <w:r w:rsidRPr="00634BFE">
        <w:rPr>
          <w:rFonts w:ascii="Times New Roman" w:hAnsi="Times New Roman" w:cs="Times New Roman"/>
          <w:sz w:val="24"/>
          <w:szCs w:val="24"/>
        </w:rPr>
        <w:t>In addition, there is also a distinction between an agreement of future facts and a promise of future action. The important point here is that an agreement of future fact as true can raise contractual estoppel, however, a promise of future action cannot.</w:t>
      </w:r>
      <w:r w:rsidRPr="002B75EC">
        <w:rPr>
          <w:rStyle w:val="FootnoteReference"/>
          <w:rFonts w:ascii="Times New Roman" w:hAnsi="Times New Roman" w:cs="Times New Roman"/>
          <w:sz w:val="24"/>
          <w:szCs w:val="24"/>
        </w:rPr>
        <w:footnoteReference w:id="47"/>
      </w:r>
      <w:r w:rsidRPr="00634BFE">
        <w:rPr>
          <w:rFonts w:ascii="Times New Roman" w:hAnsi="Times New Roman" w:cs="Times New Roman"/>
          <w:sz w:val="24"/>
          <w:szCs w:val="24"/>
        </w:rPr>
        <w:t xml:space="preserve"> To clarify this issue it is necessary to have a look on the case </w:t>
      </w:r>
      <w:r w:rsidRPr="00634BFE">
        <w:rPr>
          <w:rFonts w:ascii="Times New Roman" w:hAnsi="Times New Roman" w:cs="Times New Roman"/>
          <w:i/>
          <w:iCs/>
          <w:sz w:val="24"/>
          <w:szCs w:val="24"/>
        </w:rPr>
        <w:t xml:space="preserve">Credit Suisse v </w:t>
      </w:r>
      <w:proofErr w:type="spellStart"/>
      <w:r w:rsidRPr="00634BFE">
        <w:rPr>
          <w:rFonts w:ascii="Times New Roman" w:hAnsi="Times New Roman" w:cs="Times New Roman"/>
          <w:i/>
          <w:iCs/>
          <w:sz w:val="24"/>
          <w:szCs w:val="24"/>
        </w:rPr>
        <w:t>Stichting</w:t>
      </w:r>
      <w:proofErr w:type="spellEnd"/>
      <w:r w:rsidRPr="00634BFE">
        <w:rPr>
          <w:rFonts w:ascii="Times New Roman" w:hAnsi="Times New Roman" w:cs="Times New Roman"/>
          <w:i/>
          <w:iCs/>
          <w:sz w:val="24"/>
          <w:szCs w:val="24"/>
        </w:rPr>
        <w:t xml:space="preserve"> </w:t>
      </w:r>
      <w:proofErr w:type="spellStart"/>
      <w:r w:rsidRPr="00634BFE">
        <w:rPr>
          <w:rFonts w:ascii="Times New Roman" w:hAnsi="Times New Roman" w:cs="Times New Roman"/>
          <w:i/>
          <w:iCs/>
          <w:sz w:val="24"/>
          <w:szCs w:val="24"/>
        </w:rPr>
        <w:t>Vestia</w:t>
      </w:r>
      <w:proofErr w:type="spellEnd"/>
      <w:r w:rsidRPr="00634BFE">
        <w:rPr>
          <w:rFonts w:ascii="Times New Roman" w:hAnsi="Times New Roman" w:cs="Times New Roman"/>
          <w:i/>
          <w:iCs/>
          <w:sz w:val="24"/>
          <w:szCs w:val="24"/>
        </w:rPr>
        <w:t xml:space="preserve"> </w:t>
      </w:r>
      <w:proofErr w:type="spellStart"/>
      <w:r w:rsidRPr="00634BFE">
        <w:rPr>
          <w:rFonts w:ascii="Times New Roman" w:hAnsi="Times New Roman" w:cs="Times New Roman"/>
          <w:i/>
          <w:iCs/>
          <w:sz w:val="24"/>
          <w:szCs w:val="24"/>
        </w:rPr>
        <w:t>Groep</w:t>
      </w:r>
      <w:proofErr w:type="spellEnd"/>
      <w:r w:rsidRPr="002B75EC">
        <w:rPr>
          <w:rStyle w:val="FootnoteReference"/>
          <w:rFonts w:ascii="Times New Roman" w:hAnsi="Times New Roman" w:cs="Times New Roman"/>
          <w:i/>
          <w:iCs/>
          <w:sz w:val="24"/>
          <w:szCs w:val="24"/>
        </w:rPr>
        <w:footnoteReference w:id="48"/>
      </w:r>
      <w:r w:rsidRPr="00634BFE">
        <w:rPr>
          <w:rFonts w:ascii="Times New Roman" w:hAnsi="Times New Roman" w:cs="Times New Roman"/>
          <w:i/>
          <w:iCs/>
          <w:sz w:val="24"/>
          <w:szCs w:val="24"/>
        </w:rPr>
        <w:t xml:space="preserve">. </w:t>
      </w:r>
      <w:r w:rsidRPr="00634BFE">
        <w:rPr>
          <w:rFonts w:ascii="Times New Roman" w:hAnsi="Times New Roman" w:cs="Times New Roman"/>
          <w:sz w:val="24"/>
          <w:szCs w:val="24"/>
        </w:rPr>
        <w:t xml:space="preserve">This case is concerned with the capacity of a Dutch housing authority to enter derivative transactions with the Credit Suisse Bank. A Master Agreement governed the transaction between the parties and seven swaps contracts were entered. </w:t>
      </w:r>
      <w:proofErr w:type="spellStart"/>
      <w:r w:rsidRPr="00634BFE">
        <w:rPr>
          <w:rFonts w:ascii="Times New Roman" w:hAnsi="Times New Roman" w:cs="Times New Roman"/>
          <w:sz w:val="24"/>
          <w:szCs w:val="24"/>
        </w:rPr>
        <w:t>Vestia</w:t>
      </w:r>
      <w:proofErr w:type="spellEnd"/>
      <w:r w:rsidRPr="00634BFE">
        <w:rPr>
          <w:rFonts w:ascii="Times New Roman" w:hAnsi="Times New Roman" w:cs="Times New Roman"/>
          <w:sz w:val="24"/>
          <w:szCs w:val="24"/>
        </w:rPr>
        <w:t xml:space="preserve"> </w:t>
      </w:r>
      <w:proofErr w:type="spellStart"/>
      <w:r w:rsidRPr="00634BFE">
        <w:rPr>
          <w:rFonts w:ascii="Times New Roman" w:hAnsi="Times New Roman" w:cs="Times New Roman"/>
          <w:sz w:val="24"/>
          <w:szCs w:val="24"/>
        </w:rPr>
        <w:t>Groep</w:t>
      </w:r>
      <w:proofErr w:type="spellEnd"/>
      <w:r w:rsidRPr="00634BFE">
        <w:rPr>
          <w:rFonts w:ascii="Times New Roman" w:hAnsi="Times New Roman" w:cs="Times New Roman"/>
          <w:sz w:val="24"/>
          <w:szCs w:val="24"/>
        </w:rPr>
        <w:t xml:space="preserve"> later found to be unable to provide security. Therefore, Bank terminated the Master Agreement and sought the damages. In response to the claim, </w:t>
      </w:r>
      <w:proofErr w:type="spellStart"/>
      <w:r w:rsidRPr="00634BFE">
        <w:rPr>
          <w:rFonts w:ascii="Times New Roman" w:hAnsi="Times New Roman" w:cs="Times New Roman"/>
          <w:sz w:val="24"/>
          <w:szCs w:val="24"/>
        </w:rPr>
        <w:t>Vestia</w:t>
      </w:r>
      <w:proofErr w:type="spellEnd"/>
      <w:r w:rsidRPr="00634BFE">
        <w:rPr>
          <w:rFonts w:ascii="Times New Roman" w:hAnsi="Times New Roman" w:cs="Times New Roman"/>
          <w:sz w:val="24"/>
          <w:szCs w:val="24"/>
        </w:rPr>
        <w:t xml:space="preserve"> disputed the transaction as ultra vires. The Bank relied on a statement of </w:t>
      </w:r>
      <w:proofErr w:type="spellStart"/>
      <w:r w:rsidRPr="00634BFE">
        <w:rPr>
          <w:rFonts w:ascii="Times New Roman" w:hAnsi="Times New Roman" w:cs="Times New Roman"/>
          <w:sz w:val="24"/>
          <w:szCs w:val="24"/>
        </w:rPr>
        <w:t>Veista</w:t>
      </w:r>
      <w:proofErr w:type="spellEnd"/>
      <w:r w:rsidRPr="00634BFE">
        <w:rPr>
          <w:rFonts w:ascii="Times New Roman" w:hAnsi="Times New Roman" w:cs="Times New Roman"/>
          <w:sz w:val="24"/>
          <w:szCs w:val="24"/>
        </w:rPr>
        <w:t xml:space="preserve"> </w:t>
      </w:r>
      <w:r w:rsidRPr="00634BFE">
        <w:rPr>
          <w:rFonts w:ascii="Times New Roman" w:hAnsi="Times New Roman" w:cs="Times New Roman"/>
          <w:sz w:val="24"/>
          <w:szCs w:val="24"/>
        </w:rPr>
        <w:lastRenderedPageBreak/>
        <w:t xml:space="preserve">in the Master Agreement, that </w:t>
      </w:r>
      <w:proofErr w:type="spellStart"/>
      <w:r w:rsidRPr="00634BFE">
        <w:rPr>
          <w:rFonts w:ascii="Times New Roman" w:hAnsi="Times New Roman" w:cs="Times New Roman"/>
          <w:sz w:val="24"/>
          <w:szCs w:val="24"/>
        </w:rPr>
        <w:t>Sticthing</w:t>
      </w:r>
      <w:proofErr w:type="spellEnd"/>
      <w:r w:rsidRPr="00634BFE">
        <w:rPr>
          <w:rFonts w:ascii="Times New Roman" w:hAnsi="Times New Roman" w:cs="Times New Roman"/>
          <w:sz w:val="24"/>
          <w:szCs w:val="24"/>
        </w:rPr>
        <w:t xml:space="preserve"> </w:t>
      </w:r>
      <w:proofErr w:type="spellStart"/>
      <w:r w:rsidRPr="00634BFE">
        <w:rPr>
          <w:rFonts w:ascii="Times New Roman" w:hAnsi="Times New Roman" w:cs="Times New Roman"/>
          <w:sz w:val="24"/>
          <w:szCs w:val="24"/>
        </w:rPr>
        <w:t>Veista</w:t>
      </w:r>
      <w:proofErr w:type="spellEnd"/>
      <w:r w:rsidRPr="00634BFE">
        <w:rPr>
          <w:rFonts w:ascii="Times New Roman" w:hAnsi="Times New Roman" w:cs="Times New Roman"/>
          <w:sz w:val="24"/>
          <w:szCs w:val="24"/>
        </w:rPr>
        <w:t xml:space="preserve"> </w:t>
      </w:r>
      <w:proofErr w:type="spellStart"/>
      <w:r w:rsidRPr="00634BFE">
        <w:rPr>
          <w:rFonts w:ascii="Times New Roman" w:hAnsi="Times New Roman" w:cs="Times New Roman"/>
          <w:sz w:val="24"/>
          <w:szCs w:val="24"/>
        </w:rPr>
        <w:t>Groep</w:t>
      </w:r>
      <w:proofErr w:type="spellEnd"/>
      <w:r w:rsidRPr="00634BFE">
        <w:rPr>
          <w:rFonts w:ascii="Times New Roman" w:hAnsi="Times New Roman" w:cs="Times New Roman"/>
          <w:sz w:val="24"/>
          <w:szCs w:val="24"/>
        </w:rPr>
        <w:t xml:space="preserve"> “is and will be in compliance with its article of association”, deemed to be repeated on specified future dates.</w:t>
      </w:r>
      <w:r w:rsidRPr="002B75EC">
        <w:rPr>
          <w:rStyle w:val="FootnoteReference"/>
          <w:rFonts w:ascii="Times New Roman" w:hAnsi="Times New Roman" w:cs="Times New Roman"/>
          <w:sz w:val="24"/>
          <w:szCs w:val="24"/>
        </w:rPr>
        <w:footnoteReference w:id="49"/>
      </w:r>
      <w:r w:rsidRPr="00634BFE">
        <w:rPr>
          <w:rFonts w:ascii="Times New Roman" w:hAnsi="Times New Roman" w:cs="Times New Roman"/>
          <w:sz w:val="24"/>
          <w:szCs w:val="24"/>
        </w:rPr>
        <w:t xml:space="preserve"> Andrew Smith held that the swaps were void because they were </w:t>
      </w:r>
      <w:proofErr w:type="gramStart"/>
      <w:r w:rsidRPr="00634BFE">
        <w:rPr>
          <w:rFonts w:ascii="Times New Roman" w:hAnsi="Times New Roman" w:cs="Times New Roman"/>
          <w:sz w:val="24"/>
          <w:szCs w:val="24"/>
        </w:rPr>
        <w:t>entered into</w:t>
      </w:r>
      <w:proofErr w:type="gramEnd"/>
      <w:r w:rsidRPr="00634BFE">
        <w:rPr>
          <w:rFonts w:ascii="Times New Roman" w:hAnsi="Times New Roman" w:cs="Times New Roman"/>
          <w:sz w:val="24"/>
          <w:szCs w:val="24"/>
        </w:rPr>
        <w:t xml:space="preserve"> ultra vires. However, the Master Agreement was valid and contained certain warranties which allowed </w:t>
      </w:r>
      <w:proofErr w:type="spellStart"/>
      <w:r w:rsidRPr="00634BFE">
        <w:rPr>
          <w:rFonts w:ascii="Times New Roman" w:hAnsi="Times New Roman" w:cs="Times New Roman"/>
          <w:sz w:val="24"/>
          <w:szCs w:val="24"/>
        </w:rPr>
        <w:t>Crdit</w:t>
      </w:r>
      <w:proofErr w:type="spellEnd"/>
      <w:r w:rsidRPr="00634BFE">
        <w:rPr>
          <w:rFonts w:ascii="Times New Roman" w:hAnsi="Times New Roman" w:cs="Times New Roman"/>
          <w:sz w:val="24"/>
          <w:szCs w:val="24"/>
        </w:rPr>
        <w:t xml:space="preserve"> Suisse Bank to enforce the ultra vires contract. </w:t>
      </w:r>
      <w:proofErr w:type="spellStart"/>
      <w:r w:rsidRPr="00634BFE">
        <w:rPr>
          <w:rFonts w:ascii="Times New Roman" w:hAnsi="Times New Roman" w:cs="Times New Roman"/>
          <w:sz w:val="24"/>
          <w:szCs w:val="24"/>
        </w:rPr>
        <w:t>Veista</w:t>
      </w:r>
      <w:proofErr w:type="spellEnd"/>
      <w:r w:rsidRPr="00634BFE">
        <w:rPr>
          <w:rFonts w:ascii="Times New Roman" w:hAnsi="Times New Roman" w:cs="Times New Roman"/>
          <w:sz w:val="24"/>
          <w:szCs w:val="24"/>
        </w:rPr>
        <w:t xml:space="preserve"> was contractually estopped from disputing the validity of the swaps. The judge considered that, contractual estoppel was raised by the statement, read as a contractual undertaking to comply with the articles of association in the future.</w:t>
      </w:r>
      <w:r w:rsidRPr="002B75EC">
        <w:rPr>
          <w:rStyle w:val="FootnoteReference"/>
          <w:rFonts w:ascii="Times New Roman" w:hAnsi="Times New Roman" w:cs="Times New Roman"/>
          <w:sz w:val="24"/>
          <w:szCs w:val="24"/>
        </w:rPr>
        <w:footnoteReference w:id="50"/>
      </w:r>
      <w:r w:rsidRPr="00634BFE">
        <w:rPr>
          <w:rFonts w:ascii="Times New Roman" w:hAnsi="Times New Roman" w:cs="Times New Roman"/>
          <w:sz w:val="24"/>
          <w:szCs w:val="24"/>
        </w:rPr>
        <w:t xml:space="preserve"> In </w:t>
      </w:r>
      <w:r w:rsidRPr="00634BFE">
        <w:rPr>
          <w:rFonts w:ascii="Times New Roman" w:hAnsi="Times New Roman" w:cs="Times New Roman"/>
          <w:i/>
          <w:iCs/>
          <w:sz w:val="24"/>
          <w:szCs w:val="24"/>
        </w:rPr>
        <w:t xml:space="preserve">Credit Suisse, </w:t>
      </w:r>
      <w:r w:rsidRPr="00634BFE">
        <w:rPr>
          <w:rFonts w:ascii="Times New Roman" w:hAnsi="Times New Roman" w:cs="Times New Roman"/>
          <w:sz w:val="24"/>
          <w:szCs w:val="24"/>
        </w:rPr>
        <w:t xml:space="preserve">it is not clear why the word in Master Agreement “is and will be in compliance” considered in </w:t>
      </w:r>
      <w:proofErr w:type="spellStart"/>
      <w:r w:rsidRPr="00634BFE">
        <w:rPr>
          <w:rFonts w:ascii="Times New Roman" w:hAnsi="Times New Roman" w:cs="Times New Roman"/>
          <w:sz w:val="24"/>
          <w:szCs w:val="24"/>
        </w:rPr>
        <w:t>Veista</w:t>
      </w:r>
      <w:proofErr w:type="spellEnd"/>
      <w:r w:rsidRPr="00634BFE">
        <w:rPr>
          <w:rFonts w:ascii="Times New Roman" w:hAnsi="Times New Roman" w:cs="Times New Roman"/>
          <w:sz w:val="24"/>
          <w:szCs w:val="24"/>
        </w:rPr>
        <w:t xml:space="preserve"> had to be read as promise of future action and not as an agreement to accept as true proposition that at a future date the party is in compliance.</w:t>
      </w:r>
      <w:r w:rsidRPr="002B75EC">
        <w:rPr>
          <w:rStyle w:val="FootnoteReference"/>
          <w:rFonts w:ascii="Times New Roman" w:hAnsi="Times New Roman" w:cs="Times New Roman"/>
          <w:sz w:val="24"/>
          <w:szCs w:val="24"/>
        </w:rPr>
        <w:footnoteReference w:id="51"/>
      </w:r>
      <w:r w:rsidRPr="00634BFE">
        <w:rPr>
          <w:rFonts w:ascii="Times New Roman" w:hAnsi="Times New Roman" w:cs="Times New Roman"/>
          <w:sz w:val="24"/>
          <w:szCs w:val="24"/>
        </w:rPr>
        <w:t xml:space="preserve"> The latter meaning would have raise the contractual estoppel without stretching it to a breaking point. A breach of promise to act may lead to damages, but contractual estoppel is raised by an agreement that stated facts are true. Therefore, it can be said that, on the construction of the statement as a promise of future action, relief ought to have been limited to damages, and the finding of contractual estoppel was not warranted.</w:t>
      </w:r>
    </w:p>
    <w:p w14:paraId="5481D1A9" w14:textId="77777777" w:rsidR="00D167E7" w:rsidRPr="002B75EC" w:rsidRDefault="00D167E7" w:rsidP="002B75EC">
      <w:pPr>
        <w:pStyle w:val="ListParagraph"/>
        <w:spacing w:line="480" w:lineRule="auto"/>
        <w:ind w:left="360"/>
        <w:jc w:val="both"/>
        <w:rPr>
          <w:rFonts w:ascii="Times New Roman" w:hAnsi="Times New Roman" w:cs="Times New Roman"/>
          <w:sz w:val="24"/>
          <w:szCs w:val="24"/>
          <w:u w:val="single"/>
        </w:rPr>
      </w:pPr>
    </w:p>
    <w:p w14:paraId="26A58AFB" w14:textId="77777777" w:rsidR="00634BFE" w:rsidRPr="00634BFE" w:rsidRDefault="00D167E7" w:rsidP="002B75EC">
      <w:pPr>
        <w:pStyle w:val="ListParagraph"/>
        <w:numPr>
          <w:ilvl w:val="1"/>
          <w:numId w:val="8"/>
        </w:numPr>
        <w:spacing w:line="480" w:lineRule="auto"/>
        <w:jc w:val="both"/>
        <w:rPr>
          <w:rFonts w:ascii="Times New Roman" w:hAnsi="Times New Roman" w:cs="Times New Roman"/>
          <w:sz w:val="24"/>
          <w:szCs w:val="24"/>
          <w:u w:val="single"/>
        </w:rPr>
      </w:pPr>
      <w:r w:rsidRPr="008D7074">
        <w:rPr>
          <w:rFonts w:ascii="Times New Roman" w:hAnsi="Times New Roman" w:cs="Times New Roman"/>
          <w:b/>
          <w:bCs/>
          <w:sz w:val="24"/>
          <w:szCs w:val="24"/>
          <w:u w:val="single"/>
        </w:rPr>
        <w:t>Form of statement in not relevant:</w:t>
      </w:r>
      <w:r w:rsidRPr="002B75EC">
        <w:rPr>
          <w:rFonts w:ascii="Times New Roman" w:hAnsi="Times New Roman" w:cs="Times New Roman"/>
          <w:sz w:val="24"/>
          <w:szCs w:val="24"/>
        </w:rPr>
        <w:t xml:space="preserve"> </w:t>
      </w:r>
    </w:p>
    <w:p w14:paraId="13551478" w14:textId="6897E7D3" w:rsidR="00D167E7" w:rsidRPr="00634BFE" w:rsidRDefault="00D167E7" w:rsidP="00634BFE">
      <w:pPr>
        <w:spacing w:line="480" w:lineRule="auto"/>
        <w:jc w:val="both"/>
        <w:rPr>
          <w:rFonts w:ascii="Times New Roman" w:hAnsi="Times New Roman" w:cs="Times New Roman"/>
          <w:sz w:val="24"/>
          <w:szCs w:val="24"/>
          <w:u w:val="single"/>
        </w:rPr>
      </w:pPr>
      <w:r w:rsidRPr="00634BFE">
        <w:rPr>
          <w:rFonts w:ascii="Times New Roman" w:hAnsi="Times New Roman" w:cs="Times New Roman"/>
          <w:sz w:val="24"/>
          <w:szCs w:val="24"/>
        </w:rPr>
        <w:t xml:space="preserve">It is not important matter that to raise contractual estoppel there should be a precise form of statement, </w:t>
      </w:r>
      <w:proofErr w:type="gramStart"/>
      <w:r w:rsidRPr="00634BFE">
        <w:rPr>
          <w:rFonts w:ascii="Times New Roman" w:hAnsi="Times New Roman" w:cs="Times New Roman"/>
          <w:sz w:val="24"/>
          <w:szCs w:val="24"/>
        </w:rPr>
        <w:t>as long as</w:t>
      </w:r>
      <w:proofErr w:type="gramEnd"/>
      <w:r w:rsidRPr="00634BFE">
        <w:rPr>
          <w:rFonts w:ascii="Times New Roman" w:hAnsi="Times New Roman" w:cs="Times New Roman"/>
          <w:sz w:val="24"/>
          <w:szCs w:val="24"/>
        </w:rPr>
        <w:t xml:space="preserve"> it is a true construction that the statement is an agreement of party to accept a stated fact or proposition as true. Considering the specific form of contractual language that raised contractual estoppel in </w:t>
      </w:r>
      <w:proofErr w:type="spellStart"/>
      <w:r w:rsidRPr="00634BFE">
        <w:rPr>
          <w:rFonts w:ascii="Times New Roman" w:hAnsi="Times New Roman" w:cs="Times New Roman"/>
          <w:i/>
          <w:iCs/>
          <w:sz w:val="24"/>
          <w:szCs w:val="24"/>
        </w:rPr>
        <w:t>Peekay</w:t>
      </w:r>
      <w:proofErr w:type="spellEnd"/>
      <w:r w:rsidRPr="00634BFE">
        <w:rPr>
          <w:rFonts w:ascii="Times New Roman" w:hAnsi="Times New Roman" w:cs="Times New Roman"/>
          <w:sz w:val="24"/>
          <w:szCs w:val="24"/>
        </w:rPr>
        <w:t xml:space="preserve">, </w:t>
      </w:r>
      <w:proofErr w:type="spellStart"/>
      <w:r w:rsidRPr="00634BFE">
        <w:rPr>
          <w:rFonts w:ascii="Times New Roman" w:hAnsi="Times New Roman" w:cs="Times New Roman"/>
          <w:sz w:val="24"/>
          <w:szCs w:val="24"/>
        </w:rPr>
        <w:t>Gloster</w:t>
      </w:r>
      <w:proofErr w:type="spellEnd"/>
      <w:r w:rsidRPr="00634BFE">
        <w:rPr>
          <w:rFonts w:ascii="Times New Roman" w:hAnsi="Times New Roman" w:cs="Times New Roman"/>
          <w:sz w:val="24"/>
          <w:szCs w:val="24"/>
        </w:rPr>
        <w:t xml:space="preserve"> J, in </w:t>
      </w:r>
      <w:r w:rsidRPr="00634BFE">
        <w:rPr>
          <w:rFonts w:ascii="Times New Roman" w:hAnsi="Times New Roman" w:cs="Times New Roman"/>
          <w:i/>
          <w:iCs/>
          <w:sz w:val="24"/>
          <w:szCs w:val="24"/>
        </w:rPr>
        <w:t xml:space="preserve">Springwell </w:t>
      </w:r>
      <w:r w:rsidRPr="00634BFE">
        <w:rPr>
          <w:rFonts w:ascii="Times New Roman" w:hAnsi="Times New Roman" w:cs="Times New Roman"/>
          <w:sz w:val="24"/>
          <w:szCs w:val="24"/>
        </w:rPr>
        <w:t xml:space="preserve">stated that, “but the principle extends more broadly </w:t>
      </w:r>
      <w:r w:rsidR="008D7074" w:rsidRPr="00634BFE">
        <w:rPr>
          <w:rFonts w:ascii="Times New Roman" w:hAnsi="Times New Roman" w:cs="Times New Roman"/>
          <w:sz w:val="24"/>
          <w:szCs w:val="24"/>
        </w:rPr>
        <w:t>and, in my judgement,</w:t>
      </w:r>
      <w:r w:rsidRPr="00634BFE">
        <w:rPr>
          <w:rFonts w:ascii="Times New Roman" w:hAnsi="Times New Roman" w:cs="Times New Roman"/>
          <w:sz w:val="24"/>
          <w:szCs w:val="24"/>
        </w:rPr>
        <w:t xml:space="preserve"> applies to any form of contractual statement, for </w:t>
      </w:r>
      <w:r w:rsidRPr="00634BFE">
        <w:rPr>
          <w:rFonts w:ascii="Times New Roman" w:hAnsi="Times New Roman" w:cs="Times New Roman"/>
          <w:sz w:val="24"/>
          <w:szCs w:val="24"/>
        </w:rPr>
        <w:lastRenderedPageBreak/>
        <w:t>instance as to sophistication or non-reliance on advice generally. In each case the parties are contractually free to determine the factual basis upon which they conduct business.”</w:t>
      </w:r>
      <w:r w:rsidRPr="002B75EC">
        <w:rPr>
          <w:rStyle w:val="FootnoteReference"/>
          <w:rFonts w:ascii="Times New Roman" w:hAnsi="Times New Roman" w:cs="Times New Roman"/>
          <w:sz w:val="24"/>
          <w:szCs w:val="24"/>
        </w:rPr>
        <w:footnoteReference w:id="52"/>
      </w:r>
      <w:r w:rsidRPr="00634BFE">
        <w:rPr>
          <w:rFonts w:ascii="Times New Roman" w:hAnsi="Times New Roman" w:cs="Times New Roman"/>
          <w:sz w:val="24"/>
          <w:szCs w:val="24"/>
        </w:rPr>
        <w:t xml:space="preserve"> Therefore, whether a statement </w:t>
      </w:r>
      <w:proofErr w:type="gramStart"/>
      <w:r w:rsidRPr="00634BFE">
        <w:rPr>
          <w:rFonts w:ascii="Times New Roman" w:hAnsi="Times New Roman" w:cs="Times New Roman"/>
          <w:sz w:val="24"/>
          <w:szCs w:val="24"/>
        </w:rPr>
        <w:t>is able to</w:t>
      </w:r>
      <w:proofErr w:type="gramEnd"/>
      <w:r w:rsidRPr="00634BFE">
        <w:rPr>
          <w:rFonts w:ascii="Times New Roman" w:hAnsi="Times New Roman" w:cs="Times New Roman"/>
          <w:sz w:val="24"/>
          <w:szCs w:val="24"/>
        </w:rPr>
        <w:t xml:space="preserve"> raise contractual estoppel is completely depends, as a matter of substance, on the basis of construction of a contractual agreement. Statement that give rise to contractual estoppel may be in many different forms. Apart from statements of agreement, acceptance and other form of express consent, contractual estoppel has been raised by statements of recital, direction, assumption, acknowledgement, advice, admission, confirmation, intention and purpose, representation and warranty, plain representation, action and inaction, non-reliance, reliance, denial.</w:t>
      </w:r>
      <w:r w:rsidRPr="002B75EC">
        <w:rPr>
          <w:rStyle w:val="FootnoteReference"/>
          <w:rFonts w:ascii="Times New Roman" w:hAnsi="Times New Roman" w:cs="Times New Roman"/>
          <w:sz w:val="24"/>
          <w:szCs w:val="24"/>
        </w:rPr>
        <w:footnoteReference w:id="53"/>
      </w:r>
      <w:r w:rsidRPr="00634BFE">
        <w:rPr>
          <w:rFonts w:ascii="Times New Roman" w:hAnsi="Times New Roman" w:cs="Times New Roman"/>
          <w:sz w:val="24"/>
          <w:szCs w:val="24"/>
        </w:rPr>
        <w:t xml:space="preserve"> </w:t>
      </w:r>
    </w:p>
    <w:p w14:paraId="41FEEB6D" w14:textId="77777777" w:rsidR="00D167E7" w:rsidRPr="002B75EC" w:rsidRDefault="00D167E7" w:rsidP="002B75EC">
      <w:pPr>
        <w:pStyle w:val="ListParagraph"/>
        <w:spacing w:line="480" w:lineRule="auto"/>
        <w:ind w:left="360"/>
        <w:jc w:val="both"/>
        <w:rPr>
          <w:rFonts w:ascii="Times New Roman" w:hAnsi="Times New Roman" w:cs="Times New Roman"/>
          <w:sz w:val="24"/>
          <w:szCs w:val="24"/>
          <w:u w:val="single"/>
        </w:rPr>
      </w:pPr>
    </w:p>
    <w:p w14:paraId="0CAABA0E" w14:textId="1449B5CE" w:rsidR="0057106D" w:rsidRPr="00266164" w:rsidRDefault="00D167E7" w:rsidP="002B75EC">
      <w:pPr>
        <w:spacing w:line="480" w:lineRule="auto"/>
        <w:jc w:val="both"/>
        <w:rPr>
          <w:rFonts w:ascii="Times New Roman" w:hAnsi="Times New Roman" w:cs="Times New Roman"/>
          <w:sz w:val="24"/>
          <w:szCs w:val="24"/>
        </w:rPr>
      </w:pPr>
      <w:r w:rsidRPr="00634BFE">
        <w:rPr>
          <w:rFonts w:ascii="Times New Roman" w:hAnsi="Times New Roman" w:cs="Times New Roman"/>
          <w:sz w:val="24"/>
          <w:szCs w:val="24"/>
        </w:rPr>
        <w:t>Moreover, there is an argument that, to raise contractual estoppel, statement must meet a high standard of clarity. However, there is no authority that mentioned the requirement of clear and unambiguous language to raise contractual estoppel.  It is not even a defensible argument. Contractual estoppel arises as a matter of contract. The question of whether contractual estoppel has raised and to what extent, is to be determined by the ordinary principles of construction and implication of terms.</w:t>
      </w:r>
      <w:r w:rsidRPr="002B75EC">
        <w:rPr>
          <w:rStyle w:val="FootnoteReference"/>
          <w:rFonts w:ascii="Times New Roman" w:hAnsi="Times New Roman" w:cs="Times New Roman"/>
          <w:sz w:val="24"/>
          <w:szCs w:val="24"/>
        </w:rPr>
        <w:footnoteReference w:id="54"/>
      </w:r>
      <w:r w:rsidRPr="00634BFE">
        <w:rPr>
          <w:rFonts w:ascii="Times New Roman" w:hAnsi="Times New Roman" w:cs="Times New Roman"/>
          <w:sz w:val="24"/>
          <w:szCs w:val="24"/>
        </w:rPr>
        <w:t xml:space="preserve"> There should be no special requirement beyond that. Ferris J in </w:t>
      </w:r>
      <w:r w:rsidRPr="00634BFE">
        <w:rPr>
          <w:rFonts w:ascii="Times New Roman" w:hAnsi="Times New Roman" w:cs="Times New Roman"/>
          <w:i/>
          <w:iCs/>
          <w:sz w:val="24"/>
          <w:szCs w:val="24"/>
        </w:rPr>
        <w:t>Colchester BC v Smith</w:t>
      </w:r>
      <w:r w:rsidRPr="002B75EC">
        <w:rPr>
          <w:rStyle w:val="FootnoteReference"/>
          <w:rFonts w:ascii="Times New Roman" w:hAnsi="Times New Roman" w:cs="Times New Roman"/>
          <w:i/>
          <w:iCs/>
          <w:sz w:val="24"/>
          <w:szCs w:val="24"/>
        </w:rPr>
        <w:footnoteReference w:id="55"/>
      </w:r>
      <w:r w:rsidRPr="00634BFE">
        <w:rPr>
          <w:rFonts w:ascii="Times New Roman" w:hAnsi="Times New Roman" w:cs="Times New Roman"/>
          <w:i/>
          <w:iCs/>
          <w:sz w:val="24"/>
          <w:szCs w:val="24"/>
        </w:rPr>
        <w:t xml:space="preserve"> </w:t>
      </w:r>
      <w:r w:rsidRPr="00634BFE">
        <w:rPr>
          <w:rFonts w:ascii="Times New Roman" w:hAnsi="Times New Roman" w:cs="Times New Roman"/>
          <w:sz w:val="24"/>
          <w:szCs w:val="24"/>
        </w:rPr>
        <w:t>has rejected a claim that a clause could not give rise to an estoppel because it was not clear and unambiguous. The counsel argued that the terms related to that clause were self-contradictory to the point of failing to support an estoppel. However, court held that, such clause gave rise to contractual estoppel and construed in the ordinary meaning of those terms.</w:t>
      </w:r>
      <w:r w:rsidRPr="002B75EC">
        <w:rPr>
          <w:rStyle w:val="FootnoteReference"/>
          <w:rFonts w:ascii="Times New Roman" w:hAnsi="Times New Roman" w:cs="Times New Roman"/>
          <w:sz w:val="24"/>
          <w:szCs w:val="24"/>
        </w:rPr>
        <w:footnoteReference w:id="56"/>
      </w:r>
    </w:p>
    <w:p w14:paraId="5C992573" w14:textId="66D8225A" w:rsidR="00D167E7" w:rsidRPr="0057106D" w:rsidRDefault="00D167E7" w:rsidP="0057106D">
      <w:pPr>
        <w:spacing w:line="480" w:lineRule="auto"/>
        <w:jc w:val="center"/>
        <w:rPr>
          <w:rFonts w:ascii="Times New Roman" w:hAnsi="Times New Roman" w:cs="Times New Roman"/>
          <w:b/>
          <w:bCs/>
          <w:sz w:val="36"/>
          <w:szCs w:val="36"/>
          <w:u w:val="single"/>
        </w:rPr>
      </w:pPr>
      <w:r w:rsidRPr="0057106D">
        <w:rPr>
          <w:rFonts w:ascii="Times New Roman" w:hAnsi="Times New Roman" w:cs="Times New Roman"/>
          <w:b/>
          <w:bCs/>
          <w:sz w:val="36"/>
          <w:szCs w:val="36"/>
          <w:u w:val="single"/>
        </w:rPr>
        <w:lastRenderedPageBreak/>
        <w:t>CHAPTER FOUR</w:t>
      </w:r>
    </w:p>
    <w:p w14:paraId="7A3E9D17" w14:textId="77777777" w:rsidR="00D167E7" w:rsidRPr="0057106D" w:rsidRDefault="00D167E7" w:rsidP="0057106D">
      <w:pPr>
        <w:pStyle w:val="ListParagraph"/>
        <w:numPr>
          <w:ilvl w:val="0"/>
          <w:numId w:val="5"/>
        </w:numPr>
        <w:spacing w:line="480" w:lineRule="auto"/>
        <w:jc w:val="center"/>
        <w:rPr>
          <w:rFonts w:ascii="Times New Roman" w:hAnsi="Times New Roman" w:cs="Times New Roman"/>
          <w:b/>
          <w:bCs/>
          <w:sz w:val="32"/>
          <w:szCs w:val="32"/>
          <w:u w:val="single"/>
        </w:rPr>
      </w:pPr>
      <w:r w:rsidRPr="0057106D">
        <w:rPr>
          <w:rFonts w:ascii="Times New Roman" w:hAnsi="Times New Roman" w:cs="Times New Roman"/>
          <w:b/>
          <w:bCs/>
          <w:sz w:val="32"/>
          <w:szCs w:val="32"/>
          <w:u w:val="single"/>
        </w:rPr>
        <w:t>Contractual Estoppel: is it really an estoppel?</w:t>
      </w:r>
    </w:p>
    <w:p w14:paraId="4F1D8646" w14:textId="77777777" w:rsidR="00D167E7" w:rsidRPr="002B75EC" w:rsidRDefault="00D167E7" w:rsidP="002B75EC">
      <w:pPr>
        <w:pStyle w:val="ListParagraph"/>
        <w:spacing w:line="480" w:lineRule="auto"/>
        <w:ind w:left="360"/>
        <w:jc w:val="both"/>
        <w:rPr>
          <w:rFonts w:ascii="Times New Roman" w:hAnsi="Times New Roman" w:cs="Times New Roman"/>
          <w:sz w:val="24"/>
          <w:szCs w:val="24"/>
          <w:u w:val="single"/>
        </w:rPr>
      </w:pPr>
    </w:p>
    <w:p w14:paraId="4B16BC45" w14:textId="77777777" w:rsidR="001A1095" w:rsidRPr="001A1095" w:rsidRDefault="00D167E7" w:rsidP="002B75EC">
      <w:pPr>
        <w:pStyle w:val="ListParagraph"/>
        <w:numPr>
          <w:ilvl w:val="1"/>
          <w:numId w:val="9"/>
        </w:numPr>
        <w:spacing w:line="480" w:lineRule="auto"/>
        <w:jc w:val="both"/>
        <w:rPr>
          <w:rFonts w:ascii="Times New Roman" w:hAnsi="Times New Roman" w:cs="Times New Roman"/>
          <w:sz w:val="24"/>
          <w:szCs w:val="24"/>
          <w:u w:val="single"/>
        </w:rPr>
      </w:pPr>
      <w:r w:rsidRPr="002116C3">
        <w:rPr>
          <w:rFonts w:ascii="Times New Roman" w:hAnsi="Times New Roman" w:cs="Times New Roman"/>
          <w:b/>
          <w:bCs/>
          <w:sz w:val="24"/>
          <w:szCs w:val="24"/>
          <w:u w:val="single"/>
        </w:rPr>
        <w:t>Chapter overview</w:t>
      </w:r>
      <w:r w:rsidRPr="002B75EC">
        <w:rPr>
          <w:rFonts w:ascii="Times New Roman" w:hAnsi="Times New Roman" w:cs="Times New Roman"/>
          <w:sz w:val="24"/>
          <w:szCs w:val="24"/>
          <w:u w:val="single"/>
        </w:rPr>
        <w:t>:</w:t>
      </w:r>
      <w:r w:rsidRPr="002B75EC">
        <w:rPr>
          <w:rFonts w:ascii="Times New Roman" w:hAnsi="Times New Roman" w:cs="Times New Roman"/>
          <w:sz w:val="24"/>
          <w:szCs w:val="24"/>
        </w:rPr>
        <w:t xml:space="preserve"> </w:t>
      </w:r>
    </w:p>
    <w:p w14:paraId="3AB4FC47" w14:textId="4D6F8A3A" w:rsidR="00D167E7" w:rsidRPr="001A1095" w:rsidRDefault="00D167E7" w:rsidP="001A1095">
      <w:pPr>
        <w:spacing w:line="480" w:lineRule="auto"/>
        <w:jc w:val="both"/>
        <w:rPr>
          <w:rFonts w:ascii="Times New Roman" w:hAnsi="Times New Roman" w:cs="Times New Roman"/>
          <w:sz w:val="24"/>
          <w:szCs w:val="24"/>
          <w:u w:val="single"/>
        </w:rPr>
      </w:pPr>
      <w:r w:rsidRPr="001A1095">
        <w:rPr>
          <w:rFonts w:ascii="Times New Roman" w:hAnsi="Times New Roman" w:cs="Times New Roman"/>
          <w:sz w:val="24"/>
          <w:szCs w:val="24"/>
        </w:rPr>
        <w:t xml:space="preserve">Since its appearance the doctrine of contractual estoppel is of great practical utility and applied in many cases. The application of this doctrine is no more limited to only disputes in financial sector, but greatly applied in wide range of commercial disputes.   Despite its great popularity in contractual disputes, there were many occasions where the principle of contractual estoppel fell into controversies. Many academic and Judges claimed that it is not an estoppel. On the other hand, many argued it is a separate and distinct estoppel. Analysing such debates proposition can be made that, contractual estoppel is a separate and distinct type of estoppel, the juridical basis of which is simply contract rather than any other traditional requirements. This chapter will critically discuss the position of contractual estoppel in the family of Estoppel. </w:t>
      </w:r>
    </w:p>
    <w:p w14:paraId="4C3F0942" w14:textId="581926D3" w:rsidR="00D167E7" w:rsidRDefault="00D167E7" w:rsidP="002B75EC">
      <w:pPr>
        <w:pStyle w:val="ListParagraph"/>
        <w:spacing w:line="480" w:lineRule="auto"/>
        <w:ind w:left="360"/>
        <w:jc w:val="both"/>
        <w:rPr>
          <w:rFonts w:ascii="Times New Roman" w:hAnsi="Times New Roman" w:cs="Times New Roman"/>
          <w:sz w:val="24"/>
          <w:szCs w:val="24"/>
          <w:u w:val="single"/>
        </w:rPr>
      </w:pPr>
    </w:p>
    <w:p w14:paraId="57F34F7B" w14:textId="77777777" w:rsidR="00F75D3B" w:rsidRPr="002B75EC" w:rsidRDefault="00F75D3B" w:rsidP="002B75EC">
      <w:pPr>
        <w:pStyle w:val="ListParagraph"/>
        <w:spacing w:line="480" w:lineRule="auto"/>
        <w:ind w:left="360"/>
        <w:jc w:val="both"/>
        <w:rPr>
          <w:rFonts w:ascii="Times New Roman" w:hAnsi="Times New Roman" w:cs="Times New Roman"/>
          <w:sz w:val="24"/>
          <w:szCs w:val="24"/>
          <w:u w:val="single"/>
        </w:rPr>
      </w:pPr>
    </w:p>
    <w:p w14:paraId="2952FE2C" w14:textId="77777777" w:rsidR="00D167E7" w:rsidRPr="002116C3" w:rsidRDefault="00D167E7" w:rsidP="002B75EC">
      <w:pPr>
        <w:pStyle w:val="ListParagraph"/>
        <w:numPr>
          <w:ilvl w:val="1"/>
          <w:numId w:val="9"/>
        </w:numPr>
        <w:spacing w:line="480" w:lineRule="auto"/>
        <w:jc w:val="both"/>
        <w:rPr>
          <w:rFonts w:ascii="Times New Roman" w:hAnsi="Times New Roman" w:cs="Times New Roman"/>
          <w:b/>
          <w:bCs/>
          <w:sz w:val="24"/>
          <w:szCs w:val="24"/>
          <w:u w:val="single"/>
        </w:rPr>
      </w:pPr>
      <w:r w:rsidRPr="002116C3">
        <w:rPr>
          <w:rFonts w:ascii="Times New Roman" w:hAnsi="Times New Roman" w:cs="Times New Roman"/>
          <w:b/>
          <w:bCs/>
          <w:sz w:val="24"/>
          <w:szCs w:val="24"/>
          <w:u w:val="single"/>
        </w:rPr>
        <w:t>Is it an estoppel?</w:t>
      </w:r>
    </w:p>
    <w:p w14:paraId="6FEDA59D" w14:textId="355D06EF" w:rsidR="00D167E7" w:rsidRPr="001A1095" w:rsidRDefault="00D167E7" w:rsidP="001A1095">
      <w:pPr>
        <w:spacing w:line="480" w:lineRule="auto"/>
        <w:jc w:val="both"/>
        <w:rPr>
          <w:rFonts w:ascii="Times New Roman" w:hAnsi="Times New Roman" w:cs="Times New Roman"/>
          <w:sz w:val="24"/>
          <w:szCs w:val="24"/>
        </w:rPr>
      </w:pPr>
      <w:r w:rsidRPr="001A1095">
        <w:rPr>
          <w:rFonts w:ascii="Times New Roman" w:hAnsi="Times New Roman" w:cs="Times New Roman"/>
          <w:sz w:val="24"/>
          <w:szCs w:val="24"/>
        </w:rPr>
        <w:t xml:space="preserve">The question whether contractual estoppel is really an estoppel is taxonomical. Although doctrine of contractual estoppel first brought into existence by the court in </w:t>
      </w:r>
      <w:proofErr w:type="spellStart"/>
      <w:r w:rsidRPr="001A1095">
        <w:rPr>
          <w:rFonts w:ascii="Times New Roman" w:hAnsi="Times New Roman" w:cs="Times New Roman"/>
          <w:i/>
          <w:iCs/>
          <w:sz w:val="24"/>
          <w:szCs w:val="24"/>
        </w:rPr>
        <w:t>Peekay</w:t>
      </w:r>
      <w:proofErr w:type="spellEnd"/>
      <w:r w:rsidRPr="001A1095">
        <w:rPr>
          <w:rFonts w:ascii="Times New Roman" w:hAnsi="Times New Roman" w:cs="Times New Roman"/>
          <w:i/>
          <w:iCs/>
          <w:sz w:val="24"/>
          <w:szCs w:val="24"/>
        </w:rPr>
        <w:t xml:space="preserve">, </w:t>
      </w:r>
      <w:r w:rsidRPr="001A1095">
        <w:rPr>
          <w:rFonts w:ascii="Times New Roman" w:hAnsi="Times New Roman" w:cs="Times New Roman"/>
          <w:sz w:val="24"/>
          <w:szCs w:val="24"/>
        </w:rPr>
        <w:t>it sometimes doubted that it is really an estoppel. As, contractual estoppel arises without needing of detriment, reliance and unconscionability, some judges believe that this disqualifies contractual estoppel from being an estoppel.</w:t>
      </w:r>
      <w:r w:rsidRPr="002B75EC">
        <w:rPr>
          <w:rStyle w:val="FootnoteReference"/>
          <w:rFonts w:ascii="Times New Roman" w:hAnsi="Times New Roman" w:cs="Times New Roman"/>
          <w:sz w:val="24"/>
          <w:szCs w:val="24"/>
        </w:rPr>
        <w:footnoteReference w:id="57"/>
      </w:r>
      <w:r w:rsidRPr="001A1095">
        <w:rPr>
          <w:rFonts w:ascii="Times New Roman" w:hAnsi="Times New Roman" w:cs="Times New Roman"/>
          <w:sz w:val="24"/>
          <w:szCs w:val="24"/>
        </w:rPr>
        <w:t xml:space="preserve"> Such confusion and division within the scholars and judges arose because of the disagreement about what are the relevant definitional features of estoppel. </w:t>
      </w:r>
      <w:r w:rsidRPr="001A1095">
        <w:rPr>
          <w:rFonts w:ascii="Times New Roman" w:hAnsi="Times New Roman" w:cs="Times New Roman"/>
          <w:sz w:val="24"/>
          <w:szCs w:val="24"/>
        </w:rPr>
        <w:lastRenderedPageBreak/>
        <w:t xml:space="preserve">There are two main factions; first faction defines the family of estoppel by reference to its requirements. As an example, Wilken and </w:t>
      </w:r>
      <w:proofErr w:type="spellStart"/>
      <w:r w:rsidRPr="001A1095">
        <w:rPr>
          <w:rFonts w:ascii="Times New Roman" w:hAnsi="Times New Roman" w:cs="Times New Roman"/>
          <w:sz w:val="24"/>
          <w:szCs w:val="24"/>
        </w:rPr>
        <w:t>Gha</w:t>
      </w:r>
      <w:r w:rsidR="008324D0" w:rsidRPr="001A1095">
        <w:rPr>
          <w:rFonts w:ascii="Times New Roman" w:hAnsi="Times New Roman" w:cs="Times New Roman"/>
          <w:sz w:val="24"/>
          <w:szCs w:val="24"/>
        </w:rPr>
        <w:t>l</w:t>
      </w:r>
      <w:r w:rsidRPr="001A1095">
        <w:rPr>
          <w:rFonts w:ascii="Times New Roman" w:hAnsi="Times New Roman" w:cs="Times New Roman"/>
          <w:sz w:val="24"/>
          <w:szCs w:val="24"/>
        </w:rPr>
        <w:t>y</w:t>
      </w:r>
      <w:proofErr w:type="spellEnd"/>
      <w:r w:rsidRPr="001A1095">
        <w:rPr>
          <w:rFonts w:ascii="Times New Roman" w:hAnsi="Times New Roman" w:cs="Times New Roman"/>
          <w:sz w:val="24"/>
          <w:szCs w:val="24"/>
        </w:rPr>
        <w:t xml:space="preserve"> argued that, ‘estoppel at root require detriment, detriment is the main theme common to all estoppel – all save for this contractual estoppel.’</w:t>
      </w:r>
      <w:r w:rsidRPr="002B75EC">
        <w:rPr>
          <w:rStyle w:val="FootnoteReference"/>
          <w:rFonts w:ascii="Times New Roman" w:hAnsi="Times New Roman" w:cs="Times New Roman"/>
          <w:sz w:val="24"/>
          <w:szCs w:val="24"/>
        </w:rPr>
        <w:footnoteReference w:id="58"/>
      </w:r>
      <w:r w:rsidRPr="001A1095">
        <w:rPr>
          <w:rFonts w:ascii="Times New Roman" w:hAnsi="Times New Roman" w:cs="Times New Roman"/>
          <w:sz w:val="24"/>
          <w:szCs w:val="24"/>
        </w:rPr>
        <w:t xml:space="preserve"> However, some scholars denied </w:t>
      </w:r>
      <w:r w:rsidR="008C3729" w:rsidRPr="001A1095">
        <w:rPr>
          <w:rFonts w:ascii="Times New Roman" w:hAnsi="Times New Roman" w:cs="Times New Roman"/>
          <w:sz w:val="24"/>
          <w:szCs w:val="24"/>
        </w:rPr>
        <w:t>expressing</w:t>
      </w:r>
      <w:r w:rsidRPr="001A1095">
        <w:rPr>
          <w:rFonts w:ascii="Times New Roman" w:hAnsi="Times New Roman" w:cs="Times New Roman"/>
          <w:sz w:val="24"/>
          <w:szCs w:val="24"/>
        </w:rPr>
        <w:t xml:space="preserve"> their definition of estoppel directly, even they were not appeared to adopt similar premise. </w:t>
      </w:r>
      <w:proofErr w:type="spellStart"/>
      <w:r w:rsidRPr="001A1095">
        <w:rPr>
          <w:rFonts w:ascii="Times New Roman" w:hAnsi="Times New Roman" w:cs="Times New Roman"/>
          <w:sz w:val="24"/>
          <w:szCs w:val="24"/>
        </w:rPr>
        <w:t>McMeel</w:t>
      </w:r>
      <w:proofErr w:type="spellEnd"/>
      <w:r w:rsidRPr="001A1095">
        <w:rPr>
          <w:rFonts w:ascii="Times New Roman" w:hAnsi="Times New Roman" w:cs="Times New Roman"/>
          <w:sz w:val="24"/>
          <w:szCs w:val="24"/>
        </w:rPr>
        <w:t xml:space="preserve"> argued that, ’contractual estoppel is not a true estoppel because it does not require reliance, or unconscionability.’</w:t>
      </w:r>
      <w:r w:rsidRPr="002B75EC">
        <w:rPr>
          <w:rStyle w:val="FootnoteReference"/>
          <w:rFonts w:ascii="Times New Roman" w:hAnsi="Times New Roman" w:cs="Times New Roman"/>
          <w:sz w:val="24"/>
          <w:szCs w:val="24"/>
        </w:rPr>
        <w:footnoteReference w:id="59"/>
      </w:r>
      <w:r w:rsidRPr="001A1095">
        <w:rPr>
          <w:rFonts w:ascii="Times New Roman" w:hAnsi="Times New Roman" w:cs="Times New Roman"/>
          <w:sz w:val="24"/>
          <w:szCs w:val="24"/>
        </w:rPr>
        <w:t xml:space="preserve"> The similar approach has been taken by </w:t>
      </w:r>
      <w:proofErr w:type="spellStart"/>
      <w:r w:rsidRPr="001A1095">
        <w:rPr>
          <w:rFonts w:ascii="Times New Roman" w:hAnsi="Times New Roman" w:cs="Times New Roman"/>
          <w:sz w:val="24"/>
          <w:szCs w:val="24"/>
        </w:rPr>
        <w:t>Trukhtanov</w:t>
      </w:r>
      <w:proofErr w:type="spellEnd"/>
      <w:r w:rsidRPr="001A1095">
        <w:rPr>
          <w:rFonts w:ascii="Times New Roman" w:hAnsi="Times New Roman" w:cs="Times New Roman"/>
          <w:sz w:val="24"/>
          <w:szCs w:val="24"/>
        </w:rPr>
        <w:t>, where he stated in his book that, contractual estoppel is not really an estoppel on the basis that the doctrine is raised by the finding of contract without more.</w:t>
      </w:r>
      <w:r w:rsidRPr="002B75EC">
        <w:rPr>
          <w:rStyle w:val="FootnoteReference"/>
          <w:rFonts w:ascii="Times New Roman" w:hAnsi="Times New Roman" w:cs="Times New Roman"/>
          <w:sz w:val="24"/>
          <w:szCs w:val="24"/>
        </w:rPr>
        <w:footnoteReference w:id="60"/>
      </w:r>
    </w:p>
    <w:p w14:paraId="1BA92957" w14:textId="77777777" w:rsidR="002116C3" w:rsidRPr="002B75EC" w:rsidRDefault="002116C3" w:rsidP="002B75EC">
      <w:pPr>
        <w:pStyle w:val="ListParagraph"/>
        <w:spacing w:line="480" w:lineRule="auto"/>
        <w:ind w:left="360"/>
        <w:jc w:val="both"/>
        <w:rPr>
          <w:rFonts w:ascii="Times New Roman" w:hAnsi="Times New Roman" w:cs="Times New Roman"/>
          <w:sz w:val="24"/>
          <w:szCs w:val="24"/>
        </w:rPr>
      </w:pPr>
    </w:p>
    <w:p w14:paraId="0AF76AC1" w14:textId="77777777" w:rsidR="00D167E7" w:rsidRPr="004A6129" w:rsidRDefault="00D167E7" w:rsidP="001A1095">
      <w:pPr>
        <w:spacing w:line="480" w:lineRule="auto"/>
        <w:jc w:val="both"/>
        <w:rPr>
          <w:rFonts w:ascii="Times New Roman" w:hAnsi="Times New Roman" w:cs="Times New Roman"/>
          <w:sz w:val="24"/>
          <w:szCs w:val="24"/>
          <w:u w:val="single"/>
        </w:rPr>
      </w:pPr>
      <w:r w:rsidRPr="004A6129">
        <w:rPr>
          <w:rFonts w:ascii="Times New Roman" w:hAnsi="Times New Roman" w:cs="Times New Roman"/>
          <w:sz w:val="24"/>
          <w:szCs w:val="24"/>
        </w:rPr>
        <w:t xml:space="preserve">On the other hand, the second faction believes that the family of estoppel should be defined by reference to its legal effect. In </w:t>
      </w:r>
      <w:proofErr w:type="spellStart"/>
      <w:r w:rsidRPr="004A6129">
        <w:rPr>
          <w:rFonts w:ascii="Times New Roman" w:hAnsi="Times New Roman" w:cs="Times New Roman"/>
          <w:i/>
          <w:iCs/>
          <w:sz w:val="24"/>
          <w:szCs w:val="24"/>
        </w:rPr>
        <w:t>Simm</w:t>
      </w:r>
      <w:proofErr w:type="spellEnd"/>
      <w:r w:rsidRPr="004A6129">
        <w:rPr>
          <w:rFonts w:ascii="Times New Roman" w:hAnsi="Times New Roman" w:cs="Times New Roman"/>
          <w:i/>
          <w:iCs/>
          <w:sz w:val="24"/>
          <w:szCs w:val="24"/>
        </w:rPr>
        <w:t xml:space="preserve"> v Anglo American Telegraph</w:t>
      </w:r>
      <w:r w:rsidRPr="002B75EC">
        <w:rPr>
          <w:rStyle w:val="FootnoteReference"/>
          <w:rFonts w:ascii="Times New Roman" w:hAnsi="Times New Roman" w:cs="Times New Roman"/>
          <w:i/>
          <w:iCs/>
          <w:sz w:val="24"/>
          <w:szCs w:val="24"/>
        </w:rPr>
        <w:footnoteReference w:id="61"/>
      </w:r>
      <w:r w:rsidRPr="004A6129">
        <w:rPr>
          <w:rFonts w:ascii="Times New Roman" w:hAnsi="Times New Roman" w:cs="Times New Roman"/>
          <w:i/>
          <w:iCs/>
          <w:sz w:val="24"/>
          <w:szCs w:val="24"/>
        </w:rPr>
        <w:t xml:space="preserve">, </w:t>
      </w:r>
      <w:r w:rsidRPr="004A6129">
        <w:rPr>
          <w:rFonts w:ascii="Times New Roman" w:hAnsi="Times New Roman" w:cs="Times New Roman"/>
          <w:sz w:val="24"/>
          <w:szCs w:val="24"/>
        </w:rPr>
        <w:t>Bramwell LJ stated that, ‘an estoppel may be said to exist, where a person is compelled to admit that to be true which is not true, and to act upon a theory which is contrary to the truth. Such formula nearly approaches a correct definition of estoppel.’</w:t>
      </w:r>
      <w:r w:rsidRPr="002B75EC">
        <w:rPr>
          <w:rStyle w:val="FootnoteReference"/>
          <w:rFonts w:ascii="Times New Roman" w:hAnsi="Times New Roman" w:cs="Times New Roman"/>
          <w:sz w:val="24"/>
          <w:szCs w:val="24"/>
        </w:rPr>
        <w:footnoteReference w:id="62"/>
      </w:r>
      <w:r w:rsidRPr="004A6129">
        <w:rPr>
          <w:rFonts w:ascii="Times New Roman" w:hAnsi="Times New Roman" w:cs="Times New Roman"/>
          <w:sz w:val="24"/>
          <w:szCs w:val="24"/>
        </w:rPr>
        <w:t xml:space="preserve"> This approach has been adopted in </w:t>
      </w:r>
      <w:proofErr w:type="spellStart"/>
      <w:r w:rsidRPr="004A6129">
        <w:rPr>
          <w:rFonts w:ascii="Times New Roman" w:hAnsi="Times New Roman" w:cs="Times New Roman"/>
          <w:sz w:val="24"/>
          <w:szCs w:val="24"/>
        </w:rPr>
        <w:t>Phipson</w:t>
      </w:r>
      <w:proofErr w:type="spellEnd"/>
      <w:r w:rsidRPr="004A6129">
        <w:rPr>
          <w:rFonts w:ascii="Times New Roman" w:hAnsi="Times New Roman" w:cs="Times New Roman"/>
          <w:sz w:val="24"/>
          <w:szCs w:val="24"/>
        </w:rPr>
        <w:t xml:space="preserve"> on Evidence, which claims that the hallmark of legal estoppels is that they prevent a party from denying a particular fact.</w:t>
      </w:r>
      <w:r w:rsidRPr="002B75EC">
        <w:rPr>
          <w:rStyle w:val="FootnoteReference"/>
          <w:rFonts w:ascii="Times New Roman" w:hAnsi="Times New Roman" w:cs="Times New Roman"/>
          <w:sz w:val="24"/>
          <w:szCs w:val="24"/>
        </w:rPr>
        <w:footnoteReference w:id="63"/>
      </w:r>
      <w:r w:rsidRPr="004A6129">
        <w:rPr>
          <w:rFonts w:ascii="Times New Roman" w:hAnsi="Times New Roman" w:cs="Times New Roman"/>
          <w:sz w:val="24"/>
          <w:szCs w:val="24"/>
        </w:rPr>
        <w:t xml:space="preserve"> Following this definition, it can be argued that contractual estoppel clauses can properly be regarded as giving rise to an estoppel. </w:t>
      </w:r>
    </w:p>
    <w:p w14:paraId="50C7252F" w14:textId="77777777" w:rsidR="00D167E7" w:rsidRPr="002B75EC" w:rsidRDefault="00D167E7" w:rsidP="002B75EC">
      <w:pPr>
        <w:pStyle w:val="ListParagraph"/>
        <w:spacing w:line="480" w:lineRule="auto"/>
        <w:ind w:left="360"/>
        <w:jc w:val="both"/>
        <w:rPr>
          <w:rFonts w:ascii="Times New Roman" w:hAnsi="Times New Roman" w:cs="Times New Roman"/>
          <w:sz w:val="24"/>
          <w:szCs w:val="24"/>
          <w:u w:val="single"/>
        </w:rPr>
      </w:pPr>
    </w:p>
    <w:p w14:paraId="02EA6953" w14:textId="77777777" w:rsidR="00D167E7" w:rsidRPr="001A1095" w:rsidRDefault="00D167E7" w:rsidP="001A1095">
      <w:pPr>
        <w:spacing w:line="480" w:lineRule="auto"/>
        <w:jc w:val="both"/>
        <w:rPr>
          <w:rFonts w:ascii="Times New Roman" w:hAnsi="Times New Roman" w:cs="Times New Roman"/>
          <w:sz w:val="24"/>
          <w:szCs w:val="24"/>
        </w:rPr>
      </w:pPr>
      <w:r w:rsidRPr="001A1095">
        <w:rPr>
          <w:rFonts w:ascii="Times New Roman" w:hAnsi="Times New Roman" w:cs="Times New Roman"/>
          <w:sz w:val="24"/>
          <w:szCs w:val="24"/>
        </w:rPr>
        <w:lastRenderedPageBreak/>
        <w:t>Many good reasons can be found to support the definition of estoppel that is based on the legal effect, rather than their requirements. An important reasoning could be that, if estoppel was defined by the requirement of detrimental reliance or unconscionability then estoppel by deed would not be an estoppel as well. Such proposition would go against the many centuries judicial approach to estoppel by deed. Another reason could be that, the definition of estoppel based on legal effect is better accord with the literal meaning of the word ‘estoppel’, which is derived from ‘to stop’ or ‘to prevent’. These factors create the doubt on the first faction’s definition of estoppel which is based on the requirement. Therefore, it can be argued that, if second faction’s definition is preferred over first faction’s, this doctrine would be properly regarded as an estoppel.</w:t>
      </w:r>
    </w:p>
    <w:p w14:paraId="75D7422E" w14:textId="77777777" w:rsidR="00D167E7" w:rsidRPr="002B75EC" w:rsidRDefault="00D167E7" w:rsidP="002B75EC">
      <w:pPr>
        <w:pStyle w:val="ListParagraph"/>
        <w:spacing w:line="480" w:lineRule="auto"/>
        <w:ind w:left="360"/>
        <w:jc w:val="both"/>
        <w:rPr>
          <w:rFonts w:ascii="Times New Roman" w:hAnsi="Times New Roman" w:cs="Times New Roman"/>
          <w:sz w:val="24"/>
          <w:szCs w:val="24"/>
        </w:rPr>
      </w:pPr>
    </w:p>
    <w:p w14:paraId="5E12E548" w14:textId="77777777" w:rsidR="00D167E7" w:rsidRPr="002116C3" w:rsidRDefault="00D167E7" w:rsidP="002B75EC">
      <w:pPr>
        <w:pStyle w:val="ListParagraph"/>
        <w:numPr>
          <w:ilvl w:val="1"/>
          <w:numId w:val="9"/>
        </w:numPr>
        <w:spacing w:line="480" w:lineRule="auto"/>
        <w:jc w:val="both"/>
        <w:rPr>
          <w:rFonts w:ascii="Times New Roman" w:hAnsi="Times New Roman" w:cs="Times New Roman"/>
          <w:b/>
          <w:bCs/>
          <w:sz w:val="24"/>
          <w:szCs w:val="24"/>
        </w:rPr>
      </w:pPr>
      <w:r w:rsidRPr="002B75EC">
        <w:rPr>
          <w:rFonts w:ascii="Times New Roman" w:hAnsi="Times New Roman" w:cs="Times New Roman"/>
          <w:sz w:val="24"/>
          <w:szCs w:val="24"/>
        </w:rPr>
        <w:t xml:space="preserve"> </w:t>
      </w:r>
      <w:r w:rsidRPr="002116C3">
        <w:rPr>
          <w:rFonts w:ascii="Times New Roman" w:hAnsi="Times New Roman" w:cs="Times New Roman"/>
          <w:b/>
          <w:bCs/>
          <w:sz w:val="24"/>
          <w:szCs w:val="24"/>
          <w:u w:val="single"/>
        </w:rPr>
        <w:t>Contract as juridical basis for estoppel:</w:t>
      </w:r>
    </w:p>
    <w:p w14:paraId="15F2F4C5" w14:textId="148DE41D" w:rsidR="00D167E7" w:rsidRPr="001A1095" w:rsidRDefault="00D167E7" w:rsidP="001A1095">
      <w:pPr>
        <w:spacing w:line="480" w:lineRule="auto"/>
        <w:jc w:val="both"/>
        <w:rPr>
          <w:rFonts w:ascii="Times New Roman" w:hAnsi="Times New Roman" w:cs="Times New Roman"/>
          <w:sz w:val="24"/>
          <w:szCs w:val="24"/>
        </w:rPr>
      </w:pPr>
      <w:r w:rsidRPr="001A1095">
        <w:rPr>
          <w:rFonts w:ascii="Times New Roman" w:hAnsi="Times New Roman" w:cs="Times New Roman"/>
          <w:sz w:val="24"/>
          <w:szCs w:val="24"/>
        </w:rPr>
        <w:t xml:space="preserve">It has already been cleared from the leading cases, contractual estoppel is a separate and distinct type of estoppel. Moore-Bick LJ in </w:t>
      </w:r>
      <w:proofErr w:type="spellStart"/>
      <w:r w:rsidRPr="001A1095">
        <w:rPr>
          <w:rFonts w:ascii="Times New Roman" w:hAnsi="Times New Roman" w:cs="Times New Roman"/>
          <w:i/>
          <w:iCs/>
          <w:sz w:val="24"/>
          <w:szCs w:val="24"/>
        </w:rPr>
        <w:t>Peekay</w:t>
      </w:r>
      <w:proofErr w:type="spellEnd"/>
      <w:r w:rsidRPr="001A1095">
        <w:rPr>
          <w:rFonts w:ascii="Times New Roman" w:hAnsi="Times New Roman" w:cs="Times New Roman"/>
          <w:i/>
          <w:iCs/>
          <w:sz w:val="24"/>
          <w:szCs w:val="24"/>
        </w:rPr>
        <w:t xml:space="preserve"> </w:t>
      </w:r>
      <w:r w:rsidRPr="001A1095">
        <w:rPr>
          <w:rFonts w:ascii="Times New Roman" w:hAnsi="Times New Roman" w:cs="Times New Roman"/>
          <w:sz w:val="24"/>
          <w:szCs w:val="24"/>
        </w:rPr>
        <w:t>made a clear proposition that ‘the contract itself give rise to an estoppel’.</w:t>
      </w:r>
      <w:r w:rsidRPr="002B75EC">
        <w:rPr>
          <w:rStyle w:val="FootnoteReference"/>
          <w:rFonts w:ascii="Times New Roman" w:hAnsi="Times New Roman" w:cs="Times New Roman"/>
          <w:sz w:val="24"/>
          <w:szCs w:val="24"/>
        </w:rPr>
        <w:footnoteReference w:id="64"/>
      </w:r>
      <w:r w:rsidRPr="001A1095">
        <w:rPr>
          <w:rFonts w:ascii="Times New Roman" w:hAnsi="Times New Roman" w:cs="Times New Roman"/>
          <w:sz w:val="24"/>
          <w:szCs w:val="24"/>
        </w:rPr>
        <w:t xml:space="preserve"> Likewise, Aikens LJ in </w:t>
      </w:r>
      <w:r w:rsidRPr="001A1095">
        <w:rPr>
          <w:rFonts w:ascii="Times New Roman" w:hAnsi="Times New Roman" w:cs="Times New Roman"/>
          <w:i/>
          <w:iCs/>
          <w:sz w:val="24"/>
          <w:szCs w:val="24"/>
        </w:rPr>
        <w:t xml:space="preserve">Springwell </w:t>
      </w:r>
      <w:r w:rsidRPr="001A1095">
        <w:rPr>
          <w:rFonts w:ascii="Times New Roman" w:hAnsi="Times New Roman" w:cs="Times New Roman"/>
          <w:sz w:val="24"/>
          <w:szCs w:val="24"/>
        </w:rPr>
        <w:t xml:space="preserve">rejected the counsel’s argument that there is no juristic concept of contractual estoppel which is distinct from the doctrine of estoppel by convention. He further stated once it is accepted that there is a separate doctrine of contractual estoppel then there is no room for a requirement that the party which wishes to rely on that estoppel should demonstrate that it would unconscionable for the other party to </w:t>
      </w:r>
      <w:proofErr w:type="spellStart"/>
      <w:r w:rsidRPr="001A1095">
        <w:rPr>
          <w:rFonts w:ascii="Times New Roman" w:hAnsi="Times New Roman" w:cs="Times New Roman"/>
          <w:sz w:val="24"/>
          <w:szCs w:val="24"/>
        </w:rPr>
        <w:t>resile</w:t>
      </w:r>
      <w:proofErr w:type="spellEnd"/>
      <w:r w:rsidRPr="001A1095">
        <w:rPr>
          <w:rFonts w:ascii="Times New Roman" w:hAnsi="Times New Roman" w:cs="Times New Roman"/>
          <w:sz w:val="24"/>
          <w:szCs w:val="24"/>
        </w:rPr>
        <w:t xml:space="preserve"> from the conventional state of affairs that the parties have assumed.</w:t>
      </w:r>
      <w:r w:rsidRPr="002B75EC">
        <w:rPr>
          <w:rStyle w:val="FootnoteReference"/>
          <w:rFonts w:ascii="Times New Roman" w:hAnsi="Times New Roman" w:cs="Times New Roman"/>
          <w:sz w:val="24"/>
          <w:szCs w:val="24"/>
        </w:rPr>
        <w:footnoteReference w:id="65"/>
      </w:r>
      <w:r w:rsidRPr="001A1095">
        <w:rPr>
          <w:rFonts w:ascii="Times New Roman" w:hAnsi="Times New Roman" w:cs="Times New Roman"/>
          <w:sz w:val="24"/>
          <w:szCs w:val="24"/>
        </w:rPr>
        <w:t xml:space="preserve"> The absence of contract in estoppel by convention is the only reason why the requirement of unconscionability need to be established to enforce such estoppel. Therefore, where there is no contract, some other mechanism should be there to make non-contractual estoppels enforceable. For example, </w:t>
      </w:r>
      <w:r w:rsidRPr="001A1095">
        <w:rPr>
          <w:rFonts w:ascii="Times New Roman" w:hAnsi="Times New Roman" w:cs="Times New Roman"/>
          <w:sz w:val="24"/>
          <w:szCs w:val="24"/>
        </w:rPr>
        <w:lastRenderedPageBreak/>
        <w:t xml:space="preserve">contract is not required to raise reliance-based estoppels, they are raised </w:t>
      </w:r>
      <w:proofErr w:type="gramStart"/>
      <w:r w:rsidRPr="001A1095">
        <w:rPr>
          <w:rFonts w:ascii="Times New Roman" w:hAnsi="Times New Roman" w:cs="Times New Roman"/>
          <w:sz w:val="24"/>
          <w:szCs w:val="24"/>
        </w:rPr>
        <w:t>on the basis of</w:t>
      </w:r>
      <w:proofErr w:type="gramEnd"/>
      <w:r w:rsidRPr="001A1095">
        <w:rPr>
          <w:rFonts w:ascii="Times New Roman" w:hAnsi="Times New Roman" w:cs="Times New Roman"/>
          <w:sz w:val="24"/>
          <w:szCs w:val="24"/>
        </w:rPr>
        <w:t xml:space="preserve"> unconscionability. Therefore, to enforce such estoppel all they ever do is establish unconscionability, not contract. A contract arises where considerations are communicated between the parties by words or conduct, intending to create legal relationship based on the agreed terms of the contract. Therefore, absence of intention to create legal relation </w:t>
      </w:r>
      <w:r w:rsidR="00086046" w:rsidRPr="001A1095">
        <w:rPr>
          <w:rFonts w:ascii="Times New Roman" w:hAnsi="Times New Roman" w:cs="Times New Roman"/>
          <w:sz w:val="24"/>
          <w:szCs w:val="24"/>
        </w:rPr>
        <w:t>cannot</w:t>
      </w:r>
      <w:r w:rsidRPr="001A1095">
        <w:rPr>
          <w:rFonts w:ascii="Times New Roman" w:hAnsi="Times New Roman" w:cs="Times New Roman"/>
          <w:sz w:val="24"/>
          <w:szCs w:val="24"/>
        </w:rPr>
        <w:t xml:space="preserve"> be compensated by estoppel.</w:t>
      </w:r>
    </w:p>
    <w:p w14:paraId="24A4D57A" w14:textId="77777777" w:rsidR="00D167E7" w:rsidRPr="002B75EC" w:rsidRDefault="00D167E7" w:rsidP="002B75EC">
      <w:pPr>
        <w:pStyle w:val="ListParagraph"/>
        <w:spacing w:line="480" w:lineRule="auto"/>
        <w:ind w:left="360"/>
        <w:jc w:val="both"/>
        <w:rPr>
          <w:rFonts w:ascii="Times New Roman" w:hAnsi="Times New Roman" w:cs="Times New Roman"/>
          <w:sz w:val="24"/>
          <w:szCs w:val="24"/>
        </w:rPr>
      </w:pPr>
    </w:p>
    <w:p w14:paraId="629E6DBA" w14:textId="77777777" w:rsidR="00D167E7" w:rsidRPr="002116C3" w:rsidRDefault="00D167E7" w:rsidP="002B75EC">
      <w:pPr>
        <w:pStyle w:val="ListParagraph"/>
        <w:numPr>
          <w:ilvl w:val="1"/>
          <w:numId w:val="9"/>
        </w:numPr>
        <w:spacing w:line="480" w:lineRule="auto"/>
        <w:jc w:val="both"/>
        <w:rPr>
          <w:rFonts w:ascii="Times New Roman" w:hAnsi="Times New Roman" w:cs="Times New Roman"/>
          <w:b/>
          <w:bCs/>
          <w:sz w:val="24"/>
          <w:szCs w:val="24"/>
        </w:rPr>
      </w:pPr>
      <w:r w:rsidRPr="002116C3">
        <w:rPr>
          <w:rFonts w:ascii="Times New Roman" w:hAnsi="Times New Roman" w:cs="Times New Roman"/>
          <w:b/>
          <w:bCs/>
          <w:sz w:val="24"/>
          <w:szCs w:val="24"/>
          <w:u w:val="single"/>
        </w:rPr>
        <w:t>Contractual Estoppel is distinct from Evidential estoppel:</w:t>
      </w:r>
    </w:p>
    <w:p w14:paraId="72E4728D" w14:textId="77777777" w:rsidR="00D167E7" w:rsidRPr="001A1095" w:rsidRDefault="00D167E7" w:rsidP="001A1095">
      <w:pPr>
        <w:spacing w:line="480" w:lineRule="auto"/>
        <w:jc w:val="both"/>
        <w:rPr>
          <w:rFonts w:ascii="Times New Roman" w:hAnsi="Times New Roman" w:cs="Times New Roman"/>
          <w:sz w:val="24"/>
          <w:szCs w:val="24"/>
        </w:rPr>
      </w:pPr>
      <w:r w:rsidRPr="001A1095">
        <w:rPr>
          <w:rFonts w:ascii="Times New Roman" w:hAnsi="Times New Roman" w:cs="Times New Roman"/>
          <w:sz w:val="24"/>
          <w:szCs w:val="24"/>
        </w:rPr>
        <w:t xml:space="preserve">The evidential estoppel sometime referred to as estoppel by representation. The distinct category of contractual estoppel has separated this doctrine from estoppel by representation. In </w:t>
      </w:r>
      <w:proofErr w:type="spellStart"/>
      <w:r w:rsidRPr="001A1095">
        <w:rPr>
          <w:rFonts w:ascii="Times New Roman" w:hAnsi="Times New Roman" w:cs="Times New Roman"/>
          <w:i/>
          <w:iCs/>
          <w:sz w:val="24"/>
          <w:szCs w:val="24"/>
        </w:rPr>
        <w:t>Peekay</w:t>
      </w:r>
      <w:proofErr w:type="spellEnd"/>
      <w:r w:rsidRPr="001A1095">
        <w:rPr>
          <w:rFonts w:ascii="Times New Roman" w:hAnsi="Times New Roman" w:cs="Times New Roman"/>
          <w:i/>
          <w:iCs/>
          <w:sz w:val="24"/>
          <w:szCs w:val="24"/>
        </w:rPr>
        <w:t xml:space="preserve">, </w:t>
      </w:r>
      <w:r w:rsidRPr="001A1095">
        <w:rPr>
          <w:rFonts w:ascii="Times New Roman" w:hAnsi="Times New Roman" w:cs="Times New Roman"/>
          <w:sz w:val="24"/>
          <w:szCs w:val="24"/>
        </w:rPr>
        <w:t xml:space="preserve">it was established that contractual estoppel is different from the estoppel by representation. Similarly, in </w:t>
      </w:r>
      <w:r w:rsidRPr="001A1095">
        <w:rPr>
          <w:rFonts w:ascii="Times New Roman" w:hAnsi="Times New Roman" w:cs="Times New Roman"/>
          <w:i/>
          <w:iCs/>
          <w:sz w:val="24"/>
          <w:szCs w:val="24"/>
        </w:rPr>
        <w:t xml:space="preserve">Springwell </w:t>
      </w:r>
      <w:r w:rsidRPr="001A1095">
        <w:rPr>
          <w:rFonts w:ascii="Times New Roman" w:hAnsi="Times New Roman" w:cs="Times New Roman"/>
          <w:sz w:val="24"/>
          <w:szCs w:val="24"/>
        </w:rPr>
        <w:t>it was held that two forms of estoppel are different with different jurisprudential bases.</w:t>
      </w:r>
      <w:r w:rsidRPr="002B75EC">
        <w:rPr>
          <w:rStyle w:val="FootnoteReference"/>
          <w:rFonts w:ascii="Times New Roman" w:hAnsi="Times New Roman" w:cs="Times New Roman"/>
          <w:sz w:val="24"/>
          <w:szCs w:val="24"/>
        </w:rPr>
        <w:footnoteReference w:id="66"/>
      </w:r>
      <w:r w:rsidRPr="001A1095">
        <w:rPr>
          <w:rFonts w:ascii="Times New Roman" w:hAnsi="Times New Roman" w:cs="Times New Roman"/>
          <w:sz w:val="24"/>
          <w:szCs w:val="24"/>
        </w:rPr>
        <w:t xml:space="preserve"> The main difference is that in contractual estoppel a statement binds the maker by contractual intention, and in estoppel by representation a statement is made without such intention and bind the maker by another’s reliance on it. There are three basic requirements for estoppel by representation: (</w:t>
      </w:r>
      <w:proofErr w:type="spellStart"/>
      <w:r w:rsidRPr="001A1095">
        <w:rPr>
          <w:rFonts w:ascii="Times New Roman" w:hAnsi="Times New Roman" w:cs="Times New Roman"/>
          <w:sz w:val="24"/>
          <w:szCs w:val="24"/>
        </w:rPr>
        <w:t>i</w:t>
      </w:r>
      <w:proofErr w:type="spellEnd"/>
      <w:r w:rsidRPr="001A1095">
        <w:rPr>
          <w:rFonts w:ascii="Times New Roman" w:hAnsi="Times New Roman" w:cs="Times New Roman"/>
          <w:sz w:val="24"/>
          <w:szCs w:val="24"/>
        </w:rPr>
        <w:t xml:space="preserve">) a clear and unambiguous statement based on which the recipient is objectively intended to act; (ii) the statement has been relied and induced the recipient; and (iii) detriment to the recipient if the maker of the statement </w:t>
      </w:r>
      <w:proofErr w:type="gramStart"/>
      <w:r w:rsidRPr="001A1095">
        <w:rPr>
          <w:rFonts w:ascii="Times New Roman" w:hAnsi="Times New Roman" w:cs="Times New Roman"/>
          <w:sz w:val="24"/>
          <w:szCs w:val="24"/>
        </w:rPr>
        <w:t>is allowed to</w:t>
      </w:r>
      <w:proofErr w:type="gramEnd"/>
      <w:r w:rsidRPr="001A1095">
        <w:rPr>
          <w:rFonts w:ascii="Times New Roman" w:hAnsi="Times New Roman" w:cs="Times New Roman"/>
          <w:sz w:val="24"/>
          <w:szCs w:val="24"/>
        </w:rPr>
        <w:t xml:space="preserve"> </w:t>
      </w:r>
      <w:proofErr w:type="spellStart"/>
      <w:r w:rsidRPr="001A1095">
        <w:rPr>
          <w:rFonts w:ascii="Times New Roman" w:hAnsi="Times New Roman" w:cs="Times New Roman"/>
          <w:sz w:val="24"/>
          <w:szCs w:val="24"/>
        </w:rPr>
        <w:t>resile</w:t>
      </w:r>
      <w:proofErr w:type="spellEnd"/>
      <w:r w:rsidRPr="001A1095">
        <w:rPr>
          <w:rFonts w:ascii="Times New Roman" w:hAnsi="Times New Roman" w:cs="Times New Roman"/>
          <w:sz w:val="24"/>
          <w:szCs w:val="24"/>
        </w:rPr>
        <w:t xml:space="preserve"> from it. It can be seen from the abode requirements, none of the, include the requirement of unconscionability. However, requirement of unconscionability is inherent to the estoppel raised in equity. Although requirement of unconscionability is unlikely to be found in any of the above three requirements, the satisfaction of them would normally add up to establish unconscionability. Express or implied statements from which estoppel by representation arise </w:t>
      </w:r>
      <w:r w:rsidRPr="001A1095">
        <w:rPr>
          <w:rFonts w:ascii="Times New Roman" w:hAnsi="Times New Roman" w:cs="Times New Roman"/>
          <w:sz w:val="24"/>
          <w:szCs w:val="24"/>
        </w:rPr>
        <w:lastRenderedPageBreak/>
        <w:t>can take different forms like representation of fact, promise or conduct, however, none of them intended as an offer which could be accepted to create contractual promise. There could be a little possibility that, estoppel by representation may be raised at law, in which unconscionability is not a strict requirement. However, still the factual elements of the estoppel are the same both at law and equity.</w:t>
      </w:r>
    </w:p>
    <w:p w14:paraId="410B8056" w14:textId="77777777" w:rsidR="00D167E7" w:rsidRPr="002B75EC" w:rsidRDefault="00D167E7" w:rsidP="002B75EC">
      <w:pPr>
        <w:pStyle w:val="ListParagraph"/>
        <w:spacing w:line="480" w:lineRule="auto"/>
        <w:ind w:left="360"/>
        <w:jc w:val="both"/>
        <w:rPr>
          <w:rFonts w:ascii="Times New Roman" w:hAnsi="Times New Roman" w:cs="Times New Roman"/>
          <w:sz w:val="24"/>
          <w:szCs w:val="24"/>
        </w:rPr>
      </w:pPr>
    </w:p>
    <w:p w14:paraId="2D5328C3" w14:textId="77777777" w:rsidR="00D167E7" w:rsidRPr="002B75EC" w:rsidRDefault="00D167E7" w:rsidP="002B75EC">
      <w:pPr>
        <w:pStyle w:val="ListParagraph"/>
        <w:spacing w:line="480" w:lineRule="auto"/>
        <w:ind w:left="360"/>
        <w:jc w:val="both"/>
        <w:rPr>
          <w:rFonts w:ascii="Times New Roman" w:hAnsi="Times New Roman" w:cs="Times New Roman"/>
          <w:sz w:val="24"/>
          <w:szCs w:val="24"/>
          <w:u w:val="single"/>
        </w:rPr>
      </w:pPr>
    </w:p>
    <w:p w14:paraId="6A4F8B04" w14:textId="77777777" w:rsidR="00D167E7" w:rsidRPr="002B75EC" w:rsidRDefault="00D167E7" w:rsidP="002B75EC">
      <w:pPr>
        <w:spacing w:line="480" w:lineRule="auto"/>
        <w:jc w:val="both"/>
        <w:rPr>
          <w:rFonts w:ascii="Times New Roman" w:hAnsi="Times New Roman" w:cs="Times New Roman"/>
          <w:sz w:val="24"/>
          <w:szCs w:val="24"/>
          <w:u w:val="single"/>
        </w:rPr>
      </w:pPr>
    </w:p>
    <w:p w14:paraId="089511EA" w14:textId="77777777" w:rsidR="00D167E7" w:rsidRPr="002B75EC" w:rsidRDefault="00D167E7" w:rsidP="002B75EC">
      <w:pPr>
        <w:spacing w:line="480" w:lineRule="auto"/>
        <w:jc w:val="both"/>
        <w:rPr>
          <w:rFonts w:ascii="Times New Roman" w:hAnsi="Times New Roman" w:cs="Times New Roman"/>
          <w:sz w:val="24"/>
          <w:szCs w:val="24"/>
          <w:u w:val="single"/>
        </w:rPr>
      </w:pPr>
    </w:p>
    <w:p w14:paraId="59DD0257" w14:textId="77777777" w:rsidR="00D167E7" w:rsidRPr="002B75EC" w:rsidRDefault="00D167E7" w:rsidP="002B75EC">
      <w:pPr>
        <w:spacing w:line="480" w:lineRule="auto"/>
        <w:jc w:val="both"/>
        <w:rPr>
          <w:rFonts w:ascii="Times New Roman" w:hAnsi="Times New Roman" w:cs="Times New Roman"/>
          <w:sz w:val="24"/>
          <w:szCs w:val="24"/>
        </w:rPr>
      </w:pPr>
      <w:r w:rsidRPr="002B75EC">
        <w:rPr>
          <w:rFonts w:ascii="Times New Roman" w:hAnsi="Times New Roman" w:cs="Times New Roman"/>
          <w:sz w:val="24"/>
          <w:szCs w:val="24"/>
        </w:rPr>
        <w:t xml:space="preserve"> </w:t>
      </w:r>
    </w:p>
    <w:p w14:paraId="0EAFB6A0" w14:textId="77777777" w:rsidR="00D167E7" w:rsidRPr="002B75EC" w:rsidRDefault="00D167E7" w:rsidP="002B75EC">
      <w:pPr>
        <w:spacing w:line="480" w:lineRule="auto"/>
        <w:jc w:val="both"/>
        <w:rPr>
          <w:rFonts w:ascii="Times New Roman" w:hAnsi="Times New Roman" w:cs="Times New Roman"/>
          <w:sz w:val="24"/>
          <w:szCs w:val="24"/>
        </w:rPr>
      </w:pPr>
    </w:p>
    <w:p w14:paraId="05FDC4A3" w14:textId="77777777" w:rsidR="00D167E7" w:rsidRPr="002B75EC" w:rsidRDefault="00D167E7" w:rsidP="002B75EC">
      <w:pPr>
        <w:spacing w:line="480" w:lineRule="auto"/>
        <w:jc w:val="both"/>
        <w:rPr>
          <w:rFonts w:ascii="Times New Roman" w:hAnsi="Times New Roman" w:cs="Times New Roman"/>
          <w:sz w:val="24"/>
          <w:szCs w:val="24"/>
        </w:rPr>
      </w:pPr>
    </w:p>
    <w:p w14:paraId="736D50A4" w14:textId="77777777" w:rsidR="00D167E7" w:rsidRPr="002B75EC" w:rsidRDefault="00D167E7" w:rsidP="002B75EC">
      <w:pPr>
        <w:spacing w:line="480" w:lineRule="auto"/>
        <w:jc w:val="both"/>
        <w:rPr>
          <w:rFonts w:ascii="Times New Roman" w:hAnsi="Times New Roman" w:cs="Times New Roman"/>
          <w:sz w:val="24"/>
          <w:szCs w:val="24"/>
        </w:rPr>
      </w:pPr>
    </w:p>
    <w:p w14:paraId="43BBA2F5" w14:textId="77777777" w:rsidR="00D167E7" w:rsidRPr="002B75EC" w:rsidRDefault="00D167E7" w:rsidP="002B75EC">
      <w:pPr>
        <w:spacing w:line="480" w:lineRule="auto"/>
        <w:jc w:val="both"/>
        <w:rPr>
          <w:rFonts w:ascii="Times New Roman" w:hAnsi="Times New Roman" w:cs="Times New Roman"/>
          <w:sz w:val="24"/>
          <w:szCs w:val="24"/>
        </w:rPr>
      </w:pPr>
    </w:p>
    <w:p w14:paraId="106762C1" w14:textId="77777777" w:rsidR="00D167E7" w:rsidRPr="002B75EC" w:rsidRDefault="00D167E7" w:rsidP="002B75EC">
      <w:pPr>
        <w:spacing w:line="480" w:lineRule="auto"/>
        <w:jc w:val="both"/>
        <w:rPr>
          <w:rFonts w:ascii="Times New Roman" w:hAnsi="Times New Roman" w:cs="Times New Roman"/>
          <w:sz w:val="24"/>
          <w:szCs w:val="24"/>
        </w:rPr>
      </w:pPr>
    </w:p>
    <w:p w14:paraId="6944401B" w14:textId="77777777" w:rsidR="00D167E7" w:rsidRPr="002B75EC" w:rsidRDefault="00D167E7" w:rsidP="002B75EC">
      <w:pPr>
        <w:spacing w:line="480" w:lineRule="auto"/>
        <w:jc w:val="both"/>
        <w:rPr>
          <w:rFonts w:ascii="Times New Roman" w:hAnsi="Times New Roman" w:cs="Times New Roman"/>
          <w:sz w:val="24"/>
          <w:szCs w:val="24"/>
        </w:rPr>
      </w:pPr>
    </w:p>
    <w:p w14:paraId="7A5C3C46" w14:textId="77777777" w:rsidR="00D167E7" w:rsidRPr="002B75EC" w:rsidRDefault="00D167E7" w:rsidP="002B75EC">
      <w:pPr>
        <w:spacing w:line="480" w:lineRule="auto"/>
        <w:jc w:val="both"/>
        <w:rPr>
          <w:rFonts w:ascii="Times New Roman" w:hAnsi="Times New Roman" w:cs="Times New Roman"/>
          <w:sz w:val="24"/>
          <w:szCs w:val="24"/>
        </w:rPr>
      </w:pPr>
    </w:p>
    <w:p w14:paraId="3F813BEC" w14:textId="77777777" w:rsidR="00D167E7" w:rsidRPr="002B75EC" w:rsidRDefault="00D167E7" w:rsidP="002B75EC">
      <w:pPr>
        <w:spacing w:line="480" w:lineRule="auto"/>
        <w:jc w:val="both"/>
        <w:rPr>
          <w:rFonts w:ascii="Times New Roman" w:hAnsi="Times New Roman" w:cs="Times New Roman"/>
          <w:sz w:val="24"/>
          <w:szCs w:val="24"/>
        </w:rPr>
      </w:pPr>
    </w:p>
    <w:p w14:paraId="5BE49530" w14:textId="77777777" w:rsidR="00D167E7" w:rsidRPr="002B75EC" w:rsidRDefault="00D167E7" w:rsidP="002B75EC">
      <w:pPr>
        <w:spacing w:line="480" w:lineRule="auto"/>
        <w:jc w:val="both"/>
        <w:rPr>
          <w:rFonts w:ascii="Times New Roman" w:hAnsi="Times New Roman" w:cs="Times New Roman"/>
          <w:sz w:val="24"/>
          <w:szCs w:val="24"/>
        </w:rPr>
      </w:pPr>
    </w:p>
    <w:p w14:paraId="6B3C4513" w14:textId="77777777" w:rsidR="00D167E7" w:rsidRPr="002B75EC" w:rsidRDefault="00D167E7" w:rsidP="002B75EC">
      <w:pPr>
        <w:spacing w:line="480" w:lineRule="auto"/>
        <w:jc w:val="both"/>
        <w:rPr>
          <w:rFonts w:ascii="Times New Roman" w:hAnsi="Times New Roman" w:cs="Times New Roman"/>
          <w:sz w:val="24"/>
          <w:szCs w:val="24"/>
        </w:rPr>
      </w:pPr>
    </w:p>
    <w:p w14:paraId="0232E6A9" w14:textId="77777777" w:rsidR="00D167E7" w:rsidRPr="002B75EC" w:rsidRDefault="00D167E7" w:rsidP="002B75EC">
      <w:pPr>
        <w:spacing w:line="480" w:lineRule="auto"/>
        <w:jc w:val="both"/>
        <w:rPr>
          <w:rFonts w:ascii="Times New Roman" w:hAnsi="Times New Roman" w:cs="Times New Roman"/>
          <w:sz w:val="24"/>
          <w:szCs w:val="24"/>
        </w:rPr>
      </w:pPr>
    </w:p>
    <w:p w14:paraId="75C7A580" w14:textId="77777777" w:rsidR="00D167E7" w:rsidRPr="002B75EC" w:rsidRDefault="00D167E7" w:rsidP="002B75EC">
      <w:pPr>
        <w:spacing w:line="480" w:lineRule="auto"/>
        <w:jc w:val="both"/>
        <w:rPr>
          <w:rFonts w:ascii="Times New Roman" w:hAnsi="Times New Roman" w:cs="Times New Roman"/>
          <w:sz w:val="24"/>
          <w:szCs w:val="24"/>
        </w:rPr>
      </w:pPr>
    </w:p>
    <w:p w14:paraId="072523FB" w14:textId="77777777" w:rsidR="00D167E7" w:rsidRPr="002B75EC" w:rsidRDefault="00D167E7" w:rsidP="002B75EC">
      <w:pPr>
        <w:spacing w:line="480" w:lineRule="auto"/>
        <w:jc w:val="both"/>
        <w:rPr>
          <w:rFonts w:ascii="Times New Roman" w:hAnsi="Times New Roman" w:cs="Times New Roman"/>
          <w:sz w:val="24"/>
          <w:szCs w:val="24"/>
        </w:rPr>
      </w:pPr>
    </w:p>
    <w:p w14:paraId="36E1FDC5" w14:textId="77777777" w:rsidR="00D167E7" w:rsidRPr="002116C3" w:rsidRDefault="00D167E7" w:rsidP="002116C3">
      <w:pPr>
        <w:spacing w:line="480" w:lineRule="auto"/>
        <w:jc w:val="center"/>
        <w:rPr>
          <w:rFonts w:ascii="Times New Roman" w:hAnsi="Times New Roman" w:cs="Times New Roman"/>
          <w:b/>
          <w:bCs/>
          <w:sz w:val="36"/>
          <w:szCs w:val="36"/>
          <w:u w:val="single"/>
        </w:rPr>
      </w:pPr>
      <w:r w:rsidRPr="002116C3">
        <w:rPr>
          <w:rFonts w:ascii="Times New Roman" w:hAnsi="Times New Roman" w:cs="Times New Roman"/>
          <w:b/>
          <w:bCs/>
          <w:sz w:val="36"/>
          <w:szCs w:val="36"/>
          <w:u w:val="single"/>
        </w:rPr>
        <w:t>CHAPTER FIVE</w:t>
      </w:r>
    </w:p>
    <w:p w14:paraId="16D14124" w14:textId="3CA39CCA" w:rsidR="00D167E7" w:rsidRDefault="00D167E7" w:rsidP="000F548E">
      <w:pPr>
        <w:pStyle w:val="ListParagraph"/>
        <w:numPr>
          <w:ilvl w:val="0"/>
          <w:numId w:val="5"/>
        </w:numPr>
        <w:spacing w:line="480" w:lineRule="auto"/>
        <w:jc w:val="right"/>
        <w:rPr>
          <w:rFonts w:ascii="Times New Roman" w:hAnsi="Times New Roman" w:cs="Times New Roman"/>
          <w:b/>
          <w:bCs/>
          <w:sz w:val="32"/>
          <w:szCs w:val="32"/>
          <w:u w:val="single"/>
        </w:rPr>
      </w:pPr>
      <w:r w:rsidRPr="002116C3">
        <w:rPr>
          <w:rFonts w:ascii="Times New Roman" w:hAnsi="Times New Roman" w:cs="Times New Roman"/>
          <w:b/>
          <w:bCs/>
          <w:sz w:val="32"/>
          <w:szCs w:val="32"/>
          <w:u w:val="single"/>
        </w:rPr>
        <w:t>Implications of Contractual Estoppel</w:t>
      </w:r>
      <w:r w:rsidR="000F548E">
        <w:rPr>
          <w:rFonts w:ascii="Times New Roman" w:hAnsi="Times New Roman" w:cs="Times New Roman"/>
          <w:b/>
          <w:bCs/>
          <w:sz w:val="32"/>
          <w:szCs w:val="32"/>
          <w:u w:val="single"/>
        </w:rPr>
        <w:t xml:space="preserve"> &amp; Concluding Remarks</w:t>
      </w:r>
    </w:p>
    <w:p w14:paraId="6F0FB350" w14:textId="77777777" w:rsidR="002116C3" w:rsidRPr="002116C3" w:rsidRDefault="002116C3" w:rsidP="002116C3">
      <w:pPr>
        <w:pStyle w:val="ListParagraph"/>
        <w:spacing w:line="480" w:lineRule="auto"/>
        <w:ind w:left="360"/>
        <w:rPr>
          <w:rFonts w:ascii="Times New Roman" w:hAnsi="Times New Roman" w:cs="Times New Roman"/>
          <w:b/>
          <w:bCs/>
          <w:sz w:val="32"/>
          <w:szCs w:val="32"/>
          <w:u w:val="single"/>
        </w:rPr>
      </w:pPr>
    </w:p>
    <w:p w14:paraId="74BCBBFF" w14:textId="77777777" w:rsidR="00D167E7" w:rsidRPr="002116C3" w:rsidRDefault="00D167E7" w:rsidP="002B75EC">
      <w:pPr>
        <w:pStyle w:val="ListParagraph"/>
        <w:numPr>
          <w:ilvl w:val="1"/>
          <w:numId w:val="10"/>
        </w:numPr>
        <w:spacing w:line="480" w:lineRule="auto"/>
        <w:jc w:val="both"/>
        <w:rPr>
          <w:rFonts w:ascii="Times New Roman" w:hAnsi="Times New Roman" w:cs="Times New Roman"/>
          <w:b/>
          <w:bCs/>
          <w:sz w:val="24"/>
          <w:szCs w:val="24"/>
          <w:u w:val="single"/>
        </w:rPr>
      </w:pPr>
      <w:r w:rsidRPr="002116C3">
        <w:rPr>
          <w:rFonts w:ascii="Times New Roman" w:hAnsi="Times New Roman" w:cs="Times New Roman"/>
          <w:b/>
          <w:bCs/>
          <w:sz w:val="24"/>
          <w:szCs w:val="24"/>
          <w:u w:val="single"/>
        </w:rPr>
        <w:t>Chapter overview:</w:t>
      </w:r>
    </w:p>
    <w:p w14:paraId="07850F24" w14:textId="78C73987" w:rsidR="00D167E7" w:rsidRPr="00B307F6" w:rsidRDefault="00D167E7" w:rsidP="002B75EC">
      <w:pPr>
        <w:spacing w:line="480" w:lineRule="auto"/>
        <w:jc w:val="both"/>
        <w:rPr>
          <w:rFonts w:ascii="Times New Roman" w:hAnsi="Times New Roman" w:cs="Times New Roman"/>
          <w:sz w:val="24"/>
          <w:szCs w:val="24"/>
          <w:u w:val="single"/>
        </w:rPr>
      </w:pPr>
      <w:r w:rsidRPr="00B307F6">
        <w:rPr>
          <w:rFonts w:ascii="Times New Roman" w:hAnsi="Times New Roman" w:cs="Times New Roman"/>
          <w:sz w:val="24"/>
          <w:szCs w:val="24"/>
        </w:rPr>
        <w:t xml:space="preserve">The doctrine of contractual estoppel operates as a means of holding parties to their </w:t>
      </w:r>
      <w:proofErr w:type="gramStart"/>
      <w:r w:rsidRPr="00B307F6">
        <w:rPr>
          <w:rFonts w:ascii="Times New Roman" w:hAnsi="Times New Roman" w:cs="Times New Roman"/>
          <w:sz w:val="24"/>
          <w:szCs w:val="24"/>
        </w:rPr>
        <w:t>particular contractual</w:t>
      </w:r>
      <w:proofErr w:type="gramEnd"/>
      <w:r w:rsidRPr="00B307F6">
        <w:rPr>
          <w:rFonts w:ascii="Times New Roman" w:hAnsi="Times New Roman" w:cs="Times New Roman"/>
          <w:sz w:val="24"/>
          <w:szCs w:val="24"/>
        </w:rPr>
        <w:t xml:space="preserve"> statements. Any implications of this doctrine are completely depending on the words used or statement made by the parties. More clear demonstration of such proposition was given in </w:t>
      </w:r>
      <w:r w:rsidRPr="00B307F6">
        <w:rPr>
          <w:rFonts w:ascii="Times New Roman" w:hAnsi="Times New Roman" w:cs="Times New Roman"/>
          <w:i/>
          <w:iCs/>
          <w:sz w:val="24"/>
          <w:szCs w:val="24"/>
        </w:rPr>
        <w:t>Camerata Property v Credit Suisse Securities (Europe) Ltd.</w:t>
      </w:r>
      <w:r w:rsidRPr="002B75EC">
        <w:rPr>
          <w:rStyle w:val="FootnoteReference"/>
          <w:rFonts w:ascii="Times New Roman" w:hAnsi="Times New Roman" w:cs="Times New Roman"/>
          <w:i/>
          <w:iCs/>
          <w:sz w:val="24"/>
          <w:szCs w:val="24"/>
        </w:rPr>
        <w:footnoteReference w:id="67"/>
      </w:r>
      <w:r w:rsidRPr="00B307F6">
        <w:rPr>
          <w:rFonts w:ascii="Times New Roman" w:hAnsi="Times New Roman" w:cs="Times New Roman"/>
          <w:i/>
          <w:iCs/>
          <w:sz w:val="24"/>
          <w:szCs w:val="24"/>
        </w:rPr>
        <w:t xml:space="preserve"> </w:t>
      </w:r>
      <w:r w:rsidRPr="00B307F6">
        <w:rPr>
          <w:rFonts w:ascii="Times New Roman" w:hAnsi="Times New Roman" w:cs="Times New Roman"/>
          <w:sz w:val="24"/>
          <w:szCs w:val="24"/>
        </w:rPr>
        <w:t xml:space="preserve">The judge found in above case that the contractual estoppel has raised and the statements in question were given only for allowing bank to make them when acted on behalf and it was about a </w:t>
      </w:r>
      <w:proofErr w:type="gramStart"/>
      <w:r w:rsidRPr="00B307F6">
        <w:rPr>
          <w:rFonts w:ascii="Times New Roman" w:hAnsi="Times New Roman" w:cs="Times New Roman"/>
          <w:sz w:val="24"/>
          <w:szCs w:val="24"/>
        </w:rPr>
        <w:t>state of affairs as</w:t>
      </w:r>
      <w:proofErr w:type="gramEnd"/>
      <w:r w:rsidRPr="00B307F6">
        <w:rPr>
          <w:rFonts w:ascii="Times New Roman" w:hAnsi="Times New Roman" w:cs="Times New Roman"/>
          <w:sz w:val="24"/>
          <w:szCs w:val="24"/>
        </w:rPr>
        <w:t xml:space="preserve"> a particular point in time. Therefore, bank was not protected from the claims brought against it by its investor. This chapter will consider the implications of contractual estoppel with detailed analysis of relevant area of law. To provide a broad analysis of the implications of contractual estoppel, three widely adopted types of provisions in commercial contract are separately considered below.</w:t>
      </w:r>
      <w:r w:rsidR="00904462" w:rsidRPr="00B307F6">
        <w:rPr>
          <w:rFonts w:ascii="Times New Roman" w:hAnsi="Times New Roman" w:cs="Times New Roman"/>
          <w:sz w:val="24"/>
          <w:szCs w:val="24"/>
        </w:rPr>
        <w:t xml:space="preserve"> </w:t>
      </w:r>
      <w:r w:rsidR="00574C4E" w:rsidRPr="00B307F6">
        <w:rPr>
          <w:rFonts w:ascii="Times New Roman" w:hAnsi="Times New Roman" w:cs="Times New Roman"/>
          <w:sz w:val="24"/>
          <w:szCs w:val="24"/>
        </w:rPr>
        <w:t xml:space="preserve">These provisions usually used to limit the liability of the parties to a contract, however, it sometimes can be the basis clauses </w:t>
      </w:r>
      <w:r w:rsidR="00BA55FB" w:rsidRPr="00B307F6">
        <w:rPr>
          <w:rFonts w:ascii="Times New Roman" w:hAnsi="Times New Roman" w:cs="Times New Roman"/>
          <w:sz w:val="24"/>
          <w:szCs w:val="24"/>
        </w:rPr>
        <w:t>for</w:t>
      </w:r>
      <w:r w:rsidR="00574C4E" w:rsidRPr="00B307F6">
        <w:rPr>
          <w:rFonts w:ascii="Times New Roman" w:hAnsi="Times New Roman" w:cs="Times New Roman"/>
          <w:sz w:val="24"/>
          <w:szCs w:val="24"/>
        </w:rPr>
        <w:t xml:space="preserve"> contractual estoppel. These clauses may be under the requirement of </w:t>
      </w:r>
      <w:r w:rsidR="009A5DA5" w:rsidRPr="00B307F6">
        <w:rPr>
          <w:rFonts w:ascii="Times New Roman" w:hAnsi="Times New Roman" w:cs="Times New Roman"/>
          <w:sz w:val="24"/>
          <w:szCs w:val="24"/>
        </w:rPr>
        <w:t>Unfair Contract Terms Act 1977 (“UCTA”)</w:t>
      </w:r>
      <w:r w:rsidR="00574C4E" w:rsidRPr="00B307F6">
        <w:rPr>
          <w:rFonts w:ascii="Times New Roman" w:hAnsi="Times New Roman" w:cs="Times New Roman"/>
          <w:sz w:val="24"/>
          <w:szCs w:val="24"/>
        </w:rPr>
        <w:t xml:space="preserve"> ‘reasonableness test’ if used to limit the liability of the parties.</w:t>
      </w:r>
    </w:p>
    <w:p w14:paraId="16A281F7" w14:textId="6218EB05" w:rsidR="00D167E7" w:rsidRDefault="00D167E7" w:rsidP="002B75EC">
      <w:pPr>
        <w:pStyle w:val="ListParagraph"/>
        <w:spacing w:line="480" w:lineRule="auto"/>
        <w:jc w:val="both"/>
        <w:rPr>
          <w:rFonts w:ascii="Times New Roman" w:hAnsi="Times New Roman" w:cs="Times New Roman"/>
          <w:sz w:val="24"/>
          <w:szCs w:val="24"/>
          <w:u w:val="single"/>
        </w:rPr>
      </w:pPr>
    </w:p>
    <w:p w14:paraId="70FCFEDF" w14:textId="20B084C8" w:rsidR="00694C43" w:rsidRDefault="00694C43" w:rsidP="002B75EC">
      <w:pPr>
        <w:pStyle w:val="ListParagraph"/>
        <w:spacing w:line="480" w:lineRule="auto"/>
        <w:jc w:val="both"/>
        <w:rPr>
          <w:rFonts w:ascii="Times New Roman" w:hAnsi="Times New Roman" w:cs="Times New Roman"/>
          <w:sz w:val="24"/>
          <w:szCs w:val="24"/>
          <w:u w:val="single"/>
        </w:rPr>
      </w:pPr>
    </w:p>
    <w:p w14:paraId="2EE2B0FE" w14:textId="49ACCCED" w:rsidR="00BC1DDB" w:rsidRDefault="00BC1DDB" w:rsidP="002B75EC">
      <w:pPr>
        <w:pStyle w:val="ListParagraph"/>
        <w:spacing w:line="480" w:lineRule="auto"/>
        <w:jc w:val="both"/>
        <w:rPr>
          <w:rFonts w:ascii="Times New Roman" w:hAnsi="Times New Roman" w:cs="Times New Roman"/>
          <w:sz w:val="24"/>
          <w:szCs w:val="24"/>
          <w:u w:val="single"/>
        </w:rPr>
      </w:pPr>
    </w:p>
    <w:p w14:paraId="053E72F9" w14:textId="77777777" w:rsidR="00BC1DDB" w:rsidRPr="002B75EC" w:rsidRDefault="00BC1DDB" w:rsidP="002B75EC">
      <w:pPr>
        <w:pStyle w:val="ListParagraph"/>
        <w:spacing w:line="480" w:lineRule="auto"/>
        <w:jc w:val="both"/>
        <w:rPr>
          <w:rFonts w:ascii="Times New Roman" w:hAnsi="Times New Roman" w:cs="Times New Roman"/>
          <w:sz w:val="24"/>
          <w:szCs w:val="24"/>
          <w:u w:val="single"/>
        </w:rPr>
      </w:pPr>
    </w:p>
    <w:p w14:paraId="7360A8CF" w14:textId="77777777" w:rsidR="00D167E7" w:rsidRPr="00694C43" w:rsidRDefault="00D167E7" w:rsidP="002B75EC">
      <w:pPr>
        <w:pStyle w:val="ListParagraph"/>
        <w:numPr>
          <w:ilvl w:val="1"/>
          <w:numId w:val="10"/>
        </w:numPr>
        <w:spacing w:line="480" w:lineRule="auto"/>
        <w:jc w:val="both"/>
        <w:rPr>
          <w:rFonts w:ascii="Times New Roman" w:hAnsi="Times New Roman" w:cs="Times New Roman"/>
          <w:b/>
          <w:bCs/>
          <w:sz w:val="24"/>
          <w:szCs w:val="24"/>
          <w:u w:val="single"/>
        </w:rPr>
      </w:pPr>
      <w:r w:rsidRPr="00694C43">
        <w:rPr>
          <w:rFonts w:ascii="Times New Roman" w:hAnsi="Times New Roman" w:cs="Times New Roman"/>
          <w:b/>
          <w:bCs/>
          <w:sz w:val="24"/>
          <w:szCs w:val="24"/>
          <w:u w:val="single"/>
        </w:rPr>
        <w:t>No Responsibility:</w:t>
      </w:r>
    </w:p>
    <w:p w14:paraId="5E39035C" w14:textId="77777777" w:rsidR="00D167E7" w:rsidRPr="00BC1DDB" w:rsidRDefault="00D167E7" w:rsidP="002B75EC">
      <w:pPr>
        <w:spacing w:line="480" w:lineRule="auto"/>
        <w:jc w:val="both"/>
        <w:rPr>
          <w:rFonts w:ascii="Times New Roman" w:hAnsi="Times New Roman" w:cs="Times New Roman"/>
          <w:sz w:val="24"/>
          <w:szCs w:val="24"/>
        </w:rPr>
      </w:pPr>
      <w:r w:rsidRPr="00BC1DDB">
        <w:rPr>
          <w:rFonts w:ascii="Times New Roman" w:hAnsi="Times New Roman" w:cs="Times New Roman"/>
          <w:sz w:val="24"/>
          <w:szCs w:val="24"/>
        </w:rPr>
        <w:t xml:space="preserve">To minimise parties’ potential liability in commercial contract ‘no responsibility’ clause is one of the widely adopted provisions. These provisions are included to attempt to establish that no duty arises between the parties, not even the fiduciary duty or a duty of care. These types of clauses are more popular in banking sector. It was decided in </w:t>
      </w:r>
      <w:r w:rsidRPr="00BC1DDB">
        <w:rPr>
          <w:rFonts w:ascii="Times New Roman" w:hAnsi="Times New Roman" w:cs="Times New Roman"/>
          <w:i/>
          <w:iCs/>
          <w:sz w:val="24"/>
          <w:szCs w:val="24"/>
        </w:rPr>
        <w:t xml:space="preserve">Springwell </w:t>
      </w:r>
      <w:r w:rsidRPr="00BC1DDB">
        <w:rPr>
          <w:rFonts w:ascii="Times New Roman" w:hAnsi="Times New Roman" w:cs="Times New Roman"/>
          <w:sz w:val="24"/>
          <w:szCs w:val="24"/>
        </w:rPr>
        <w:t xml:space="preserve">that, bank and their clients may come into agreement that no advisory duty is to arise or has arisen before. Proposition has been made by Lord Hodge that, such wording in </w:t>
      </w:r>
      <w:r w:rsidRPr="00BC1DDB">
        <w:rPr>
          <w:rFonts w:ascii="Times New Roman" w:hAnsi="Times New Roman" w:cs="Times New Roman"/>
          <w:i/>
          <w:iCs/>
          <w:sz w:val="24"/>
          <w:szCs w:val="24"/>
        </w:rPr>
        <w:t xml:space="preserve">Springwell </w:t>
      </w:r>
      <w:r w:rsidRPr="00BC1DDB">
        <w:rPr>
          <w:rFonts w:ascii="Times New Roman" w:hAnsi="Times New Roman" w:cs="Times New Roman"/>
          <w:sz w:val="24"/>
          <w:szCs w:val="24"/>
        </w:rPr>
        <w:t>defines the basis of the parties’ trading, or banking relationship, and allocates risk in a way which negates any possibility of a general or specific advisory duty coming into existence.</w:t>
      </w:r>
      <w:r w:rsidRPr="002B75EC">
        <w:rPr>
          <w:rStyle w:val="FootnoteReference"/>
          <w:rFonts w:ascii="Times New Roman" w:hAnsi="Times New Roman" w:cs="Times New Roman"/>
          <w:sz w:val="24"/>
          <w:szCs w:val="24"/>
        </w:rPr>
        <w:footnoteReference w:id="68"/>
      </w:r>
      <w:r w:rsidRPr="00BC1DDB">
        <w:rPr>
          <w:rFonts w:ascii="Times New Roman" w:hAnsi="Times New Roman" w:cs="Times New Roman"/>
          <w:sz w:val="24"/>
          <w:szCs w:val="24"/>
        </w:rPr>
        <w:t xml:space="preserve"> In this context the effect of contractual estoppel is that, such clause bar the customer to claim that he was given advise and relied on it, regardless of the truth in reality.</w:t>
      </w:r>
      <w:r w:rsidRPr="002B75EC">
        <w:rPr>
          <w:rStyle w:val="FootnoteReference"/>
          <w:rFonts w:ascii="Times New Roman" w:hAnsi="Times New Roman" w:cs="Times New Roman"/>
          <w:sz w:val="24"/>
          <w:szCs w:val="24"/>
        </w:rPr>
        <w:footnoteReference w:id="69"/>
      </w:r>
      <w:r w:rsidRPr="00BC1DDB">
        <w:rPr>
          <w:rFonts w:ascii="Times New Roman" w:hAnsi="Times New Roman" w:cs="Times New Roman"/>
          <w:sz w:val="24"/>
          <w:szCs w:val="24"/>
        </w:rPr>
        <w:t xml:space="preserve"> Moreover, contractual estoppel in this context allows the parties to acknowledge that no such duty arose prior to contract, thereby defining the basis of their dealings.</w:t>
      </w:r>
      <w:r w:rsidRPr="002B75EC">
        <w:rPr>
          <w:rStyle w:val="FootnoteReference"/>
          <w:rFonts w:ascii="Times New Roman" w:hAnsi="Times New Roman" w:cs="Times New Roman"/>
          <w:sz w:val="24"/>
          <w:szCs w:val="24"/>
        </w:rPr>
        <w:footnoteReference w:id="70"/>
      </w:r>
    </w:p>
    <w:p w14:paraId="4C42CB7E" w14:textId="77777777" w:rsidR="00D167E7" w:rsidRPr="002B75EC" w:rsidRDefault="00D167E7" w:rsidP="002B75EC">
      <w:pPr>
        <w:pStyle w:val="ListParagraph"/>
        <w:spacing w:line="480" w:lineRule="auto"/>
        <w:jc w:val="both"/>
        <w:rPr>
          <w:rFonts w:ascii="Times New Roman" w:hAnsi="Times New Roman" w:cs="Times New Roman"/>
          <w:sz w:val="24"/>
          <w:szCs w:val="24"/>
          <w:u w:val="single"/>
        </w:rPr>
      </w:pPr>
    </w:p>
    <w:p w14:paraId="39859044" w14:textId="77777777" w:rsidR="00D167E7" w:rsidRPr="00DE24A4" w:rsidRDefault="00D167E7" w:rsidP="002B75EC">
      <w:pPr>
        <w:pStyle w:val="ListParagraph"/>
        <w:numPr>
          <w:ilvl w:val="1"/>
          <w:numId w:val="10"/>
        </w:numPr>
        <w:spacing w:line="480" w:lineRule="auto"/>
        <w:jc w:val="both"/>
        <w:rPr>
          <w:rFonts w:ascii="Times New Roman" w:hAnsi="Times New Roman" w:cs="Times New Roman"/>
          <w:b/>
          <w:bCs/>
          <w:sz w:val="24"/>
          <w:szCs w:val="24"/>
          <w:u w:val="single"/>
        </w:rPr>
      </w:pPr>
      <w:r w:rsidRPr="00DE24A4">
        <w:rPr>
          <w:rFonts w:ascii="Times New Roman" w:hAnsi="Times New Roman" w:cs="Times New Roman"/>
          <w:b/>
          <w:bCs/>
          <w:sz w:val="24"/>
          <w:szCs w:val="24"/>
          <w:u w:val="single"/>
        </w:rPr>
        <w:t>Non-reliance Clauses:</w:t>
      </w:r>
    </w:p>
    <w:p w14:paraId="53FC6555" w14:textId="5378832F" w:rsidR="00D167E7" w:rsidRPr="00BC1DDB" w:rsidRDefault="00D167E7" w:rsidP="002B75EC">
      <w:pPr>
        <w:spacing w:line="480" w:lineRule="auto"/>
        <w:jc w:val="both"/>
        <w:rPr>
          <w:rFonts w:ascii="Times New Roman" w:hAnsi="Times New Roman" w:cs="Times New Roman"/>
          <w:sz w:val="24"/>
          <w:szCs w:val="24"/>
        </w:rPr>
      </w:pPr>
      <w:r w:rsidRPr="00BC1DDB">
        <w:rPr>
          <w:rFonts w:ascii="Times New Roman" w:hAnsi="Times New Roman" w:cs="Times New Roman"/>
          <w:sz w:val="24"/>
          <w:szCs w:val="24"/>
        </w:rPr>
        <w:t>Non-reliance clauses are now commonplace in commercial contracts. Using these provisions parties normally confirm that they have not relied on any representations or warranties save for those expressly stated in the contract.</w:t>
      </w:r>
      <w:r w:rsidRPr="002B75EC">
        <w:rPr>
          <w:rStyle w:val="FootnoteReference"/>
          <w:rFonts w:ascii="Times New Roman" w:hAnsi="Times New Roman" w:cs="Times New Roman"/>
          <w:sz w:val="24"/>
          <w:szCs w:val="24"/>
        </w:rPr>
        <w:footnoteReference w:id="71"/>
      </w:r>
      <w:r w:rsidRPr="00BC1DDB">
        <w:rPr>
          <w:rFonts w:ascii="Times New Roman" w:hAnsi="Times New Roman" w:cs="Times New Roman"/>
          <w:sz w:val="24"/>
          <w:szCs w:val="24"/>
        </w:rPr>
        <w:t xml:space="preserve"> The effect of these type of provision is to limit parties’ </w:t>
      </w:r>
      <w:r w:rsidRPr="00BC1DDB">
        <w:rPr>
          <w:rFonts w:ascii="Times New Roman" w:hAnsi="Times New Roman" w:cs="Times New Roman"/>
          <w:sz w:val="24"/>
          <w:szCs w:val="24"/>
        </w:rPr>
        <w:lastRenderedPageBreak/>
        <w:t xml:space="preserve">potential liability for pre-contractual representations. However, under English law, the effect of non-reliance clause is to raise a contractual estoppel, by which the parties are prevented from asserting the facts contradicting the </w:t>
      </w:r>
      <w:proofErr w:type="gramStart"/>
      <w:r w:rsidRPr="00BC1DDB">
        <w:rPr>
          <w:rFonts w:ascii="Times New Roman" w:hAnsi="Times New Roman" w:cs="Times New Roman"/>
          <w:sz w:val="24"/>
          <w:szCs w:val="24"/>
        </w:rPr>
        <w:t>agreed state of affairs</w:t>
      </w:r>
      <w:proofErr w:type="gramEnd"/>
      <w:r w:rsidRPr="00BC1DDB">
        <w:rPr>
          <w:rFonts w:ascii="Times New Roman" w:hAnsi="Times New Roman" w:cs="Times New Roman"/>
          <w:sz w:val="24"/>
          <w:szCs w:val="24"/>
        </w:rPr>
        <w:t>. A typical non-reliance clause is likely to state: ‘The parties hereby confirm that in entering the contract they have not relied upon any representations or statements made by the other party.’</w:t>
      </w:r>
      <w:r w:rsidRPr="002B75EC">
        <w:rPr>
          <w:rStyle w:val="FootnoteReference"/>
          <w:rFonts w:ascii="Times New Roman" w:hAnsi="Times New Roman" w:cs="Times New Roman"/>
          <w:sz w:val="24"/>
          <w:szCs w:val="24"/>
        </w:rPr>
        <w:footnoteReference w:id="72"/>
      </w:r>
      <w:r w:rsidRPr="00BC1DDB">
        <w:rPr>
          <w:rFonts w:ascii="Times New Roman" w:hAnsi="Times New Roman" w:cs="Times New Roman"/>
          <w:sz w:val="24"/>
          <w:szCs w:val="24"/>
        </w:rPr>
        <w:t xml:space="preserve"> The origin of this type of clauses were discussed in </w:t>
      </w:r>
      <w:r w:rsidRPr="00BC1DDB">
        <w:rPr>
          <w:rFonts w:ascii="Times New Roman" w:hAnsi="Times New Roman" w:cs="Times New Roman"/>
          <w:i/>
          <w:iCs/>
          <w:sz w:val="24"/>
          <w:szCs w:val="24"/>
        </w:rPr>
        <w:t xml:space="preserve">E A </w:t>
      </w:r>
      <w:proofErr w:type="spellStart"/>
      <w:r w:rsidRPr="00BC1DDB">
        <w:rPr>
          <w:rFonts w:ascii="Times New Roman" w:hAnsi="Times New Roman" w:cs="Times New Roman"/>
          <w:i/>
          <w:iCs/>
          <w:sz w:val="24"/>
          <w:szCs w:val="24"/>
        </w:rPr>
        <w:t>Grimstead</w:t>
      </w:r>
      <w:proofErr w:type="spellEnd"/>
      <w:r w:rsidRPr="00BC1DDB">
        <w:rPr>
          <w:rFonts w:ascii="Times New Roman" w:hAnsi="Times New Roman" w:cs="Times New Roman"/>
          <w:i/>
          <w:iCs/>
          <w:sz w:val="24"/>
          <w:szCs w:val="24"/>
        </w:rPr>
        <w:t xml:space="preserve"> &amp; Sons Ltd v </w:t>
      </w:r>
      <w:proofErr w:type="spellStart"/>
      <w:r w:rsidRPr="00BC1DDB">
        <w:rPr>
          <w:rFonts w:ascii="Times New Roman" w:hAnsi="Times New Roman" w:cs="Times New Roman"/>
          <w:i/>
          <w:iCs/>
          <w:sz w:val="24"/>
          <w:szCs w:val="24"/>
        </w:rPr>
        <w:t>McGarrigan</w:t>
      </w:r>
      <w:proofErr w:type="spellEnd"/>
      <w:r w:rsidRPr="00BC1DDB">
        <w:rPr>
          <w:rFonts w:ascii="Times New Roman" w:hAnsi="Times New Roman" w:cs="Times New Roman"/>
          <w:i/>
          <w:iCs/>
          <w:sz w:val="24"/>
          <w:szCs w:val="24"/>
        </w:rPr>
        <w:t>.</w:t>
      </w:r>
      <w:r w:rsidRPr="002B75EC">
        <w:rPr>
          <w:rStyle w:val="FootnoteReference"/>
          <w:rFonts w:ascii="Times New Roman" w:hAnsi="Times New Roman" w:cs="Times New Roman"/>
          <w:i/>
          <w:iCs/>
          <w:sz w:val="24"/>
          <w:szCs w:val="24"/>
        </w:rPr>
        <w:footnoteReference w:id="73"/>
      </w:r>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 xml:space="preserve">Chadwick LJ cited the remarks of Mr Justice Browne-Wilkinson in </w:t>
      </w:r>
      <w:proofErr w:type="spellStart"/>
      <w:r w:rsidRPr="00BC1DDB">
        <w:rPr>
          <w:rFonts w:ascii="Times New Roman" w:hAnsi="Times New Roman" w:cs="Times New Roman"/>
          <w:i/>
          <w:iCs/>
          <w:sz w:val="24"/>
          <w:szCs w:val="24"/>
        </w:rPr>
        <w:t>Alman</w:t>
      </w:r>
      <w:proofErr w:type="spellEnd"/>
      <w:r w:rsidRPr="00BC1DDB">
        <w:rPr>
          <w:rFonts w:ascii="Times New Roman" w:hAnsi="Times New Roman" w:cs="Times New Roman"/>
          <w:i/>
          <w:iCs/>
          <w:sz w:val="24"/>
          <w:szCs w:val="24"/>
        </w:rPr>
        <w:t xml:space="preserve"> and another v Associated Newspaper Group Ltd</w:t>
      </w:r>
      <w:r w:rsidR="00666516">
        <w:rPr>
          <w:rStyle w:val="FootnoteReference"/>
          <w:rFonts w:ascii="Times New Roman" w:hAnsi="Times New Roman" w:cs="Times New Roman"/>
          <w:i/>
          <w:iCs/>
          <w:sz w:val="24"/>
          <w:szCs w:val="24"/>
        </w:rPr>
        <w:footnoteReference w:id="74"/>
      </w:r>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that, ‘if the entire agreement clauses were designed to exclude liability for misrepresentation it would, I think, have to be couched in different terms, for example, a clause acknowledging that the parties had not relied on any representations in entering into the contract.’</w:t>
      </w:r>
      <w:r w:rsidRPr="002B75EC">
        <w:rPr>
          <w:rStyle w:val="FootnoteReference"/>
          <w:rFonts w:ascii="Times New Roman" w:hAnsi="Times New Roman" w:cs="Times New Roman"/>
          <w:sz w:val="24"/>
          <w:szCs w:val="24"/>
        </w:rPr>
        <w:footnoteReference w:id="75"/>
      </w:r>
      <w:r w:rsidRPr="00BC1DDB">
        <w:rPr>
          <w:rFonts w:ascii="Times New Roman" w:hAnsi="Times New Roman" w:cs="Times New Roman"/>
          <w:sz w:val="24"/>
          <w:szCs w:val="24"/>
        </w:rPr>
        <w:t xml:space="preserve"> It was stated in </w:t>
      </w:r>
      <w:proofErr w:type="spellStart"/>
      <w:r w:rsidRPr="00BC1DDB">
        <w:rPr>
          <w:rFonts w:ascii="Times New Roman" w:hAnsi="Times New Roman" w:cs="Times New Roman"/>
          <w:i/>
          <w:iCs/>
          <w:sz w:val="24"/>
          <w:szCs w:val="24"/>
        </w:rPr>
        <w:t>Grimstead</w:t>
      </w:r>
      <w:proofErr w:type="spellEnd"/>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that,</w:t>
      </w:r>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 xml:space="preserve">binding the parties on such statement would be a matter of evidential estoppel, however, </w:t>
      </w:r>
      <w:r w:rsidRPr="00BC1DDB">
        <w:rPr>
          <w:rFonts w:ascii="Times New Roman" w:hAnsi="Times New Roman" w:cs="Times New Roman"/>
          <w:i/>
          <w:iCs/>
          <w:sz w:val="24"/>
          <w:szCs w:val="24"/>
        </w:rPr>
        <w:t xml:space="preserve">Springwell </w:t>
      </w:r>
      <w:r w:rsidRPr="00BC1DDB">
        <w:rPr>
          <w:rFonts w:ascii="Times New Roman" w:hAnsi="Times New Roman" w:cs="Times New Roman"/>
          <w:sz w:val="24"/>
          <w:szCs w:val="24"/>
        </w:rPr>
        <w:t xml:space="preserve">confirmed that, contractual estoppel may arise to hold the parties to non-reliance clauses. Alexander </w:t>
      </w:r>
      <w:proofErr w:type="spellStart"/>
      <w:r w:rsidRPr="00BC1DDB">
        <w:rPr>
          <w:rFonts w:ascii="Times New Roman" w:hAnsi="Times New Roman" w:cs="Times New Roman"/>
          <w:sz w:val="24"/>
          <w:szCs w:val="24"/>
        </w:rPr>
        <w:t>Trukhtanov</w:t>
      </w:r>
      <w:proofErr w:type="spellEnd"/>
      <w:r w:rsidRPr="00BC1DDB">
        <w:rPr>
          <w:rFonts w:ascii="Times New Roman" w:hAnsi="Times New Roman" w:cs="Times New Roman"/>
          <w:sz w:val="24"/>
          <w:szCs w:val="24"/>
        </w:rPr>
        <w:t xml:space="preserve"> considered this as redressing a mischief by finally putting non-reliance clauses on the same footing with entire agreement clauses.</w:t>
      </w:r>
      <w:r w:rsidRPr="002B75EC">
        <w:rPr>
          <w:rStyle w:val="FootnoteReference"/>
          <w:rFonts w:ascii="Times New Roman" w:hAnsi="Times New Roman" w:cs="Times New Roman"/>
          <w:sz w:val="24"/>
          <w:szCs w:val="24"/>
        </w:rPr>
        <w:footnoteReference w:id="76"/>
      </w:r>
      <w:r w:rsidRPr="00BC1DDB">
        <w:rPr>
          <w:rFonts w:ascii="Times New Roman" w:hAnsi="Times New Roman" w:cs="Times New Roman"/>
          <w:sz w:val="24"/>
          <w:szCs w:val="24"/>
        </w:rPr>
        <w:t xml:space="preserve"> </w:t>
      </w:r>
    </w:p>
    <w:p w14:paraId="04A15F74" w14:textId="77777777" w:rsidR="00DE24A4" w:rsidRPr="002B75EC" w:rsidRDefault="00DE24A4" w:rsidP="002B75EC">
      <w:pPr>
        <w:pStyle w:val="ListParagraph"/>
        <w:spacing w:line="480" w:lineRule="auto"/>
        <w:jc w:val="both"/>
        <w:rPr>
          <w:rFonts w:ascii="Times New Roman" w:hAnsi="Times New Roman" w:cs="Times New Roman"/>
          <w:sz w:val="24"/>
          <w:szCs w:val="24"/>
          <w:u w:val="single"/>
        </w:rPr>
      </w:pPr>
    </w:p>
    <w:p w14:paraId="7058B02E" w14:textId="15508FEA" w:rsidR="0020442E" w:rsidRPr="00BC1DDB" w:rsidRDefault="00D167E7" w:rsidP="00BC1DDB">
      <w:pPr>
        <w:spacing w:line="480" w:lineRule="auto"/>
        <w:jc w:val="both"/>
        <w:rPr>
          <w:rFonts w:ascii="Times New Roman" w:hAnsi="Times New Roman" w:cs="Times New Roman"/>
          <w:sz w:val="24"/>
          <w:szCs w:val="24"/>
        </w:rPr>
      </w:pPr>
      <w:r w:rsidRPr="00BC1DDB">
        <w:rPr>
          <w:rFonts w:ascii="Times New Roman" w:hAnsi="Times New Roman" w:cs="Times New Roman"/>
          <w:sz w:val="24"/>
          <w:szCs w:val="24"/>
        </w:rPr>
        <w:t xml:space="preserve">As the effect in </w:t>
      </w:r>
      <w:r w:rsidRPr="00BC1DDB">
        <w:rPr>
          <w:rFonts w:ascii="Times New Roman" w:hAnsi="Times New Roman" w:cs="Times New Roman"/>
          <w:i/>
          <w:iCs/>
          <w:sz w:val="24"/>
          <w:szCs w:val="24"/>
        </w:rPr>
        <w:t xml:space="preserve">Springwell </w:t>
      </w:r>
      <w:r w:rsidRPr="00BC1DDB">
        <w:rPr>
          <w:rFonts w:ascii="Times New Roman" w:hAnsi="Times New Roman" w:cs="Times New Roman"/>
          <w:sz w:val="24"/>
          <w:szCs w:val="24"/>
        </w:rPr>
        <w:t>was decisive, the investor was contractually estopped from alleging that an actionable misrepresentation was made by the bank.</w:t>
      </w:r>
      <w:r w:rsidRPr="002B75EC">
        <w:rPr>
          <w:rStyle w:val="FootnoteReference"/>
          <w:rFonts w:ascii="Times New Roman" w:hAnsi="Times New Roman" w:cs="Times New Roman"/>
          <w:sz w:val="24"/>
          <w:szCs w:val="24"/>
        </w:rPr>
        <w:footnoteReference w:id="77"/>
      </w:r>
      <w:r w:rsidRPr="00BC1DDB">
        <w:rPr>
          <w:rFonts w:ascii="Times New Roman" w:hAnsi="Times New Roman" w:cs="Times New Roman"/>
          <w:sz w:val="24"/>
          <w:szCs w:val="24"/>
        </w:rPr>
        <w:t xml:space="preserve"> This part of the decision in </w:t>
      </w:r>
      <w:r w:rsidRPr="00BC1DDB">
        <w:rPr>
          <w:rFonts w:ascii="Times New Roman" w:hAnsi="Times New Roman" w:cs="Times New Roman"/>
          <w:i/>
          <w:iCs/>
          <w:sz w:val="24"/>
          <w:szCs w:val="24"/>
        </w:rPr>
        <w:t xml:space="preserve">Springwell </w:t>
      </w:r>
      <w:r w:rsidRPr="00BC1DDB">
        <w:rPr>
          <w:rFonts w:ascii="Times New Roman" w:hAnsi="Times New Roman" w:cs="Times New Roman"/>
          <w:sz w:val="24"/>
          <w:szCs w:val="24"/>
        </w:rPr>
        <w:t xml:space="preserve">has been widely applied in later cases. In recent case </w:t>
      </w:r>
      <w:r w:rsidRPr="00BC1DDB">
        <w:rPr>
          <w:rFonts w:ascii="Times New Roman" w:hAnsi="Times New Roman" w:cs="Times New Roman"/>
          <w:i/>
          <w:iCs/>
          <w:sz w:val="24"/>
          <w:szCs w:val="24"/>
        </w:rPr>
        <w:t xml:space="preserve">Barclays Bank v </w:t>
      </w:r>
      <w:proofErr w:type="spellStart"/>
      <w:r w:rsidRPr="00BC1DDB">
        <w:rPr>
          <w:rFonts w:ascii="Times New Roman" w:hAnsi="Times New Roman" w:cs="Times New Roman"/>
          <w:i/>
          <w:iCs/>
          <w:sz w:val="24"/>
          <w:szCs w:val="24"/>
        </w:rPr>
        <w:t>Svizera</w:t>
      </w:r>
      <w:proofErr w:type="spellEnd"/>
      <w:r w:rsidRPr="00BC1DDB">
        <w:rPr>
          <w:rFonts w:ascii="Times New Roman" w:hAnsi="Times New Roman" w:cs="Times New Roman"/>
          <w:i/>
          <w:iCs/>
          <w:sz w:val="24"/>
          <w:szCs w:val="24"/>
        </w:rPr>
        <w:t xml:space="preserve"> Holdings BV</w:t>
      </w:r>
      <w:r w:rsidRPr="002B75EC">
        <w:rPr>
          <w:rStyle w:val="FootnoteReference"/>
          <w:rFonts w:ascii="Times New Roman" w:hAnsi="Times New Roman" w:cs="Times New Roman"/>
          <w:i/>
          <w:iCs/>
          <w:sz w:val="24"/>
          <w:szCs w:val="24"/>
        </w:rPr>
        <w:footnoteReference w:id="78"/>
      </w:r>
      <w:r w:rsidRPr="00BC1DDB">
        <w:rPr>
          <w:rFonts w:ascii="Times New Roman" w:hAnsi="Times New Roman" w:cs="Times New Roman"/>
          <w:sz w:val="24"/>
          <w:szCs w:val="24"/>
        </w:rPr>
        <w:t xml:space="preserve"> non-reliance clause was considered in a Mandate letter for a syndicate loan, </w:t>
      </w:r>
      <w:r w:rsidRPr="00BC1DDB">
        <w:rPr>
          <w:rFonts w:ascii="Times New Roman" w:hAnsi="Times New Roman" w:cs="Times New Roman"/>
          <w:sz w:val="24"/>
          <w:szCs w:val="24"/>
        </w:rPr>
        <w:lastRenderedPageBreak/>
        <w:t xml:space="preserve">where court cited the authority of </w:t>
      </w:r>
      <w:proofErr w:type="spellStart"/>
      <w:r w:rsidRPr="00BC1DDB">
        <w:rPr>
          <w:rFonts w:ascii="Times New Roman" w:hAnsi="Times New Roman" w:cs="Times New Roman"/>
          <w:i/>
          <w:iCs/>
          <w:sz w:val="24"/>
          <w:szCs w:val="24"/>
        </w:rPr>
        <w:t>Peekay</w:t>
      </w:r>
      <w:proofErr w:type="spellEnd"/>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 xml:space="preserve">and </w:t>
      </w:r>
      <w:r w:rsidRPr="00BC1DDB">
        <w:rPr>
          <w:rFonts w:ascii="Times New Roman" w:hAnsi="Times New Roman" w:cs="Times New Roman"/>
          <w:i/>
          <w:iCs/>
          <w:sz w:val="24"/>
          <w:szCs w:val="24"/>
        </w:rPr>
        <w:t>Springwell</w:t>
      </w:r>
      <w:r w:rsidRPr="00BC1DDB">
        <w:rPr>
          <w:rFonts w:ascii="Times New Roman" w:hAnsi="Times New Roman" w:cs="Times New Roman"/>
          <w:sz w:val="24"/>
          <w:szCs w:val="24"/>
        </w:rPr>
        <w:t>. It was stated that, the party may be contractually estopped from alleging that he relied upon a representation in entering the contract.</w:t>
      </w:r>
      <w:r w:rsidRPr="002B75EC">
        <w:rPr>
          <w:rStyle w:val="FootnoteReference"/>
          <w:rFonts w:ascii="Times New Roman" w:hAnsi="Times New Roman" w:cs="Times New Roman"/>
          <w:sz w:val="24"/>
          <w:szCs w:val="24"/>
        </w:rPr>
        <w:footnoteReference w:id="79"/>
      </w:r>
      <w:r w:rsidRPr="00BC1DDB">
        <w:rPr>
          <w:rFonts w:ascii="Times New Roman" w:hAnsi="Times New Roman" w:cs="Times New Roman"/>
          <w:sz w:val="24"/>
          <w:szCs w:val="24"/>
        </w:rPr>
        <w:t xml:space="preserve"> An argument was made by the borrower in </w:t>
      </w:r>
      <w:r w:rsidRPr="00BC1DDB">
        <w:rPr>
          <w:rFonts w:ascii="Times New Roman" w:hAnsi="Times New Roman" w:cs="Times New Roman"/>
          <w:i/>
          <w:iCs/>
          <w:sz w:val="24"/>
          <w:szCs w:val="24"/>
        </w:rPr>
        <w:t xml:space="preserve">Barclays Bank </w:t>
      </w:r>
      <w:r w:rsidRPr="00BC1DDB">
        <w:rPr>
          <w:rFonts w:ascii="Times New Roman" w:hAnsi="Times New Roman" w:cs="Times New Roman"/>
          <w:sz w:val="24"/>
          <w:szCs w:val="24"/>
        </w:rPr>
        <w:t>that, the drafting of the clause should be struck down under sections 3 and 11 of Unfair Contract Terms Act 1977</w:t>
      </w:r>
      <w:r w:rsidR="00405A44" w:rsidRPr="00BC1DDB">
        <w:rPr>
          <w:rFonts w:ascii="Times New Roman" w:hAnsi="Times New Roman" w:cs="Times New Roman"/>
          <w:sz w:val="24"/>
          <w:szCs w:val="24"/>
        </w:rPr>
        <w:t xml:space="preserve"> (</w:t>
      </w:r>
      <w:r w:rsidR="00BB4534" w:rsidRPr="00BC1DDB">
        <w:rPr>
          <w:rFonts w:ascii="Times New Roman" w:hAnsi="Times New Roman" w:cs="Times New Roman"/>
          <w:sz w:val="24"/>
          <w:szCs w:val="24"/>
        </w:rPr>
        <w:t>“</w:t>
      </w:r>
      <w:r w:rsidR="00405A44" w:rsidRPr="00BC1DDB">
        <w:rPr>
          <w:rFonts w:ascii="Times New Roman" w:hAnsi="Times New Roman" w:cs="Times New Roman"/>
          <w:sz w:val="24"/>
          <w:szCs w:val="24"/>
        </w:rPr>
        <w:t>UCTA</w:t>
      </w:r>
      <w:r w:rsidR="00BB4534" w:rsidRPr="00BC1DDB">
        <w:rPr>
          <w:rFonts w:ascii="Times New Roman" w:hAnsi="Times New Roman" w:cs="Times New Roman"/>
          <w:sz w:val="24"/>
          <w:szCs w:val="24"/>
        </w:rPr>
        <w:t>”</w:t>
      </w:r>
      <w:r w:rsidR="00405A44" w:rsidRPr="00BC1DDB">
        <w:rPr>
          <w:rFonts w:ascii="Times New Roman" w:hAnsi="Times New Roman" w:cs="Times New Roman"/>
          <w:sz w:val="24"/>
          <w:szCs w:val="24"/>
        </w:rPr>
        <w:t>)</w:t>
      </w:r>
      <w:r w:rsidRPr="00BC1DDB">
        <w:rPr>
          <w:rFonts w:ascii="Times New Roman" w:hAnsi="Times New Roman" w:cs="Times New Roman"/>
          <w:sz w:val="24"/>
          <w:szCs w:val="24"/>
        </w:rPr>
        <w:t xml:space="preserve">, which was described as hopeless. This has created the debate whether this type of drafting should fall under UCTA. It was assumed in </w:t>
      </w:r>
      <w:proofErr w:type="spellStart"/>
      <w:r w:rsidRPr="00BC1DDB">
        <w:rPr>
          <w:rFonts w:ascii="Times New Roman" w:hAnsi="Times New Roman" w:cs="Times New Roman"/>
          <w:i/>
          <w:iCs/>
          <w:sz w:val="24"/>
          <w:szCs w:val="24"/>
        </w:rPr>
        <w:t>Grimstead</w:t>
      </w:r>
      <w:proofErr w:type="spellEnd"/>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 xml:space="preserve">that, UCTA would apply because the drafting was found to be terms which exclude any remedy available to a party to a contract by reason of a pre-contractual misrepresentation. In </w:t>
      </w:r>
      <w:proofErr w:type="spellStart"/>
      <w:r w:rsidRPr="00BC1DDB">
        <w:rPr>
          <w:rFonts w:ascii="Times New Roman" w:hAnsi="Times New Roman" w:cs="Times New Roman"/>
          <w:i/>
          <w:iCs/>
          <w:sz w:val="24"/>
          <w:szCs w:val="24"/>
        </w:rPr>
        <w:t>Grimstead</w:t>
      </w:r>
      <w:proofErr w:type="spellEnd"/>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it was noted by Judge that, the court should not refuse to give effect to an acknowledgement of non-reliance in a commercial contract between parties with equal bargaining power and experience, where they have the benefit of professional advice.</w:t>
      </w:r>
      <w:r w:rsidRPr="002B75EC">
        <w:rPr>
          <w:rStyle w:val="FootnoteReference"/>
          <w:rFonts w:ascii="Times New Roman" w:hAnsi="Times New Roman" w:cs="Times New Roman"/>
          <w:sz w:val="24"/>
          <w:szCs w:val="24"/>
        </w:rPr>
        <w:footnoteReference w:id="80"/>
      </w:r>
      <w:r w:rsidRPr="00BC1DDB">
        <w:rPr>
          <w:rFonts w:ascii="Times New Roman" w:hAnsi="Times New Roman" w:cs="Times New Roman"/>
          <w:sz w:val="24"/>
          <w:szCs w:val="24"/>
        </w:rPr>
        <w:t xml:space="preserve"> There were two reasons; firstly, to avoid the uncertainty of litigation </w:t>
      </w:r>
      <w:r w:rsidR="0020442E" w:rsidRPr="00BC1DDB">
        <w:rPr>
          <w:rFonts w:ascii="Times New Roman" w:hAnsi="Times New Roman" w:cs="Times New Roman"/>
          <w:sz w:val="24"/>
          <w:szCs w:val="24"/>
        </w:rPr>
        <w:t xml:space="preserve">to uphold the parties’ intention over oral discussion at pre-contractual meetings; and </w:t>
      </w:r>
      <w:r w:rsidR="00287150" w:rsidRPr="00BC1DDB">
        <w:rPr>
          <w:rFonts w:ascii="Times New Roman" w:hAnsi="Times New Roman" w:cs="Times New Roman"/>
          <w:sz w:val="24"/>
          <w:szCs w:val="24"/>
        </w:rPr>
        <w:t xml:space="preserve">secondly, </w:t>
      </w:r>
      <w:r w:rsidR="0020442E" w:rsidRPr="00BC1DDB">
        <w:rPr>
          <w:rFonts w:ascii="Times New Roman" w:hAnsi="Times New Roman" w:cs="Times New Roman"/>
          <w:sz w:val="24"/>
          <w:szCs w:val="24"/>
        </w:rPr>
        <w:t>because the price would have reflected the risk that the parties had agreed to take.</w:t>
      </w:r>
      <w:r w:rsidR="0020442E" w:rsidRPr="002B75EC">
        <w:rPr>
          <w:rStyle w:val="FootnoteReference"/>
          <w:rFonts w:ascii="Times New Roman" w:hAnsi="Times New Roman" w:cs="Times New Roman"/>
          <w:sz w:val="24"/>
          <w:szCs w:val="24"/>
        </w:rPr>
        <w:footnoteReference w:id="81"/>
      </w:r>
    </w:p>
    <w:p w14:paraId="1F5EE220" w14:textId="77777777" w:rsidR="00F83178" w:rsidRPr="002B75EC" w:rsidRDefault="00F83178" w:rsidP="002B75EC">
      <w:pPr>
        <w:pStyle w:val="ListParagraph"/>
        <w:spacing w:line="480" w:lineRule="auto"/>
        <w:jc w:val="both"/>
        <w:rPr>
          <w:rFonts w:ascii="Times New Roman" w:hAnsi="Times New Roman" w:cs="Times New Roman"/>
          <w:sz w:val="24"/>
          <w:szCs w:val="24"/>
        </w:rPr>
      </w:pPr>
    </w:p>
    <w:p w14:paraId="3CECA470" w14:textId="579EB51A" w:rsidR="0020442E" w:rsidRPr="00DE24A4" w:rsidRDefault="0020442E" w:rsidP="002B75EC">
      <w:pPr>
        <w:pStyle w:val="ListParagraph"/>
        <w:numPr>
          <w:ilvl w:val="1"/>
          <w:numId w:val="10"/>
        </w:numPr>
        <w:spacing w:line="480" w:lineRule="auto"/>
        <w:jc w:val="both"/>
        <w:rPr>
          <w:rFonts w:ascii="Times New Roman" w:hAnsi="Times New Roman" w:cs="Times New Roman"/>
          <w:b/>
          <w:bCs/>
          <w:sz w:val="24"/>
          <w:szCs w:val="24"/>
        </w:rPr>
      </w:pPr>
      <w:r w:rsidRPr="00DE24A4">
        <w:rPr>
          <w:rFonts w:ascii="Times New Roman" w:hAnsi="Times New Roman" w:cs="Times New Roman"/>
          <w:b/>
          <w:bCs/>
          <w:sz w:val="24"/>
          <w:szCs w:val="24"/>
          <w:u w:val="single"/>
        </w:rPr>
        <w:t>Entire Agreement Clause:</w:t>
      </w:r>
    </w:p>
    <w:p w14:paraId="3AC78401" w14:textId="77777777" w:rsidR="0020442E" w:rsidRPr="00BC1DDB" w:rsidRDefault="0020442E" w:rsidP="002B75EC">
      <w:pPr>
        <w:spacing w:line="480" w:lineRule="auto"/>
        <w:jc w:val="both"/>
        <w:rPr>
          <w:rFonts w:ascii="Times New Roman" w:hAnsi="Times New Roman" w:cs="Times New Roman"/>
          <w:sz w:val="24"/>
          <w:szCs w:val="24"/>
        </w:rPr>
      </w:pPr>
      <w:r w:rsidRPr="00BC1DDB">
        <w:rPr>
          <w:rFonts w:ascii="Times New Roman" w:hAnsi="Times New Roman" w:cs="Times New Roman"/>
          <w:sz w:val="24"/>
          <w:szCs w:val="24"/>
        </w:rPr>
        <w:t>Entire agreement clause is another widely adopted provision in commercial contracts like non-reliance and no representation clauses. An entire agreement clause is a contractual provision by which parties to a contract agree that the entirety of their agreement on a specific subject matter is recorded in a written instrument identified by clause.</w:t>
      </w:r>
      <w:r w:rsidRPr="002B75EC">
        <w:rPr>
          <w:rStyle w:val="FootnoteReference"/>
          <w:rFonts w:ascii="Times New Roman" w:hAnsi="Times New Roman" w:cs="Times New Roman"/>
          <w:sz w:val="24"/>
          <w:szCs w:val="24"/>
        </w:rPr>
        <w:footnoteReference w:id="82"/>
      </w:r>
      <w:r w:rsidRPr="00BC1DDB">
        <w:rPr>
          <w:rFonts w:ascii="Times New Roman" w:hAnsi="Times New Roman" w:cs="Times New Roman"/>
          <w:sz w:val="24"/>
          <w:szCs w:val="24"/>
        </w:rPr>
        <w:t xml:space="preserve"> The status and interpretation of entire agreement clauses is highly fact specific, but usually been treated by the courts as contractual terms. It was stated by Lightman J in </w:t>
      </w:r>
      <w:proofErr w:type="spellStart"/>
      <w:r w:rsidRPr="00BC1DDB">
        <w:rPr>
          <w:rFonts w:ascii="Times New Roman" w:hAnsi="Times New Roman" w:cs="Times New Roman"/>
          <w:i/>
          <w:iCs/>
          <w:sz w:val="24"/>
          <w:szCs w:val="24"/>
        </w:rPr>
        <w:t>Inntrepreneur</w:t>
      </w:r>
      <w:proofErr w:type="spellEnd"/>
      <w:r w:rsidRPr="00BC1DDB">
        <w:rPr>
          <w:rFonts w:ascii="Times New Roman" w:hAnsi="Times New Roman" w:cs="Times New Roman"/>
          <w:i/>
          <w:iCs/>
          <w:sz w:val="24"/>
          <w:szCs w:val="24"/>
        </w:rPr>
        <w:t xml:space="preserve"> Pub Co v East Crown Ltd</w:t>
      </w:r>
      <w:r w:rsidRPr="002B75EC">
        <w:rPr>
          <w:rStyle w:val="FootnoteReference"/>
          <w:rFonts w:ascii="Times New Roman" w:hAnsi="Times New Roman" w:cs="Times New Roman"/>
          <w:i/>
          <w:iCs/>
          <w:sz w:val="24"/>
          <w:szCs w:val="24"/>
        </w:rPr>
        <w:footnoteReference w:id="83"/>
      </w:r>
      <w:r w:rsidRPr="00BC1DDB">
        <w:rPr>
          <w:rFonts w:ascii="Times New Roman" w:hAnsi="Times New Roman" w:cs="Times New Roman"/>
          <w:sz w:val="24"/>
          <w:szCs w:val="24"/>
        </w:rPr>
        <w:t xml:space="preserve"> </w:t>
      </w:r>
      <w:r w:rsidRPr="00BC1DDB">
        <w:rPr>
          <w:rFonts w:ascii="Times New Roman" w:hAnsi="Times New Roman" w:cs="Times New Roman"/>
          <w:sz w:val="24"/>
          <w:szCs w:val="24"/>
        </w:rPr>
        <w:lastRenderedPageBreak/>
        <w:t xml:space="preserve">that ‘entire agreement clause constitutes a binding agreement between parties that the full contractual terms are to be found in the document containing the clause and not elsewhere, and any </w:t>
      </w:r>
      <w:proofErr w:type="spellStart"/>
      <w:r w:rsidRPr="00BC1DDB">
        <w:rPr>
          <w:rFonts w:ascii="Times New Roman" w:hAnsi="Times New Roman" w:cs="Times New Roman"/>
          <w:sz w:val="24"/>
          <w:szCs w:val="24"/>
        </w:rPr>
        <w:t>assuarance</w:t>
      </w:r>
      <w:proofErr w:type="spellEnd"/>
      <w:r w:rsidRPr="00BC1DDB">
        <w:rPr>
          <w:rFonts w:ascii="Times New Roman" w:hAnsi="Times New Roman" w:cs="Times New Roman"/>
          <w:sz w:val="24"/>
          <w:szCs w:val="24"/>
        </w:rPr>
        <w:t xml:space="preserve"> or promises made outside the documents stated n clause shall have no contractual force.’</w:t>
      </w:r>
      <w:r w:rsidRPr="002B75EC">
        <w:rPr>
          <w:rStyle w:val="FootnoteReference"/>
          <w:rFonts w:ascii="Times New Roman" w:hAnsi="Times New Roman" w:cs="Times New Roman"/>
          <w:sz w:val="24"/>
          <w:szCs w:val="24"/>
        </w:rPr>
        <w:footnoteReference w:id="84"/>
      </w:r>
      <w:r w:rsidRPr="00BC1DDB">
        <w:rPr>
          <w:rFonts w:ascii="Times New Roman" w:hAnsi="Times New Roman" w:cs="Times New Roman"/>
          <w:sz w:val="24"/>
          <w:szCs w:val="24"/>
        </w:rPr>
        <w:t xml:space="preserve"> However, in </w:t>
      </w:r>
      <w:proofErr w:type="spellStart"/>
      <w:r w:rsidRPr="00BC1DDB">
        <w:rPr>
          <w:rFonts w:ascii="Times New Roman" w:hAnsi="Times New Roman" w:cs="Times New Roman"/>
          <w:i/>
          <w:iCs/>
          <w:sz w:val="24"/>
          <w:szCs w:val="24"/>
        </w:rPr>
        <w:t>Axa</w:t>
      </w:r>
      <w:proofErr w:type="spellEnd"/>
      <w:r w:rsidRPr="00BC1DDB">
        <w:rPr>
          <w:rFonts w:ascii="Times New Roman" w:hAnsi="Times New Roman" w:cs="Times New Roman"/>
          <w:i/>
          <w:iCs/>
          <w:sz w:val="24"/>
          <w:szCs w:val="24"/>
        </w:rPr>
        <w:t xml:space="preserve"> Sun Life Services plc v Campbell Martin Ltd</w:t>
      </w:r>
      <w:r w:rsidRPr="002B75EC">
        <w:rPr>
          <w:rStyle w:val="FootnoteReference"/>
          <w:rFonts w:ascii="Times New Roman" w:hAnsi="Times New Roman" w:cs="Times New Roman"/>
          <w:i/>
          <w:iCs/>
          <w:sz w:val="24"/>
          <w:szCs w:val="24"/>
        </w:rPr>
        <w:footnoteReference w:id="85"/>
      </w:r>
      <w:r w:rsidRPr="00BC1DDB">
        <w:rPr>
          <w:rFonts w:ascii="Times New Roman" w:hAnsi="Times New Roman" w:cs="Times New Roman"/>
          <w:sz w:val="24"/>
          <w:szCs w:val="24"/>
        </w:rPr>
        <w:t xml:space="preserve"> the court of appeal decided that contractual estoppel was the basis on which an entire agreement clause took effect in accordance with its terms. Similarly, </w:t>
      </w:r>
      <w:proofErr w:type="spellStart"/>
      <w:r w:rsidRPr="00BC1DDB">
        <w:rPr>
          <w:rFonts w:ascii="Times New Roman" w:hAnsi="Times New Roman" w:cs="Times New Roman"/>
          <w:sz w:val="24"/>
          <w:szCs w:val="24"/>
        </w:rPr>
        <w:t>Hamblen</w:t>
      </w:r>
      <w:proofErr w:type="spellEnd"/>
      <w:r w:rsidRPr="00BC1DDB">
        <w:rPr>
          <w:rFonts w:ascii="Times New Roman" w:hAnsi="Times New Roman" w:cs="Times New Roman"/>
          <w:sz w:val="24"/>
          <w:szCs w:val="24"/>
        </w:rPr>
        <w:t xml:space="preserve"> J in </w:t>
      </w:r>
      <w:r w:rsidRPr="00BC1DDB">
        <w:rPr>
          <w:rFonts w:ascii="Times New Roman" w:hAnsi="Times New Roman" w:cs="Times New Roman"/>
          <w:i/>
          <w:iCs/>
          <w:sz w:val="24"/>
          <w:szCs w:val="24"/>
        </w:rPr>
        <w:t>Standard Chartered Bank v Ceylon Petroleum Corporation</w:t>
      </w:r>
      <w:r w:rsidRPr="002B75EC">
        <w:rPr>
          <w:rStyle w:val="FootnoteReference"/>
          <w:rFonts w:ascii="Times New Roman" w:hAnsi="Times New Roman" w:cs="Times New Roman"/>
          <w:i/>
          <w:iCs/>
          <w:sz w:val="24"/>
          <w:szCs w:val="24"/>
        </w:rPr>
        <w:footnoteReference w:id="86"/>
      </w:r>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 xml:space="preserve">stated that because of contractual estoppel an entire agreement clause incorporating non-reliance clause took effect, thereby any non-fraudulent representations were prevented. Therefore, it </w:t>
      </w:r>
      <w:proofErr w:type="gramStart"/>
      <w:r w:rsidRPr="00BC1DDB">
        <w:rPr>
          <w:rFonts w:ascii="Times New Roman" w:hAnsi="Times New Roman" w:cs="Times New Roman"/>
          <w:sz w:val="24"/>
          <w:szCs w:val="24"/>
        </w:rPr>
        <w:t>can be seen as</w:t>
      </w:r>
      <w:proofErr w:type="gramEnd"/>
      <w:r w:rsidRPr="00BC1DDB">
        <w:rPr>
          <w:rFonts w:ascii="Times New Roman" w:hAnsi="Times New Roman" w:cs="Times New Roman"/>
          <w:sz w:val="24"/>
          <w:szCs w:val="24"/>
        </w:rPr>
        <w:t xml:space="preserve"> a convergence between the legal effects of non-reliance and entire agreement clauses.</w:t>
      </w:r>
    </w:p>
    <w:p w14:paraId="131FFF25" w14:textId="77777777" w:rsidR="0020442E" w:rsidRPr="002B75EC" w:rsidRDefault="0020442E" w:rsidP="002B75EC">
      <w:pPr>
        <w:pStyle w:val="ListParagraph"/>
        <w:spacing w:line="480" w:lineRule="auto"/>
        <w:jc w:val="both"/>
        <w:rPr>
          <w:rFonts w:ascii="Times New Roman" w:hAnsi="Times New Roman" w:cs="Times New Roman"/>
          <w:sz w:val="24"/>
          <w:szCs w:val="24"/>
        </w:rPr>
      </w:pPr>
    </w:p>
    <w:p w14:paraId="4D8BEDAE" w14:textId="77777777" w:rsidR="0020442E" w:rsidRPr="00BC1DDB" w:rsidRDefault="0020442E" w:rsidP="00BC1DDB">
      <w:pPr>
        <w:spacing w:line="480" w:lineRule="auto"/>
        <w:jc w:val="both"/>
        <w:rPr>
          <w:rFonts w:ascii="Times New Roman" w:hAnsi="Times New Roman" w:cs="Times New Roman"/>
          <w:sz w:val="24"/>
          <w:szCs w:val="24"/>
          <w:u w:val="single"/>
        </w:rPr>
      </w:pPr>
      <w:r w:rsidRPr="00BC1DDB">
        <w:rPr>
          <w:rFonts w:ascii="Times New Roman" w:hAnsi="Times New Roman" w:cs="Times New Roman"/>
          <w:sz w:val="24"/>
          <w:szCs w:val="24"/>
        </w:rPr>
        <w:t xml:space="preserve">Wide adoption of non-reliance and entire agreement clauses in commercial contracts </w:t>
      </w:r>
      <w:proofErr w:type="gramStart"/>
      <w:r w:rsidRPr="00BC1DDB">
        <w:rPr>
          <w:rFonts w:ascii="Times New Roman" w:hAnsi="Times New Roman" w:cs="Times New Roman"/>
          <w:sz w:val="24"/>
          <w:szCs w:val="24"/>
        </w:rPr>
        <w:t>for the purpose of</w:t>
      </w:r>
      <w:proofErr w:type="gramEnd"/>
      <w:r w:rsidRPr="00BC1DDB">
        <w:rPr>
          <w:rFonts w:ascii="Times New Roman" w:hAnsi="Times New Roman" w:cs="Times New Roman"/>
          <w:sz w:val="24"/>
          <w:szCs w:val="24"/>
        </w:rPr>
        <w:t xml:space="preserve"> contractual estoppel give rise to the debate whether these clauses are subject to UCTA reasonableness test. The Court of Appeal in </w:t>
      </w:r>
      <w:proofErr w:type="spellStart"/>
      <w:r w:rsidRPr="00BC1DDB">
        <w:rPr>
          <w:rFonts w:ascii="Times New Roman" w:hAnsi="Times New Roman" w:cs="Times New Roman"/>
          <w:i/>
          <w:iCs/>
          <w:sz w:val="24"/>
          <w:szCs w:val="24"/>
        </w:rPr>
        <w:t>Axa</w:t>
      </w:r>
      <w:proofErr w:type="spellEnd"/>
      <w:r w:rsidRPr="00BC1DDB">
        <w:rPr>
          <w:rFonts w:ascii="Times New Roman" w:hAnsi="Times New Roman" w:cs="Times New Roman"/>
          <w:i/>
          <w:iCs/>
          <w:sz w:val="24"/>
          <w:szCs w:val="24"/>
        </w:rPr>
        <w:t xml:space="preserve"> Sun Life </w:t>
      </w:r>
      <w:r w:rsidRPr="00BC1DDB">
        <w:rPr>
          <w:rFonts w:ascii="Times New Roman" w:hAnsi="Times New Roman" w:cs="Times New Roman"/>
          <w:sz w:val="24"/>
          <w:szCs w:val="24"/>
        </w:rPr>
        <w:t>held that UCTA reasonableness requirement did apply to the entire agreement clause in this case. However, prior to applying test, Stanley Burton LJ held that an entire agreement clause is not an exemption clause of kind where UCTA is concerned.</w:t>
      </w:r>
      <w:r w:rsidRPr="002B75EC">
        <w:rPr>
          <w:rStyle w:val="FootnoteReference"/>
          <w:rFonts w:ascii="Times New Roman" w:hAnsi="Times New Roman" w:cs="Times New Roman"/>
          <w:sz w:val="24"/>
          <w:szCs w:val="24"/>
        </w:rPr>
        <w:footnoteReference w:id="87"/>
      </w:r>
      <w:r w:rsidRPr="00BC1DDB">
        <w:rPr>
          <w:rFonts w:ascii="Times New Roman" w:hAnsi="Times New Roman" w:cs="Times New Roman"/>
          <w:sz w:val="24"/>
          <w:szCs w:val="24"/>
        </w:rPr>
        <w:t xml:space="preserve"> In addition, as the clause prevented collateral warranties coming to existence, rather than excluding liability, section 3(2)(b)(</w:t>
      </w:r>
      <w:proofErr w:type="spellStart"/>
      <w:r w:rsidRPr="00BC1DDB">
        <w:rPr>
          <w:rFonts w:ascii="Times New Roman" w:hAnsi="Times New Roman" w:cs="Times New Roman"/>
          <w:sz w:val="24"/>
          <w:szCs w:val="24"/>
        </w:rPr>
        <w:t>i</w:t>
      </w:r>
      <w:proofErr w:type="spellEnd"/>
      <w:r w:rsidRPr="00BC1DDB">
        <w:rPr>
          <w:rFonts w:ascii="Times New Roman" w:hAnsi="Times New Roman" w:cs="Times New Roman"/>
          <w:sz w:val="24"/>
          <w:szCs w:val="24"/>
        </w:rPr>
        <w:t>) of UCTA did not apply. However, it was held that section 3(2)(a)(</w:t>
      </w:r>
      <w:proofErr w:type="spellStart"/>
      <w:r w:rsidRPr="00BC1DDB">
        <w:rPr>
          <w:rFonts w:ascii="Times New Roman" w:hAnsi="Times New Roman" w:cs="Times New Roman"/>
          <w:sz w:val="24"/>
          <w:szCs w:val="24"/>
        </w:rPr>
        <w:t>i</w:t>
      </w:r>
      <w:proofErr w:type="spellEnd"/>
      <w:r w:rsidRPr="00BC1DDB">
        <w:rPr>
          <w:rFonts w:ascii="Times New Roman" w:hAnsi="Times New Roman" w:cs="Times New Roman"/>
          <w:sz w:val="24"/>
          <w:szCs w:val="24"/>
        </w:rPr>
        <w:t xml:space="preserve">) of UCTA applied, because the objective of the clause may be to allow party to render performance substantially different to that which was expected. Despite all these debate, Stanley Burton LJ in </w:t>
      </w:r>
      <w:proofErr w:type="spellStart"/>
      <w:r w:rsidRPr="00BC1DDB">
        <w:rPr>
          <w:rFonts w:ascii="Times New Roman" w:hAnsi="Times New Roman" w:cs="Times New Roman"/>
          <w:i/>
          <w:iCs/>
          <w:sz w:val="24"/>
          <w:szCs w:val="24"/>
        </w:rPr>
        <w:t>Axa</w:t>
      </w:r>
      <w:proofErr w:type="spellEnd"/>
      <w:r w:rsidRPr="00BC1DDB">
        <w:rPr>
          <w:rFonts w:ascii="Times New Roman" w:hAnsi="Times New Roman" w:cs="Times New Roman"/>
          <w:i/>
          <w:iCs/>
          <w:sz w:val="24"/>
          <w:szCs w:val="24"/>
        </w:rPr>
        <w:t xml:space="preserve"> Sun Life </w:t>
      </w:r>
      <w:r w:rsidRPr="00BC1DDB">
        <w:rPr>
          <w:rFonts w:ascii="Times New Roman" w:hAnsi="Times New Roman" w:cs="Times New Roman"/>
          <w:sz w:val="24"/>
          <w:szCs w:val="24"/>
        </w:rPr>
        <w:t xml:space="preserve">held that, applying UCTA </w:t>
      </w:r>
      <w:proofErr w:type="spellStart"/>
      <w:r w:rsidRPr="00BC1DDB">
        <w:rPr>
          <w:rFonts w:ascii="Times New Roman" w:hAnsi="Times New Roman" w:cs="Times New Roman"/>
          <w:sz w:val="24"/>
          <w:szCs w:val="24"/>
        </w:rPr>
        <w:t>Axa’s</w:t>
      </w:r>
      <w:proofErr w:type="spellEnd"/>
      <w:r w:rsidRPr="00BC1DDB">
        <w:rPr>
          <w:rFonts w:ascii="Times New Roman" w:hAnsi="Times New Roman" w:cs="Times New Roman"/>
          <w:sz w:val="24"/>
          <w:szCs w:val="24"/>
        </w:rPr>
        <w:t xml:space="preserve"> entire agreement clause was reasonable, and these were </w:t>
      </w:r>
      <w:proofErr w:type="spellStart"/>
      <w:r w:rsidRPr="00BC1DDB">
        <w:rPr>
          <w:rFonts w:ascii="Times New Roman" w:hAnsi="Times New Roman" w:cs="Times New Roman"/>
          <w:sz w:val="24"/>
          <w:szCs w:val="24"/>
        </w:rPr>
        <w:t>Axa’s</w:t>
      </w:r>
      <w:proofErr w:type="spellEnd"/>
      <w:r w:rsidRPr="00BC1DDB">
        <w:rPr>
          <w:rFonts w:ascii="Times New Roman" w:hAnsi="Times New Roman" w:cs="Times New Roman"/>
          <w:sz w:val="24"/>
          <w:szCs w:val="24"/>
        </w:rPr>
        <w:t xml:space="preserve"> </w:t>
      </w:r>
      <w:r w:rsidRPr="00BC1DDB">
        <w:rPr>
          <w:rFonts w:ascii="Times New Roman" w:hAnsi="Times New Roman" w:cs="Times New Roman"/>
          <w:sz w:val="24"/>
          <w:szCs w:val="24"/>
        </w:rPr>
        <w:lastRenderedPageBreak/>
        <w:t>standard terms. Therefore, it can be seen, the court tried to establish that the defendant should have read and understood the terms and that both sides could benefit from the certainty of their contract.</w:t>
      </w:r>
      <w:r w:rsidRPr="002B75EC">
        <w:rPr>
          <w:rStyle w:val="FootnoteReference"/>
          <w:rFonts w:ascii="Times New Roman" w:hAnsi="Times New Roman" w:cs="Times New Roman"/>
          <w:sz w:val="24"/>
          <w:szCs w:val="24"/>
        </w:rPr>
        <w:footnoteReference w:id="88"/>
      </w:r>
    </w:p>
    <w:p w14:paraId="0C2A11BE" w14:textId="1615B3DA" w:rsidR="0020442E" w:rsidRPr="002B75EC" w:rsidRDefault="0020442E" w:rsidP="002B75EC">
      <w:pPr>
        <w:pStyle w:val="ListParagraph"/>
        <w:spacing w:line="480" w:lineRule="auto"/>
        <w:jc w:val="both"/>
        <w:rPr>
          <w:rFonts w:ascii="Times New Roman" w:hAnsi="Times New Roman" w:cs="Times New Roman"/>
          <w:sz w:val="24"/>
          <w:szCs w:val="24"/>
          <w:u w:val="single"/>
        </w:rPr>
      </w:pPr>
    </w:p>
    <w:p w14:paraId="02F1617D" w14:textId="77777777" w:rsidR="0020442E" w:rsidRPr="002B75EC" w:rsidRDefault="0020442E" w:rsidP="002B75EC">
      <w:pPr>
        <w:spacing w:line="480" w:lineRule="auto"/>
        <w:jc w:val="both"/>
        <w:rPr>
          <w:rFonts w:ascii="Times New Roman" w:hAnsi="Times New Roman" w:cs="Times New Roman"/>
          <w:sz w:val="24"/>
          <w:szCs w:val="24"/>
          <w:u w:val="single"/>
        </w:rPr>
      </w:pPr>
    </w:p>
    <w:p w14:paraId="0135B7E1" w14:textId="77777777" w:rsidR="0020442E" w:rsidRPr="002B75EC" w:rsidRDefault="0020442E" w:rsidP="002B75EC">
      <w:pPr>
        <w:spacing w:line="480" w:lineRule="auto"/>
        <w:jc w:val="both"/>
        <w:rPr>
          <w:rFonts w:ascii="Times New Roman" w:hAnsi="Times New Roman" w:cs="Times New Roman"/>
          <w:sz w:val="24"/>
          <w:szCs w:val="24"/>
        </w:rPr>
      </w:pPr>
    </w:p>
    <w:p w14:paraId="79292D80" w14:textId="77777777" w:rsidR="00D44DBD" w:rsidRDefault="008E2248" w:rsidP="00D44DBD">
      <w:pPr>
        <w:pStyle w:val="ListParagraph"/>
        <w:numPr>
          <w:ilvl w:val="0"/>
          <w:numId w:val="5"/>
        </w:numPr>
        <w:spacing w:line="480" w:lineRule="auto"/>
        <w:jc w:val="center"/>
        <w:rPr>
          <w:rFonts w:ascii="Times New Roman" w:hAnsi="Times New Roman" w:cs="Times New Roman"/>
          <w:b/>
          <w:bCs/>
          <w:sz w:val="28"/>
          <w:u w:val="single"/>
        </w:rPr>
      </w:pPr>
      <w:r w:rsidRPr="00DE24A4">
        <w:rPr>
          <w:rFonts w:ascii="Times New Roman" w:hAnsi="Times New Roman" w:cs="Times New Roman"/>
          <w:b/>
          <w:bCs/>
          <w:sz w:val="28"/>
          <w:u w:val="single"/>
        </w:rPr>
        <w:t>Concluding remarks</w:t>
      </w:r>
      <w:r w:rsidR="00DE24A4" w:rsidRPr="00DE24A4">
        <w:rPr>
          <w:rFonts w:ascii="Times New Roman" w:hAnsi="Times New Roman" w:cs="Times New Roman"/>
          <w:b/>
          <w:bCs/>
          <w:sz w:val="28"/>
          <w:u w:val="single"/>
        </w:rPr>
        <w:t>:</w:t>
      </w:r>
    </w:p>
    <w:p w14:paraId="22D1E201" w14:textId="58BE11BF" w:rsidR="008E2248" w:rsidRPr="00BC1DDB" w:rsidRDefault="008E2248" w:rsidP="00BC1DDB">
      <w:pPr>
        <w:spacing w:line="480" w:lineRule="auto"/>
        <w:jc w:val="both"/>
        <w:rPr>
          <w:rFonts w:ascii="Times New Roman" w:hAnsi="Times New Roman" w:cs="Times New Roman"/>
          <w:b/>
          <w:bCs/>
          <w:sz w:val="28"/>
          <w:u w:val="single"/>
        </w:rPr>
      </w:pPr>
      <w:r w:rsidRPr="00BC1DDB">
        <w:rPr>
          <w:rFonts w:ascii="Times New Roman" w:hAnsi="Times New Roman" w:cs="Times New Roman"/>
          <w:sz w:val="24"/>
          <w:szCs w:val="24"/>
        </w:rPr>
        <w:t xml:space="preserve">This paper has sought to give a complete overview of contractual estoppel in current context of commercial litigations. There are not many books devoted to contractual estoppel as it is still a rising area of law in the family of estoppel. However, many research, lectures, court decisions and journal articles can be found for a wide research of contractual estoppel. The conclusion can be drawn at the end of this paper that, contractual estoppel is a great tool to prevent the parties from contracting in one basis and litigating on another. There is no doubt that doctrine of contractual estoppel is must needed development that has been developed over the past few decades. Although the doctrine first developed in </w:t>
      </w:r>
      <w:proofErr w:type="spellStart"/>
      <w:r w:rsidRPr="00BC1DDB">
        <w:rPr>
          <w:rFonts w:ascii="Times New Roman" w:hAnsi="Times New Roman" w:cs="Times New Roman"/>
          <w:i/>
          <w:iCs/>
          <w:sz w:val="24"/>
          <w:szCs w:val="24"/>
        </w:rPr>
        <w:t>Peekay</w:t>
      </w:r>
      <w:proofErr w:type="spellEnd"/>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 xml:space="preserve">the breakthrough of this doctrine came after the formal consideration in </w:t>
      </w:r>
      <w:r w:rsidRPr="00BC1DDB">
        <w:rPr>
          <w:rFonts w:ascii="Times New Roman" w:hAnsi="Times New Roman" w:cs="Times New Roman"/>
          <w:i/>
          <w:iCs/>
          <w:sz w:val="24"/>
          <w:szCs w:val="24"/>
        </w:rPr>
        <w:t xml:space="preserve">Springwell. </w:t>
      </w:r>
      <w:r w:rsidRPr="00BC1DDB">
        <w:rPr>
          <w:rFonts w:ascii="Times New Roman" w:hAnsi="Times New Roman" w:cs="Times New Roman"/>
          <w:sz w:val="24"/>
          <w:szCs w:val="24"/>
        </w:rPr>
        <w:t xml:space="preserve">However, controversies on this doctrine remain continued despite its overwhelm acceptance in judiciary. Many academics and judges did not recognise this doctrine as an estoppel and they described it as anomalous. However, it is worth noting that, contractual estoppel plays a very different function from traditional estoppel. It keeps contracting parties to the bargain they have stuck, even if it does not reflect true situation. Unlike evidential estoppel, detrimental reliance is not required to raise contractual estoppel. Such nature of this doctrine may still   be controversial due to the different </w:t>
      </w:r>
      <w:r w:rsidRPr="00BC1DDB">
        <w:rPr>
          <w:rFonts w:ascii="Times New Roman" w:hAnsi="Times New Roman" w:cs="Times New Roman"/>
          <w:sz w:val="24"/>
          <w:szCs w:val="24"/>
        </w:rPr>
        <w:lastRenderedPageBreak/>
        <w:t>nature. Suggestion can be made that; further judicial discussion would be necessary for further development of contractual estoppel to bring certainty.</w:t>
      </w:r>
    </w:p>
    <w:p w14:paraId="4D33134B" w14:textId="77777777" w:rsidR="00C27F1A" w:rsidRPr="002B75EC" w:rsidRDefault="00C27F1A" w:rsidP="00D44DBD">
      <w:pPr>
        <w:pStyle w:val="ListParagraph"/>
        <w:spacing w:line="480" w:lineRule="auto"/>
        <w:ind w:left="1080"/>
        <w:jc w:val="both"/>
        <w:rPr>
          <w:rFonts w:ascii="Times New Roman" w:hAnsi="Times New Roman" w:cs="Times New Roman"/>
          <w:sz w:val="24"/>
          <w:szCs w:val="24"/>
          <w:u w:val="single"/>
        </w:rPr>
      </w:pPr>
    </w:p>
    <w:p w14:paraId="036EE5A6" w14:textId="108794DE" w:rsidR="008E2248" w:rsidRPr="00BC1DDB" w:rsidRDefault="008E2248" w:rsidP="00BC1DDB">
      <w:pPr>
        <w:spacing w:line="480" w:lineRule="auto"/>
        <w:jc w:val="both"/>
        <w:rPr>
          <w:rFonts w:ascii="Times New Roman" w:hAnsi="Times New Roman" w:cs="Times New Roman"/>
          <w:sz w:val="24"/>
          <w:szCs w:val="24"/>
          <w:u w:val="single"/>
        </w:rPr>
      </w:pPr>
      <w:r w:rsidRPr="00BC1DDB">
        <w:rPr>
          <w:rFonts w:ascii="Times New Roman" w:hAnsi="Times New Roman" w:cs="Times New Roman"/>
          <w:sz w:val="24"/>
          <w:szCs w:val="24"/>
        </w:rPr>
        <w:t xml:space="preserve">Since, contractual estoppel is relatively new form of estoppel, it has many areas left to be developed. Controversies should be resolved through judicial approach on the truth or falsity of agreed statement of fact. In current feature of contractual estoppel, where parties agreed to certain statement of facts it is irrelevant whether such statements are true or false. This nature of this doctrine could lead to great controversies that may raise the question on certainty of contractual estoppel. Non-reliance and Entire agreement clauses are often used in most commercial contracts nowadays. These clauses as well are not out of debate to raise contractual estoppel. Generally, contractual terms that incorporated to limit the liability are subject to the UCTA ‘reasonableness test’. In discussions above, it has been seen that the application of Reasonableness test varies from case to case. In </w:t>
      </w:r>
      <w:proofErr w:type="spellStart"/>
      <w:r w:rsidRPr="00BC1DDB">
        <w:rPr>
          <w:rFonts w:ascii="Times New Roman" w:hAnsi="Times New Roman" w:cs="Times New Roman"/>
          <w:i/>
          <w:iCs/>
          <w:sz w:val="24"/>
          <w:szCs w:val="24"/>
        </w:rPr>
        <w:t>Axa</w:t>
      </w:r>
      <w:proofErr w:type="spellEnd"/>
      <w:r w:rsidRPr="00BC1DDB">
        <w:rPr>
          <w:rFonts w:ascii="Times New Roman" w:hAnsi="Times New Roman" w:cs="Times New Roman"/>
          <w:i/>
          <w:iCs/>
          <w:sz w:val="24"/>
          <w:szCs w:val="24"/>
        </w:rPr>
        <w:t xml:space="preserve"> Sun Life, </w:t>
      </w:r>
      <w:r w:rsidRPr="00BC1DDB">
        <w:rPr>
          <w:rFonts w:ascii="Times New Roman" w:hAnsi="Times New Roman" w:cs="Times New Roman"/>
          <w:sz w:val="24"/>
          <w:szCs w:val="24"/>
        </w:rPr>
        <w:t xml:space="preserve">although Stanley Burton LJ stated that UCTA reasonableness test does not apply to entire agreement clause, the Court of appeal held that, the test applied to the entire agreement clause in this case. Similarly, in </w:t>
      </w:r>
      <w:proofErr w:type="spellStart"/>
      <w:r w:rsidRPr="00BC1DDB">
        <w:rPr>
          <w:rFonts w:ascii="Times New Roman" w:hAnsi="Times New Roman" w:cs="Times New Roman"/>
          <w:i/>
          <w:iCs/>
          <w:sz w:val="24"/>
          <w:szCs w:val="24"/>
        </w:rPr>
        <w:t>Grimstead</w:t>
      </w:r>
      <w:proofErr w:type="spellEnd"/>
      <w:r w:rsidRPr="00BC1DDB">
        <w:rPr>
          <w:rFonts w:ascii="Times New Roman" w:hAnsi="Times New Roman" w:cs="Times New Roman"/>
          <w:i/>
          <w:iCs/>
          <w:sz w:val="24"/>
          <w:szCs w:val="24"/>
        </w:rPr>
        <w:t xml:space="preserve"> </w:t>
      </w:r>
      <w:r w:rsidRPr="00BC1DDB">
        <w:rPr>
          <w:rFonts w:ascii="Times New Roman" w:hAnsi="Times New Roman" w:cs="Times New Roman"/>
          <w:sz w:val="24"/>
          <w:szCs w:val="24"/>
        </w:rPr>
        <w:t xml:space="preserve">it was assumed that the test would apply to non-reliance clause. Therefore, although many critics claiming this doctrine creates virtual world and calling Supreme Court to abolish it, the better approach would be to accept it as commercially useful, but to put extra attention when considering whether ‘non-reliance’, ‘’no representation’ and other basis clauses excludes liability, </w:t>
      </w:r>
      <w:proofErr w:type="gramStart"/>
      <w:r w:rsidRPr="00BC1DDB">
        <w:rPr>
          <w:rFonts w:ascii="Times New Roman" w:hAnsi="Times New Roman" w:cs="Times New Roman"/>
          <w:sz w:val="24"/>
          <w:szCs w:val="24"/>
        </w:rPr>
        <w:t>so as to</w:t>
      </w:r>
      <w:proofErr w:type="gramEnd"/>
      <w:r w:rsidRPr="00BC1DDB">
        <w:rPr>
          <w:rFonts w:ascii="Times New Roman" w:hAnsi="Times New Roman" w:cs="Times New Roman"/>
          <w:sz w:val="24"/>
          <w:szCs w:val="24"/>
        </w:rPr>
        <w:t xml:space="preserve"> fall within the reasonableness test of UCTA. </w:t>
      </w:r>
    </w:p>
    <w:p w14:paraId="04DBE073" w14:textId="77777777" w:rsidR="0020442E" w:rsidRPr="002B75EC" w:rsidRDefault="0020442E" w:rsidP="00D44DBD">
      <w:pPr>
        <w:pStyle w:val="ListParagraph"/>
        <w:spacing w:line="480" w:lineRule="auto"/>
        <w:ind w:left="360"/>
        <w:jc w:val="both"/>
        <w:rPr>
          <w:rFonts w:ascii="Times New Roman" w:hAnsi="Times New Roman" w:cs="Times New Roman"/>
          <w:sz w:val="24"/>
          <w:szCs w:val="24"/>
          <w:u w:val="single"/>
        </w:rPr>
      </w:pPr>
    </w:p>
    <w:p w14:paraId="023E5E9D" w14:textId="77777777" w:rsidR="0020442E" w:rsidRPr="002B75EC" w:rsidRDefault="0020442E" w:rsidP="00D44DBD">
      <w:pPr>
        <w:pStyle w:val="ListParagraph"/>
        <w:spacing w:line="480" w:lineRule="auto"/>
        <w:jc w:val="both"/>
        <w:rPr>
          <w:rFonts w:ascii="Times New Roman" w:hAnsi="Times New Roman" w:cs="Times New Roman"/>
          <w:sz w:val="24"/>
          <w:szCs w:val="24"/>
          <w:u w:val="single"/>
        </w:rPr>
      </w:pPr>
    </w:p>
    <w:p w14:paraId="19F7316E" w14:textId="3FDAB8C6" w:rsidR="00EF62E8" w:rsidRDefault="00EF62E8" w:rsidP="00D44DBD">
      <w:pPr>
        <w:spacing w:line="480" w:lineRule="auto"/>
        <w:jc w:val="both"/>
        <w:rPr>
          <w:rFonts w:ascii="Times New Roman" w:hAnsi="Times New Roman" w:cs="Times New Roman"/>
          <w:sz w:val="24"/>
          <w:szCs w:val="24"/>
        </w:rPr>
      </w:pPr>
    </w:p>
    <w:p w14:paraId="44EF53E1" w14:textId="77777777" w:rsidR="00BC1DDB" w:rsidRDefault="00BC1DDB" w:rsidP="00D44DBD">
      <w:pPr>
        <w:spacing w:line="480" w:lineRule="auto"/>
        <w:jc w:val="both"/>
        <w:rPr>
          <w:rFonts w:ascii="Times New Roman" w:hAnsi="Times New Roman" w:cs="Times New Roman"/>
          <w:sz w:val="24"/>
          <w:szCs w:val="24"/>
        </w:rPr>
      </w:pPr>
    </w:p>
    <w:p w14:paraId="112CC8BA" w14:textId="77777777" w:rsidR="007740F2" w:rsidRDefault="007740F2" w:rsidP="007740F2">
      <w:pPr>
        <w:spacing w:line="360" w:lineRule="auto"/>
        <w:rPr>
          <w:rFonts w:ascii="Times New Roman" w:hAnsi="Times New Roman" w:cs="Times New Roman"/>
          <w:b/>
          <w:bCs/>
          <w:sz w:val="36"/>
          <w:szCs w:val="36"/>
          <w:u w:val="single"/>
        </w:rPr>
      </w:pPr>
      <w:r w:rsidRPr="00D65832">
        <w:rPr>
          <w:rFonts w:ascii="Times New Roman" w:hAnsi="Times New Roman" w:cs="Times New Roman"/>
          <w:b/>
          <w:bCs/>
          <w:sz w:val="36"/>
          <w:szCs w:val="36"/>
          <w:u w:val="single"/>
        </w:rPr>
        <w:lastRenderedPageBreak/>
        <w:t>Bibliography:</w:t>
      </w:r>
    </w:p>
    <w:p w14:paraId="7E1D38DF" w14:textId="77777777" w:rsidR="007740F2" w:rsidRPr="00D65832" w:rsidRDefault="007740F2" w:rsidP="007740F2">
      <w:pPr>
        <w:spacing w:line="360" w:lineRule="auto"/>
        <w:rPr>
          <w:rFonts w:ascii="Times New Roman" w:hAnsi="Times New Roman" w:cs="Times New Roman"/>
          <w:b/>
          <w:bCs/>
          <w:sz w:val="36"/>
          <w:szCs w:val="36"/>
          <w:u w:val="single"/>
        </w:rPr>
      </w:pPr>
    </w:p>
    <w:p w14:paraId="421BB0C8" w14:textId="77777777" w:rsidR="007740F2" w:rsidRPr="00D65832" w:rsidRDefault="007740F2" w:rsidP="007740F2">
      <w:pPr>
        <w:spacing w:line="360" w:lineRule="auto"/>
        <w:rPr>
          <w:rFonts w:ascii="Times New Roman" w:hAnsi="Times New Roman" w:cs="Times New Roman"/>
          <w:b/>
          <w:bCs/>
          <w:sz w:val="24"/>
          <w:szCs w:val="24"/>
          <w:u w:val="single"/>
        </w:rPr>
      </w:pPr>
      <w:r w:rsidRPr="00D65832">
        <w:rPr>
          <w:rFonts w:ascii="Times New Roman" w:hAnsi="Times New Roman" w:cs="Times New Roman"/>
          <w:b/>
          <w:bCs/>
          <w:sz w:val="24"/>
          <w:szCs w:val="24"/>
          <w:u w:val="single"/>
        </w:rPr>
        <w:t>List of Books:</w:t>
      </w:r>
    </w:p>
    <w:p w14:paraId="3B59C68B" w14:textId="77777777" w:rsidR="007740F2" w:rsidRPr="0035254B" w:rsidRDefault="007740F2" w:rsidP="007740F2">
      <w:pPr>
        <w:pStyle w:val="ListParagraph"/>
        <w:numPr>
          <w:ilvl w:val="0"/>
          <w:numId w:val="12"/>
        </w:numPr>
        <w:spacing w:line="360" w:lineRule="auto"/>
        <w:rPr>
          <w:rFonts w:ascii="Times New Roman" w:hAnsi="Times New Roman" w:cs="Times New Roman"/>
          <w:sz w:val="24"/>
          <w:szCs w:val="24"/>
        </w:rPr>
      </w:pPr>
      <w:r w:rsidRPr="0035254B">
        <w:rPr>
          <w:rFonts w:ascii="Times New Roman" w:hAnsi="Times New Roman" w:cs="Times New Roman"/>
          <w:sz w:val="24"/>
          <w:szCs w:val="24"/>
        </w:rPr>
        <w:t xml:space="preserve">Alexander </w:t>
      </w:r>
      <w:proofErr w:type="spellStart"/>
      <w:r w:rsidRPr="0035254B">
        <w:rPr>
          <w:rFonts w:ascii="Times New Roman" w:hAnsi="Times New Roman" w:cs="Times New Roman"/>
          <w:sz w:val="24"/>
          <w:szCs w:val="24"/>
        </w:rPr>
        <w:t>Trukhtanov</w:t>
      </w:r>
      <w:proofErr w:type="spellEnd"/>
      <w:r w:rsidRPr="0035254B">
        <w:rPr>
          <w:rFonts w:ascii="Times New Roman" w:hAnsi="Times New Roman" w:cs="Times New Roman"/>
          <w:sz w:val="24"/>
          <w:szCs w:val="24"/>
        </w:rPr>
        <w:t>, Contractual Estoppel, (1</w:t>
      </w:r>
      <w:r w:rsidRPr="0035254B">
        <w:rPr>
          <w:rFonts w:ascii="Times New Roman" w:hAnsi="Times New Roman" w:cs="Times New Roman"/>
          <w:sz w:val="24"/>
          <w:szCs w:val="24"/>
          <w:vertAlign w:val="superscript"/>
        </w:rPr>
        <w:t>st</w:t>
      </w:r>
      <w:r w:rsidRPr="0035254B">
        <w:rPr>
          <w:rFonts w:ascii="Times New Roman" w:hAnsi="Times New Roman" w:cs="Times New Roman"/>
          <w:sz w:val="24"/>
          <w:szCs w:val="24"/>
        </w:rPr>
        <w:t xml:space="preserve"> </w:t>
      </w:r>
      <w:proofErr w:type="spellStart"/>
      <w:r w:rsidRPr="0035254B">
        <w:rPr>
          <w:rFonts w:ascii="Times New Roman" w:hAnsi="Times New Roman" w:cs="Times New Roman"/>
          <w:sz w:val="24"/>
          <w:szCs w:val="24"/>
        </w:rPr>
        <w:t>edn</w:t>
      </w:r>
      <w:proofErr w:type="spellEnd"/>
      <w:r w:rsidRPr="0035254B">
        <w:rPr>
          <w:rFonts w:ascii="Times New Roman" w:hAnsi="Times New Roman" w:cs="Times New Roman"/>
          <w:sz w:val="24"/>
          <w:szCs w:val="24"/>
        </w:rPr>
        <w:t>, Informa Law from Routledge, 2018)</w:t>
      </w:r>
    </w:p>
    <w:p w14:paraId="7E228CD2" w14:textId="77777777" w:rsidR="007740F2" w:rsidRPr="0035254B" w:rsidRDefault="007740F2" w:rsidP="007740F2">
      <w:pPr>
        <w:pStyle w:val="ListParagraph"/>
        <w:numPr>
          <w:ilvl w:val="0"/>
          <w:numId w:val="12"/>
        </w:numPr>
        <w:spacing w:line="360" w:lineRule="auto"/>
        <w:rPr>
          <w:rFonts w:ascii="Times New Roman" w:hAnsi="Times New Roman" w:cs="Times New Roman"/>
          <w:sz w:val="24"/>
          <w:szCs w:val="24"/>
        </w:rPr>
      </w:pPr>
      <w:r w:rsidRPr="0035254B">
        <w:rPr>
          <w:rFonts w:ascii="Times New Roman" w:hAnsi="Times New Roman" w:cs="Times New Roman"/>
          <w:sz w:val="24"/>
          <w:szCs w:val="24"/>
        </w:rPr>
        <w:t xml:space="preserve">George Spencer Bower and Alexander </w:t>
      </w:r>
      <w:proofErr w:type="spellStart"/>
      <w:r w:rsidRPr="0035254B">
        <w:rPr>
          <w:rFonts w:ascii="Times New Roman" w:hAnsi="Times New Roman" w:cs="Times New Roman"/>
          <w:sz w:val="24"/>
          <w:szCs w:val="24"/>
        </w:rPr>
        <w:t>Kingcome</w:t>
      </w:r>
      <w:proofErr w:type="spellEnd"/>
      <w:r w:rsidRPr="0035254B">
        <w:rPr>
          <w:rFonts w:ascii="Times New Roman" w:hAnsi="Times New Roman" w:cs="Times New Roman"/>
          <w:sz w:val="24"/>
          <w:szCs w:val="24"/>
        </w:rPr>
        <w:t xml:space="preserve"> Turner, The Law Relating to Estoppel by Representation (3</w:t>
      </w:r>
      <w:r w:rsidRPr="0035254B">
        <w:rPr>
          <w:rFonts w:ascii="Times New Roman" w:hAnsi="Times New Roman" w:cs="Times New Roman"/>
          <w:sz w:val="24"/>
          <w:szCs w:val="24"/>
          <w:vertAlign w:val="superscript"/>
        </w:rPr>
        <w:t>rd</w:t>
      </w:r>
      <w:r w:rsidRPr="0035254B">
        <w:rPr>
          <w:rFonts w:ascii="Times New Roman" w:hAnsi="Times New Roman" w:cs="Times New Roman"/>
          <w:sz w:val="24"/>
          <w:szCs w:val="24"/>
        </w:rPr>
        <w:t xml:space="preserve"> </w:t>
      </w:r>
      <w:proofErr w:type="spellStart"/>
      <w:r w:rsidRPr="0035254B">
        <w:rPr>
          <w:rFonts w:ascii="Times New Roman" w:hAnsi="Times New Roman" w:cs="Times New Roman"/>
          <w:sz w:val="24"/>
          <w:szCs w:val="24"/>
        </w:rPr>
        <w:t>edn</w:t>
      </w:r>
      <w:proofErr w:type="spellEnd"/>
      <w:r w:rsidRPr="0035254B">
        <w:rPr>
          <w:rFonts w:ascii="Times New Roman" w:hAnsi="Times New Roman" w:cs="Times New Roman"/>
          <w:sz w:val="24"/>
          <w:szCs w:val="24"/>
        </w:rPr>
        <w:t>, Butterworths, 1977)</w:t>
      </w:r>
    </w:p>
    <w:p w14:paraId="0E815BB0" w14:textId="77777777" w:rsidR="007740F2" w:rsidRPr="0035254B" w:rsidRDefault="007740F2" w:rsidP="007740F2">
      <w:pPr>
        <w:pStyle w:val="ListParagraph"/>
        <w:numPr>
          <w:ilvl w:val="0"/>
          <w:numId w:val="12"/>
        </w:numPr>
        <w:spacing w:line="360" w:lineRule="auto"/>
        <w:rPr>
          <w:rFonts w:ascii="Times New Roman" w:hAnsi="Times New Roman" w:cs="Times New Roman"/>
          <w:sz w:val="24"/>
          <w:szCs w:val="24"/>
        </w:rPr>
      </w:pPr>
      <w:r w:rsidRPr="0035254B">
        <w:rPr>
          <w:rFonts w:ascii="Times New Roman" w:hAnsi="Times New Roman" w:cs="Times New Roman"/>
          <w:sz w:val="24"/>
          <w:szCs w:val="24"/>
        </w:rPr>
        <w:t xml:space="preserve">H Malek and others, </w:t>
      </w:r>
      <w:proofErr w:type="spellStart"/>
      <w:r w:rsidRPr="0035254B">
        <w:rPr>
          <w:rFonts w:ascii="Times New Roman" w:hAnsi="Times New Roman" w:cs="Times New Roman"/>
          <w:sz w:val="24"/>
          <w:szCs w:val="24"/>
        </w:rPr>
        <w:t>Phipson</w:t>
      </w:r>
      <w:proofErr w:type="spellEnd"/>
      <w:r w:rsidRPr="0035254B">
        <w:rPr>
          <w:rFonts w:ascii="Times New Roman" w:hAnsi="Times New Roman" w:cs="Times New Roman"/>
          <w:sz w:val="24"/>
          <w:szCs w:val="24"/>
        </w:rPr>
        <w:t xml:space="preserve"> on Evidence, (19</w:t>
      </w:r>
      <w:r w:rsidRPr="0035254B">
        <w:rPr>
          <w:rFonts w:ascii="Times New Roman" w:hAnsi="Times New Roman" w:cs="Times New Roman"/>
          <w:sz w:val="24"/>
          <w:szCs w:val="24"/>
          <w:vertAlign w:val="superscript"/>
        </w:rPr>
        <w:t>th</w:t>
      </w:r>
      <w:r w:rsidRPr="0035254B">
        <w:rPr>
          <w:rFonts w:ascii="Times New Roman" w:hAnsi="Times New Roman" w:cs="Times New Roman"/>
          <w:sz w:val="24"/>
          <w:szCs w:val="24"/>
        </w:rPr>
        <w:t xml:space="preserve"> </w:t>
      </w:r>
      <w:proofErr w:type="spellStart"/>
      <w:r w:rsidRPr="0035254B">
        <w:rPr>
          <w:rFonts w:ascii="Times New Roman" w:hAnsi="Times New Roman" w:cs="Times New Roman"/>
          <w:sz w:val="24"/>
          <w:szCs w:val="24"/>
        </w:rPr>
        <w:t>edn</w:t>
      </w:r>
      <w:proofErr w:type="spellEnd"/>
      <w:r w:rsidRPr="0035254B">
        <w:rPr>
          <w:rFonts w:ascii="Times New Roman" w:hAnsi="Times New Roman" w:cs="Times New Roman"/>
          <w:sz w:val="24"/>
          <w:szCs w:val="24"/>
        </w:rPr>
        <w:t>, Sweet &amp; Maxwell, 2017)</w:t>
      </w:r>
    </w:p>
    <w:p w14:paraId="13A72B1C" w14:textId="77777777" w:rsidR="007740F2" w:rsidRPr="0035254B" w:rsidRDefault="007740F2" w:rsidP="007740F2">
      <w:pPr>
        <w:pStyle w:val="ListParagraph"/>
        <w:numPr>
          <w:ilvl w:val="0"/>
          <w:numId w:val="12"/>
        </w:numPr>
        <w:spacing w:line="360" w:lineRule="auto"/>
        <w:rPr>
          <w:rFonts w:ascii="Times New Roman" w:hAnsi="Times New Roman" w:cs="Times New Roman"/>
          <w:sz w:val="24"/>
          <w:szCs w:val="24"/>
        </w:rPr>
      </w:pPr>
      <w:r w:rsidRPr="0035254B">
        <w:rPr>
          <w:rFonts w:ascii="Times New Roman" w:hAnsi="Times New Roman" w:cs="Times New Roman"/>
          <w:sz w:val="24"/>
          <w:szCs w:val="24"/>
        </w:rPr>
        <w:t xml:space="preserve">S. Wilken and K. </w:t>
      </w:r>
      <w:proofErr w:type="spellStart"/>
      <w:r w:rsidRPr="0035254B">
        <w:rPr>
          <w:rFonts w:ascii="Times New Roman" w:hAnsi="Times New Roman" w:cs="Times New Roman"/>
          <w:sz w:val="24"/>
          <w:szCs w:val="24"/>
        </w:rPr>
        <w:t>Ghaly</w:t>
      </w:r>
      <w:proofErr w:type="spellEnd"/>
      <w:r w:rsidRPr="0035254B">
        <w:rPr>
          <w:rFonts w:ascii="Times New Roman" w:hAnsi="Times New Roman" w:cs="Times New Roman"/>
          <w:sz w:val="24"/>
          <w:szCs w:val="24"/>
        </w:rPr>
        <w:t>, The Law of Waiver, Variation and Estoppel, (3</w:t>
      </w:r>
      <w:r w:rsidRPr="0035254B">
        <w:rPr>
          <w:rFonts w:ascii="Times New Roman" w:hAnsi="Times New Roman" w:cs="Times New Roman"/>
          <w:sz w:val="24"/>
          <w:szCs w:val="24"/>
          <w:vertAlign w:val="superscript"/>
        </w:rPr>
        <w:t>rd</w:t>
      </w:r>
      <w:r w:rsidRPr="0035254B">
        <w:rPr>
          <w:rFonts w:ascii="Times New Roman" w:hAnsi="Times New Roman" w:cs="Times New Roman"/>
          <w:sz w:val="24"/>
          <w:szCs w:val="24"/>
        </w:rPr>
        <w:t xml:space="preserve"> </w:t>
      </w:r>
      <w:proofErr w:type="spellStart"/>
      <w:r w:rsidRPr="0035254B">
        <w:rPr>
          <w:rFonts w:ascii="Times New Roman" w:hAnsi="Times New Roman" w:cs="Times New Roman"/>
          <w:sz w:val="24"/>
          <w:szCs w:val="24"/>
        </w:rPr>
        <w:t>edn</w:t>
      </w:r>
      <w:proofErr w:type="spellEnd"/>
      <w:r w:rsidRPr="0035254B">
        <w:rPr>
          <w:rFonts w:ascii="Times New Roman" w:hAnsi="Times New Roman" w:cs="Times New Roman"/>
          <w:sz w:val="24"/>
          <w:szCs w:val="24"/>
        </w:rPr>
        <w:t>, Oxford University Press, 2012)</w:t>
      </w:r>
    </w:p>
    <w:p w14:paraId="0F2D7F2E" w14:textId="77777777" w:rsidR="007740F2" w:rsidRPr="0035254B" w:rsidRDefault="007740F2" w:rsidP="007740F2">
      <w:pPr>
        <w:pStyle w:val="ListParagraph"/>
        <w:spacing w:line="360" w:lineRule="auto"/>
        <w:rPr>
          <w:rFonts w:ascii="Times New Roman" w:hAnsi="Times New Roman" w:cs="Times New Roman"/>
          <w:sz w:val="24"/>
          <w:szCs w:val="24"/>
        </w:rPr>
      </w:pPr>
    </w:p>
    <w:p w14:paraId="5F74CF6A" w14:textId="77777777" w:rsidR="007740F2" w:rsidRPr="0035254B" w:rsidRDefault="007740F2" w:rsidP="007740F2">
      <w:pPr>
        <w:spacing w:line="360" w:lineRule="auto"/>
        <w:rPr>
          <w:rFonts w:ascii="Times New Roman" w:hAnsi="Times New Roman" w:cs="Times New Roman"/>
          <w:sz w:val="24"/>
          <w:szCs w:val="24"/>
        </w:rPr>
      </w:pPr>
    </w:p>
    <w:p w14:paraId="1F460F32" w14:textId="77777777" w:rsidR="007740F2" w:rsidRPr="00D65832" w:rsidRDefault="007740F2" w:rsidP="007740F2">
      <w:pPr>
        <w:spacing w:line="360" w:lineRule="auto"/>
        <w:rPr>
          <w:rFonts w:ascii="Times New Roman" w:hAnsi="Times New Roman" w:cs="Times New Roman"/>
          <w:b/>
          <w:bCs/>
          <w:sz w:val="24"/>
          <w:szCs w:val="24"/>
        </w:rPr>
      </w:pPr>
      <w:r w:rsidRPr="00D65832">
        <w:rPr>
          <w:rFonts w:ascii="Times New Roman" w:hAnsi="Times New Roman" w:cs="Times New Roman"/>
          <w:b/>
          <w:bCs/>
          <w:sz w:val="24"/>
          <w:szCs w:val="24"/>
        </w:rPr>
        <w:t>List of Journal Articles:</w:t>
      </w:r>
    </w:p>
    <w:p w14:paraId="5DC1A40A" w14:textId="77777777" w:rsidR="007740F2" w:rsidRPr="0035254B" w:rsidRDefault="007740F2" w:rsidP="007740F2">
      <w:pPr>
        <w:pStyle w:val="ListParagraph"/>
        <w:numPr>
          <w:ilvl w:val="0"/>
          <w:numId w:val="13"/>
        </w:numPr>
        <w:spacing w:line="360" w:lineRule="auto"/>
        <w:rPr>
          <w:rFonts w:ascii="Times New Roman" w:hAnsi="Times New Roman" w:cs="Times New Roman"/>
          <w:sz w:val="24"/>
          <w:szCs w:val="24"/>
        </w:rPr>
      </w:pPr>
      <w:r w:rsidRPr="0035254B">
        <w:rPr>
          <w:rFonts w:ascii="Times New Roman" w:hAnsi="Times New Roman" w:cs="Times New Roman"/>
          <w:sz w:val="24"/>
          <w:szCs w:val="24"/>
        </w:rPr>
        <w:t xml:space="preserve">Catherine </w:t>
      </w:r>
      <w:proofErr w:type="spellStart"/>
      <w:r w:rsidRPr="0035254B">
        <w:rPr>
          <w:rFonts w:ascii="Times New Roman" w:hAnsi="Times New Roman" w:cs="Times New Roman"/>
          <w:sz w:val="24"/>
          <w:szCs w:val="24"/>
        </w:rPr>
        <w:t>Gibaud</w:t>
      </w:r>
      <w:proofErr w:type="spellEnd"/>
      <w:r w:rsidRPr="0035254B">
        <w:rPr>
          <w:rFonts w:ascii="Times New Roman" w:hAnsi="Times New Roman" w:cs="Times New Roman"/>
          <w:sz w:val="24"/>
          <w:szCs w:val="24"/>
        </w:rPr>
        <w:t>, Contractual estoppel: an old remedy revived, or a new remedy forged? [2010] 6 Journal of International Banking and Finance Law</w:t>
      </w:r>
    </w:p>
    <w:p w14:paraId="68BEFA48" w14:textId="77777777" w:rsidR="007740F2" w:rsidRPr="0035254B" w:rsidRDefault="007740F2" w:rsidP="007740F2">
      <w:pPr>
        <w:pStyle w:val="ListParagraph"/>
        <w:numPr>
          <w:ilvl w:val="0"/>
          <w:numId w:val="13"/>
        </w:numPr>
        <w:spacing w:line="360" w:lineRule="auto"/>
        <w:rPr>
          <w:rFonts w:ascii="Times New Roman" w:hAnsi="Times New Roman" w:cs="Times New Roman"/>
          <w:sz w:val="24"/>
          <w:szCs w:val="24"/>
        </w:rPr>
      </w:pPr>
      <w:r w:rsidRPr="0035254B">
        <w:rPr>
          <w:rFonts w:ascii="Times New Roman" w:hAnsi="Times New Roman" w:cs="Times New Roman"/>
          <w:sz w:val="24"/>
          <w:szCs w:val="24"/>
        </w:rPr>
        <w:t xml:space="preserve">G. </w:t>
      </w:r>
      <w:proofErr w:type="spellStart"/>
      <w:r w:rsidRPr="0035254B">
        <w:rPr>
          <w:rFonts w:ascii="Times New Roman" w:hAnsi="Times New Roman" w:cs="Times New Roman"/>
          <w:sz w:val="24"/>
          <w:szCs w:val="24"/>
        </w:rPr>
        <w:t>McMeel</w:t>
      </w:r>
      <w:proofErr w:type="spellEnd"/>
      <w:r w:rsidRPr="0035254B">
        <w:rPr>
          <w:rFonts w:ascii="Times New Roman" w:hAnsi="Times New Roman" w:cs="Times New Roman"/>
          <w:sz w:val="24"/>
          <w:szCs w:val="24"/>
        </w:rPr>
        <w:t>, "Documentary Fundamentalism in the Senior Courts: The myth of contractual estoppel" [2011] 185 Lloyd’s Maritime and Commercial Law Quarterly</w:t>
      </w:r>
    </w:p>
    <w:p w14:paraId="01949685" w14:textId="77777777" w:rsidR="007740F2" w:rsidRPr="0035254B" w:rsidRDefault="007740F2" w:rsidP="007740F2">
      <w:pPr>
        <w:pStyle w:val="ListParagraph"/>
        <w:numPr>
          <w:ilvl w:val="0"/>
          <w:numId w:val="13"/>
        </w:numPr>
        <w:spacing w:line="360" w:lineRule="auto"/>
        <w:rPr>
          <w:rFonts w:ascii="Times New Roman" w:hAnsi="Times New Roman" w:cs="Times New Roman"/>
          <w:sz w:val="24"/>
          <w:szCs w:val="24"/>
        </w:rPr>
      </w:pPr>
      <w:r w:rsidRPr="0035254B">
        <w:rPr>
          <w:rFonts w:ascii="Times New Roman" w:hAnsi="Times New Roman" w:cs="Times New Roman"/>
          <w:sz w:val="24"/>
          <w:szCs w:val="24"/>
        </w:rPr>
        <w:t>Jo Braithwaite, The origins and implications of contractual estoppel [2016] 132(Jan) Law Quarterly Review</w:t>
      </w:r>
    </w:p>
    <w:p w14:paraId="3C5F112F" w14:textId="77777777" w:rsidR="007740F2" w:rsidRPr="0035254B" w:rsidRDefault="007740F2" w:rsidP="007740F2">
      <w:pPr>
        <w:pStyle w:val="ListParagraph"/>
        <w:numPr>
          <w:ilvl w:val="0"/>
          <w:numId w:val="13"/>
        </w:numPr>
        <w:spacing w:line="360" w:lineRule="auto"/>
        <w:rPr>
          <w:rFonts w:ascii="Times New Roman" w:hAnsi="Times New Roman" w:cs="Times New Roman"/>
          <w:sz w:val="24"/>
          <w:szCs w:val="24"/>
        </w:rPr>
      </w:pPr>
      <w:r w:rsidRPr="0035254B">
        <w:rPr>
          <w:rFonts w:ascii="Times New Roman" w:hAnsi="Times New Roman" w:cs="Times New Roman"/>
          <w:color w:val="212529"/>
          <w:sz w:val="24"/>
          <w:szCs w:val="24"/>
          <w:shd w:val="clear" w:color="auto" w:fill="FFFFFF"/>
        </w:rPr>
        <w:t xml:space="preserve">Nelson Goh, 'Non-reliance clauses and contractual estoppel: commercially sensible or anomalous?' [2015] 7 Journal of Business Law </w:t>
      </w:r>
    </w:p>
    <w:p w14:paraId="2622F9A4" w14:textId="77777777" w:rsidR="007740F2" w:rsidRDefault="007740F2" w:rsidP="007740F2">
      <w:pPr>
        <w:pStyle w:val="ListParagraph"/>
        <w:numPr>
          <w:ilvl w:val="0"/>
          <w:numId w:val="13"/>
        </w:numPr>
        <w:spacing w:line="360" w:lineRule="auto"/>
        <w:rPr>
          <w:rFonts w:ascii="Times New Roman" w:hAnsi="Times New Roman" w:cs="Times New Roman"/>
          <w:sz w:val="24"/>
          <w:szCs w:val="24"/>
        </w:rPr>
      </w:pPr>
      <w:r w:rsidRPr="0035254B">
        <w:rPr>
          <w:rFonts w:ascii="Times New Roman" w:hAnsi="Times New Roman" w:cs="Times New Roman"/>
          <w:sz w:val="24"/>
          <w:szCs w:val="24"/>
        </w:rPr>
        <w:t>Rupert Lewis, “The development of contractual estoppel” [2011] 49 Journal of International Banking Law and Regulation</w:t>
      </w:r>
    </w:p>
    <w:p w14:paraId="26CFC50C" w14:textId="77777777" w:rsidR="007740F2" w:rsidRPr="00D65832" w:rsidRDefault="007740F2" w:rsidP="007740F2">
      <w:pPr>
        <w:spacing w:line="360" w:lineRule="auto"/>
        <w:rPr>
          <w:rFonts w:ascii="Times New Roman" w:hAnsi="Times New Roman" w:cs="Times New Roman"/>
          <w:sz w:val="24"/>
          <w:szCs w:val="24"/>
        </w:rPr>
      </w:pPr>
    </w:p>
    <w:p w14:paraId="0BC7273E" w14:textId="77777777" w:rsidR="007740F2" w:rsidRPr="00D65832" w:rsidRDefault="007740F2" w:rsidP="007740F2">
      <w:pPr>
        <w:spacing w:line="360" w:lineRule="auto"/>
        <w:rPr>
          <w:rFonts w:ascii="Times New Roman" w:hAnsi="Times New Roman" w:cs="Times New Roman"/>
          <w:b/>
          <w:bCs/>
          <w:sz w:val="24"/>
          <w:szCs w:val="24"/>
          <w:u w:val="single"/>
        </w:rPr>
      </w:pPr>
      <w:r w:rsidRPr="00D65832">
        <w:rPr>
          <w:rFonts w:ascii="Times New Roman" w:hAnsi="Times New Roman" w:cs="Times New Roman"/>
          <w:b/>
          <w:bCs/>
          <w:sz w:val="24"/>
          <w:szCs w:val="24"/>
          <w:u w:val="single"/>
        </w:rPr>
        <w:t>List of Cases:</w:t>
      </w:r>
    </w:p>
    <w:p w14:paraId="72392CBE"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proofErr w:type="spellStart"/>
      <w:r w:rsidRPr="0035254B">
        <w:rPr>
          <w:rFonts w:ascii="Times New Roman" w:hAnsi="Times New Roman" w:cs="Times New Roman"/>
          <w:sz w:val="24"/>
          <w:szCs w:val="24"/>
        </w:rPr>
        <w:t>Alman</w:t>
      </w:r>
      <w:proofErr w:type="spellEnd"/>
      <w:r w:rsidRPr="0035254B">
        <w:rPr>
          <w:rFonts w:ascii="Times New Roman" w:hAnsi="Times New Roman" w:cs="Times New Roman"/>
          <w:sz w:val="24"/>
          <w:szCs w:val="24"/>
        </w:rPr>
        <w:t xml:space="preserve"> and another v Associated Newspaper Group Ltd [2007] EWHC 997</w:t>
      </w:r>
    </w:p>
    <w:p w14:paraId="16767035"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proofErr w:type="spellStart"/>
      <w:r w:rsidRPr="0035254B">
        <w:rPr>
          <w:rFonts w:ascii="Times New Roman" w:hAnsi="Times New Roman" w:cs="Times New Roman"/>
          <w:sz w:val="24"/>
          <w:szCs w:val="24"/>
        </w:rPr>
        <w:t>Axa</w:t>
      </w:r>
      <w:proofErr w:type="spellEnd"/>
      <w:r w:rsidRPr="0035254B">
        <w:rPr>
          <w:rFonts w:ascii="Times New Roman" w:hAnsi="Times New Roman" w:cs="Times New Roman"/>
          <w:sz w:val="24"/>
          <w:szCs w:val="24"/>
        </w:rPr>
        <w:t xml:space="preserve"> Sun Life Services plc v Campbell Martin Ltd [2011] 2 Lloyd’s Rep 1</w:t>
      </w:r>
    </w:p>
    <w:p w14:paraId="58BB6C68"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t xml:space="preserve">Barclays Bank v </w:t>
      </w:r>
      <w:proofErr w:type="spellStart"/>
      <w:r w:rsidRPr="0035254B">
        <w:rPr>
          <w:rFonts w:ascii="Times New Roman" w:hAnsi="Times New Roman" w:cs="Times New Roman"/>
          <w:sz w:val="24"/>
          <w:szCs w:val="24"/>
        </w:rPr>
        <w:t>Svizera</w:t>
      </w:r>
      <w:proofErr w:type="spellEnd"/>
      <w:r w:rsidRPr="0035254B">
        <w:rPr>
          <w:rFonts w:ascii="Times New Roman" w:hAnsi="Times New Roman" w:cs="Times New Roman"/>
          <w:sz w:val="24"/>
          <w:szCs w:val="24"/>
        </w:rPr>
        <w:t xml:space="preserve"> Holdings BV [2015] 1 All E.R. (Comm) 788</w:t>
      </w:r>
    </w:p>
    <w:p w14:paraId="293AB2BD"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lastRenderedPageBreak/>
        <w:t>Camerata Property v Credit Suisse Securities (Europe) Ltd [2011] EWHC 479</w:t>
      </w:r>
    </w:p>
    <w:p w14:paraId="4BE7D826"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t>Colchester BC v Smith [1991] Ch 448 (QB) 493</w:t>
      </w:r>
    </w:p>
    <w:p w14:paraId="185BFB54"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t xml:space="preserve">Credit Suisse International v </w:t>
      </w:r>
      <w:proofErr w:type="spellStart"/>
      <w:r w:rsidRPr="0035254B">
        <w:rPr>
          <w:rFonts w:ascii="Times New Roman" w:hAnsi="Times New Roman" w:cs="Times New Roman"/>
          <w:sz w:val="24"/>
          <w:szCs w:val="24"/>
        </w:rPr>
        <w:t>Sticthing</w:t>
      </w:r>
      <w:proofErr w:type="spellEnd"/>
      <w:r w:rsidRPr="0035254B">
        <w:rPr>
          <w:rFonts w:ascii="Times New Roman" w:hAnsi="Times New Roman" w:cs="Times New Roman"/>
          <w:sz w:val="24"/>
          <w:szCs w:val="24"/>
        </w:rPr>
        <w:t xml:space="preserve"> </w:t>
      </w:r>
      <w:proofErr w:type="spellStart"/>
      <w:r w:rsidRPr="0035254B">
        <w:rPr>
          <w:rFonts w:ascii="Times New Roman" w:hAnsi="Times New Roman" w:cs="Times New Roman"/>
          <w:sz w:val="24"/>
          <w:szCs w:val="24"/>
        </w:rPr>
        <w:t>Vestia</w:t>
      </w:r>
      <w:proofErr w:type="spellEnd"/>
      <w:r w:rsidRPr="0035254B">
        <w:rPr>
          <w:rFonts w:ascii="Times New Roman" w:hAnsi="Times New Roman" w:cs="Times New Roman"/>
          <w:sz w:val="24"/>
          <w:szCs w:val="24"/>
        </w:rPr>
        <w:t xml:space="preserve"> </w:t>
      </w:r>
      <w:proofErr w:type="spellStart"/>
      <w:r w:rsidRPr="0035254B">
        <w:rPr>
          <w:rFonts w:ascii="Times New Roman" w:hAnsi="Times New Roman" w:cs="Times New Roman"/>
          <w:sz w:val="24"/>
          <w:szCs w:val="24"/>
        </w:rPr>
        <w:t>Greop</w:t>
      </w:r>
      <w:proofErr w:type="spellEnd"/>
      <w:r w:rsidRPr="0035254B">
        <w:rPr>
          <w:rFonts w:ascii="Times New Roman" w:hAnsi="Times New Roman" w:cs="Times New Roman"/>
          <w:sz w:val="24"/>
          <w:szCs w:val="24"/>
        </w:rPr>
        <w:t xml:space="preserve"> [2014] EWHC 3103, 291</w:t>
      </w:r>
    </w:p>
    <w:p w14:paraId="1BC590F9"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proofErr w:type="spellStart"/>
      <w:r w:rsidRPr="0035254B">
        <w:rPr>
          <w:rFonts w:ascii="Times New Roman" w:hAnsi="Times New Roman" w:cs="Times New Roman"/>
          <w:sz w:val="24"/>
          <w:szCs w:val="24"/>
        </w:rPr>
        <w:t>Inntrepreneur</w:t>
      </w:r>
      <w:proofErr w:type="spellEnd"/>
      <w:r w:rsidRPr="0035254B">
        <w:rPr>
          <w:rFonts w:ascii="Times New Roman" w:hAnsi="Times New Roman" w:cs="Times New Roman"/>
          <w:sz w:val="24"/>
          <w:szCs w:val="24"/>
        </w:rPr>
        <w:t xml:space="preserve"> Pub Co v East Crown Ltd [2000] 2 Lloyd’s Rep 611</w:t>
      </w:r>
    </w:p>
    <w:p w14:paraId="05575091"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t xml:space="preserve">EA </w:t>
      </w:r>
      <w:proofErr w:type="spellStart"/>
      <w:r w:rsidRPr="0035254B">
        <w:rPr>
          <w:rFonts w:ascii="Times New Roman" w:hAnsi="Times New Roman" w:cs="Times New Roman"/>
          <w:sz w:val="24"/>
          <w:szCs w:val="24"/>
        </w:rPr>
        <w:t>Grimstead</w:t>
      </w:r>
      <w:proofErr w:type="spellEnd"/>
      <w:r w:rsidRPr="0035254B">
        <w:rPr>
          <w:rFonts w:ascii="Times New Roman" w:hAnsi="Times New Roman" w:cs="Times New Roman"/>
          <w:sz w:val="24"/>
          <w:szCs w:val="24"/>
        </w:rPr>
        <w:t xml:space="preserve"> &amp; Son Ltd v Mc </w:t>
      </w:r>
      <w:proofErr w:type="spellStart"/>
      <w:r w:rsidRPr="0035254B">
        <w:rPr>
          <w:rFonts w:ascii="Times New Roman" w:hAnsi="Times New Roman" w:cs="Times New Roman"/>
          <w:sz w:val="24"/>
          <w:szCs w:val="24"/>
        </w:rPr>
        <w:t>Garrigan</w:t>
      </w:r>
      <w:proofErr w:type="spellEnd"/>
      <w:r w:rsidRPr="0035254B">
        <w:rPr>
          <w:rFonts w:ascii="Times New Roman" w:hAnsi="Times New Roman" w:cs="Times New Roman"/>
          <w:sz w:val="24"/>
          <w:szCs w:val="24"/>
        </w:rPr>
        <w:t xml:space="preserve"> [1998] TLR 384</w:t>
      </w:r>
    </w:p>
    <w:p w14:paraId="01BA6F52" w14:textId="77777777" w:rsidR="007740F2" w:rsidRPr="0035254B" w:rsidRDefault="007740F2" w:rsidP="007740F2">
      <w:pPr>
        <w:pStyle w:val="ListParagraph"/>
        <w:numPr>
          <w:ilvl w:val="0"/>
          <w:numId w:val="14"/>
        </w:numPr>
        <w:spacing w:line="480" w:lineRule="auto"/>
        <w:jc w:val="both"/>
        <w:rPr>
          <w:rStyle w:val="Emphasis"/>
          <w:rFonts w:ascii="Times New Roman" w:hAnsi="Times New Roman" w:cs="Times New Roman"/>
          <w:i w:val="0"/>
          <w:iCs w:val="0"/>
          <w:sz w:val="24"/>
          <w:szCs w:val="24"/>
        </w:rPr>
      </w:pPr>
      <w:r w:rsidRPr="0035254B">
        <w:rPr>
          <w:rFonts w:ascii="Times New Roman" w:hAnsi="Times New Roman" w:cs="Times New Roman"/>
          <w:sz w:val="24"/>
          <w:szCs w:val="24"/>
        </w:rPr>
        <w:t>Grant Estates Ltd v RBS [2012] GWD 29</w:t>
      </w:r>
    </w:p>
    <w:p w14:paraId="684D4972" w14:textId="77777777" w:rsidR="007740F2" w:rsidRPr="0035254B" w:rsidRDefault="007740F2" w:rsidP="007740F2">
      <w:pPr>
        <w:pStyle w:val="ListParagraph"/>
        <w:numPr>
          <w:ilvl w:val="0"/>
          <w:numId w:val="14"/>
        </w:numPr>
        <w:spacing w:line="480" w:lineRule="auto"/>
        <w:jc w:val="both"/>
        <w:rPr>
          <w:rStyle w:val="Emphasis"/>
          <w:rFonts w:ascii="Times New Roman" w:hAnsi="Times New Roman" w:cs="Times New Roman"/>
          <w:i w:val="0"/>
          <w:iCs w:val="0"/>
          <w:sz w:val="24"/>
          <w:szCs w:val="24"/>
        </w:rPr>
      </w:pPr>
      <w:proofErr w:type="spellStart"/>
      <w:r w:rsidRPr="0035254B">
        <w:rPr>
          <w:rFonts w:ascii="Times New Roman" w:hAnsi="Times New Roman" w:cs="Times New Roman"/>
          <w:sz w:val="24"/>
          <w:szCs w:val="24"/>
        </w:rPr>
        <w:t>HGughes</w:t>
      </w:r>
      <w:proofErr w:type="spellEnd"/>
      <w:r w:rsidRPr="0035254B">
        <w:rPr>
          <w:rFonts w:ascii="Times New Roman" w:hAnsi="Times New Roman" w:cs="Times New Roman"/>
          <w:sz w:val="24"/>
          <w:szCs w:val="24"/>
        </w:rPr>
        <w:t xml:space="preserve"> v Pendragon Sabre Ltd [2016] EWCA </w:t>
      </w:r>
      <w:proofErr w:type="spellStart"/>
      <w:r w:rsidRPr="0035254B">
        <w:rPr>
          <w:rFonts w:ascii="Times New Roman" w:hAnsi="Times New Roman" w:cs="Times New Roman"/>
          <w:sz w:val="24"/>
          <w:szCs w:val="24"/>
        </w:rPr>
        <w:t>Civ</w:t>
      </w:r>
      <w:proofErr w:type="spellEnd"/>
      <w:r w:rsidRPr="0035254B">
        <w:rPr>
          <w:rFonts w:ascii="Times New Roman" w:hAnsi="Times New Roman" w:cs="Times New Roman"/>
          <w:sz w:val="24"/>
          <w:szCs w:val="24"/>
        </w:rPr>
        <w:t xml:space="preserve"> 18, 32</w:t>
      </w:r>
    </w:p>
    <w:p w14:paraId="78077E25" w14:textId="77777777" w:rsidR="007740F2" w:rsidRPr="0035254B" w:rsidRDefault="007740F2" w:rsidP="007740F2">
      <w:pPr>
        <w:pStyle w:val="ListParagraph"/>
        <w:numPr>
          <w:ilvl w:val="0"/>
          <w:numId w:val="14"/>
        </w:numPr>
        <w:spacing w:line="480" w:lineRule="auto"/>
        <w:jc w:val="both"/>
        <w:rPr>
          <w:rStyle w:val="Emphasis"/>
          <w:rFonts w:ascii="Times New Roman" w:hAnsi="Times New Roman" w:cs="Times New Roman"/>
          <w:i w:val="0"/>
          <w:iCs w:val="0"/>
          <w:sz w:val="24"/>
          <w:szCs w:val="24"/>
        </w:rPr>
      </w:pPr>
      <w:r w:rsidRPr="0035254B">
        <w:rPr>
          <w:rStyle w:val="Emphasis"/>
          <w:rFonts w:ascii="Times New Roman" w:hAnsi="Times New Roman" w:cs="Times New Roman"/>
          <w:i w:val="0"/>
          <w:iCs w:val="0"/>
          <w:color w:val="000000"/>
          <w:sz w:val="24"/>
          <w:szCs w:val="24"/>
          <w:shd w:val="clear" w:color="auto" w:fill="FFFFFF"/>
        </w:rPr>
        <w:t>JP Morgan Chase v Springwell Navigation Corporation [2010] 2 CLC 705</w:t>
      </w:r>
    </w:p>
    <w:p w14:paraId="527F3937"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t xml:space="preserve">Lowe v </w:t>
      </w:r>
      <w:proofErr w:type="spellStart"/>
      <w:r w:rsidRPr="0035254B">
        <w:rPr>
          <w:rFonts w:ascii="Times New Roman" w:hAnsi="Times New Roman" w:cs="Times New Roman"/>
          <w:sz w:val="24"/>
          <w:szCs w:val="24"/>
        </w:rPr>
        <w:t>lombak</w:t>
      </w:r>
      <w:proofErr w:type="spellEnd"/>
      <w:r w:rsidRPr="0035254B">
        <w:rPr>
          <w:rFonts w:ascii="Times New Roman" w:hAnsi="Times New Roman" w:cs="Times New Roman"/>
          <w:sz w:val="24"/>
          <w:szCs w:val="24"/>
        </w:rPr>
        <w:t xml:space="preserve"> [1960] 1 WLR</w:t>
      </w:r>
    </w:p>
    <w:p w14:paraId="75C2E2D8"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proofErr w:type="spellStart"/>
      <w:r w:rsidRPr="0035254B">
        <w:rPr>
          <w:rFonts w:ascii="Times New Roman" w:hAnsi="Times New Roman" w:cs="Times New Roman"/>
          <w:sz w:val="24"/>
          <w:szCs w:val="24"/>
        </w:rPr>
        <w:t>Peekay</w:t>
      </w:r>
      <w:proofErr w:type="spellEnd"/>
      <w:r w:rsidRPr="0035254B">
        <w:rPr>
          <w:rFonts w:ascii="Times New Roman" w:hAnsi="Times New Roman" w:cs="Times New Roman"/>
          <w:sz w:val="24"/>
          <w:szCs w:val="24"/>
        </w:rPr>
        <w:t xml:space="preserve"> </w:t>
      </w:r>
      <w:proofErr w:type="spellStart"/>
      <w:r w:rsidRPr="0035254B">
        <w:rPr>
          <w:rFonts w:ascii="Times New Roman" w:hAnsi="Times New Roman" w:cs="Times New Roman"/>
          <w:sz w:val="24"/>
          <w:szCs w:val="24"/>
        </w:rPr>
        <w:t>Intermark</w:t>
      </w:r>
      <w:proofErr w:type="spellEnd"/>
      <w:r w:rsidRPr="0035254B">
        <w:rPr>
          <w:rFonts w:ascii="Times New Roman" w:hAnsi="Times New Roman" w:cs="Times New Roman"/>
          <w:sz w:val="24"/>
          <w:szCs w:val="24"/>
        </w:rPr>
        <w:t xml:space="preserve"> v Australia and New Zealand Banking Group [2006] EWCA </w:t>
      </w:r>
      <w:proofErr w:type="spellStart"/>
      <w:r w:rsidRPr="0035254B">
        <w:rPr>
          <w:rFonts w:ascii="Times New Roman" w:hAnsi="Times New Roman" w:cs="Times New Roman"/>
          <w:sz w:val="24"/>
          <w:szCs w:val="24"/>
        </w:rPr>
        <w:t>Civ</w:t>
      </w:r>
      <w:proofErr w:type="spellEnd"/>
      <w:r w:rsidRPr="0035254B">
        <w:rPr>
          <w:rFonts w:ascii="Times New Roman" w:hAnsi="Times New Roman" w:cs="Times New Roman"/>
          <w:sz w:val="24"/>
          <w:szCs w:val="24"/>
        </w:rPr>
        <w:t xml:space="preserve"> 386</w:t>
      </w:r>
    </w:p>
    <w:p w14:paraId="50857FF0"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t xml:space="preserve">Prime Sight Ltd v </w:t>
      </w:r>
      <w:proofErr w:type="spellStart"/>
      <w:r w:rsidRPr="0035254B">
        <w:rPr>
          <w:rFonts w:ascii="Times New Roman" w:hAnsi="Times New Roman" w:cs="Times New Roman"/>
          <w:sz w:val="24"/>
          <w:szCs w:val="24"/>
        </w:rPr>
        <w:t>Lavarello</w:t>
      </w:r>
      <w:proofErr w:type="spellEnd"/>
      <w:r w:rsidRPr="0035254B">
        <w:rPr>
          <w:rFonts w:ascii="Times New Roman" w:hAnsi="Times New Roman" w:cs="Times New Roman"/>
          <w:sz w:val="24"/>
          <w:szCs w:val="24"/>
        </w:rPr>
        <w:t xml:space="preserve"> [2013] WLR 514</w:t>
      </w:r>
    </w:p>
    <w:p w14:paraId="2C8A039D"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proofErr w:type="spellStart"/>
      <w:r w:rsidRPr="0035254B">
        <w:rPr>
          <w:rFonts w:ascii="Times New Roman" w:hAnsi="Times New Roman" w:cs="Times New Roman"/>
          <w:sz w:val="24"/>
          <w:szCs w:val="24"/>
        </w:rPr>
        <w:t>Simm</w:t>
      </w:r>
      <w:proofErr w:type="spellEnd"/>
      <w:r w:rsidRPr="0035254B">
        <w:rPr>
          <w:rFonts w:ascii="Times New Roman" w:hAnsi="Times New Roman" w:cs="Times New Roman"/>
          <w:sz w:val="24"/>
          <w:szCs w:val="24"/>
        </w:rPr>
        <w:t xml:space="preserve"> v Anglo American Telegraph [1878] 5 QBD 188 (CA) 202</w:t>
      </w:r>
    </w:p>
    <w:p w14:paraId="45B96751" w14:textId="77777777" w:rsidR="007740F2" w:rsidRPr="0035254B" w:rsidRDefault="007740F2" w:rsidP="007740F2">
      <w:pPr>
        <w:pStyle w:val="ListParagraph"/>
        <w:numPr>
          <w:ilvl w:val="0"/>
          <w:numId w:val="14"/>
        </w:numPr>
        <w:spacing w:line="480" w:lineRule="auto"/>
        <w:jc w:val="both"/>
        <w:rPr>
          <w:rFonts w:ascii="Times New Roman" w:hAnsi="Times New Roman" w:cs="Times New Roman"/>
          <w:sz w:val="24"/>
          <w:szCs w:val="24"/>
        </w:rPr>
      </w:pPr>
      <w:r w:rsidRPr="0035254B">
        <w:rPr>
          <w:rFonts w:ascii="Times New Roman" w:hAnsi="Times New Roman" w:cs="Times New Roman"/>
          <w:sz w:val="24"/>
          <w:szCs w:val="24"/>
        </w:rPr>
        <w:t xml:space="preserve">Wood v Capital Bridging Finance Ltd [2015] EWCA </w:t>
      </w:r>
      <w:proofErr w:type="spellStart"/>
      <w:r w:rsidRPr="0035254B">
        <w:rPr>
          <w:rFonts w:ascii="Times New Roman" w:hAnsi="Times New Roman" w:cs="Times New Roman"/>
          <w:sz w:val="24"/>
          <w:szCs w:val="24"/>
        </w:rPr>
        <w:t>Civ</w:t>
      </w:r>
      <w:proofErr w:type="spellEnd"/>
      <w:r w:rsidRPr="0035254B">
        <w:rPr>
          <w:rFonts w:ascii="Times New Roman" w:hAnsi="Times New Roman" w:cs="Times New Roman"/>
          <w:sz w:val="24"/>
          <w:szCs w:val="24"/>
        </w:rPr>
        <w:t xml:space="preserve"> 451</w:t>
      </w:r>
    </w:p>
    <w:p w14:paraId="74BD5AA0" w14:textId="77777777" w:rsidR="007740F2" w:rsidRPr="0035254B" w:rsidRDefault="007740F2" w:rsidP="007740F2">
      <w:pPr>
        <w:spacing w:line="360" w:lineRule="auto"/>
        <w:rPr>
          <w:rFonts w:ascii="Times New Roman" w:hAnsi="Times New Roman" w:cs="Times New Roman"/>
          <w:sz w:val="24"/>
          <w:szCs w:val="24"/>
        </w:rPr>
      </w:pPr>
    </w:p>
    <w:p w14:paraId="1F4AA1EA" w14:textId="77777777" w:rsidR="007740F2" w:rsidRPr="00D65832" w:rsidRDefault="007740F2" w:rsidP="007740F2">
      <w:pPr>
        <w:spacing w:line="360" w:lineRule="auto"/>
        <w:rPr>
          <w:rFonts w:ascii="Times New Roman" w:hAnsi="Times New Roman" w:cs="Times New Roman"/>
          <w:b/>
          <w:bCs/>
          <w:sz w:val="24"/>
          <w:szCs w:val="24"/>
          <w:u w:val="single"/>
        </w:rPr>
      </w:pPr>
      <w:r w:rsidRPr="00D65832">
        <w:rPr>
          <w:rFonts w:ascii="Times New Roman" w:hAnsi="Times New Roman" w:cs="Times New Roman"/>
          <w:b/>
          <w:bCs/>
          <w:sz w:val="24"/>
          <w:szCs w:val="24"/>
          <w:u w:val="single"/>
        </w:rPr>
        <w:t>List of Acts:</w:t>
      </w:r>
    </w:p>
    <w:p w14:paraId="0D32562B" w14:textId="77777777" w:rsidR="007740F2" w:rsidRPr="0035254B" w:rsidRDefault="007740F2" w:rsidP="007740F2">
      <w:pPr>
        <w:pStyle w:val="ListParagraph"/>
        <w:numPr>
          <w:ilvl w:val="0"/>
          <w:numId w:val="15"/>
        </w:numPr>
        <w:spacing w:line="360" w:lineRule="auto"/>
        <w:rPr>
          <w:rFonts w:ascii="Times New Roman" w:hAnsi="Times New Roman" w:cs="Times New Roman"/>
          <w:sz w:val="24"/>
          <w:szCs w:val="24"/>
        </w:rPr>
      </w:pPr>
      <w:r w:rsidRPr="002B75EC">
        <w:rPr>
          <w:rFonts w:ascii="Times New Roman" w:hAnsi="Times New Roman" w:cs="Times New Roman"/>
          <w:sz w:val="24"/>
          <w:szCs w:val="24"/>
        </w:rPr>
        <w:t>Unfair Contract Terms Act 1977</w:t>
      </w:r>
    </w:p>
    <w:p w14:paraId="558602F8" w14:textId="77777777" w:rsidR="007740F2" w:rsidRPr="002B75EC" w:rsidRDefault="007740F2" w:rsidP="00D44DBD">
      <w:pPr>
        <w:spacing w:line="480" w:lineRule="auto"/>
        <w:jc w:val="both"/>
        <w:rPr>
          <w:rFonts w:ascii="Times New Roman" w:hAnsi="Times New Roman" w:cs="Times New Roman"/>
          <w:sz w:val="24"/>
          <w:szCs w:val="24"/>
        </w:rPr>
      </w:pPr>
    </w:p>
    <w:p w14:paraId="58481F8C" w14:textId="77777777" w:rsidR="005B1474" w:rsidRPr="002B75EC" w:rsidRDefault="005B1474">
      <w:pPr>
        <w:spacing w:line="480" w:lineRule="auto"/>
        <w:jc w:val="both"/>
        <w:rPr>
          <w:rFonts w:ascii="Times New Roman" w:hAnsi="Times New Roman" w:cs="Times New Roman"/>
          <w:sz w:val="24"/>
          <w:szCs w:val="24"/>
        </w:rPr>
      </w:pPr>
    </w:p>
    <w:sectPr w:rsidR="005B1474" w:rsidRPr="002B75E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36375" w14:textId="77777777" w:rsidR="004F52B1" w:rsidRDefault="004F52B1" w:rsidP="00D167E7">
      <w:pPr>
        <w:spacing w:after="0" w:line="240" w:lineRule="auto"/>
      </w:pPr>
      <w:r>
        <w:separator/>
      </w:r>
    </w:p>
  </w:endnote>
  <w:endnote w:type="continuationSeparator" w:id="0">
    <w:p w14:paraId="23948533" w14:textId="77777777" w:rsidR="004F52B1" w:rsidRDefault="004F52B1" w:rsidP="00D16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891610"/>
      <w:docPartObj>
        <w:docPartGallery w:val="Page Numbers (Bottom of Page)"/>
        <w:docPartUnique/>
      </w:docPartObj>
    </w:sdtPr>
    <w:sdtContent>
      <w:p w14:paraId="5475034D" w14:textId="01BF1004" w:rsidR="0044582F" w:rsidRDefault="0044582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30A2DEF" w14:textId="77777777" w:rsidR="0044582F" w:rsidRDefault="00445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1B8E2" w14:textId="77777777" w:rsidR="004F52B1" w:rsidRDefault="004F52B1" w:rsidP="00D167E7">
      <w:pPr>
        <w:spacing w:after="0" w:line="240" w:lineRule="auto"/>
      </w:pPr>
      <w:r>
        <w:separator/>
      </w:r>
    </w:p>
  </w:footnote>
  <w:footnote w:type="continuationSeparator" w:id="0">
    <w:p w14:paraId="3D8E80BE" w14:textId="77777777" w:rsidR="004F52B1" w:rsidRDefault="004F52B1" w:rsidP="00D167E7">
      <w:pPr>
        <w:spacing w:after="0" w:line="240" w:lineRule="auto"/>
      </w:pPr>
      <w:r>
        <w:continuationSeparator/>
      </w:r>
    </w:p>
  </w:footnote>
  <w:footnote w:id="1">
    <w:p w14:paraId="6220D344"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[2006] EWCA </w:t>
      </w:r>
      <w:proofErr w:type="spellStart"/>
      <w:r w:rsidRPr="005B1474">
        <w:rPr>
          <w:rFonts w:ascii="Times New Roman" w:hAnsi="Times New Roman" w:cs="Times New Roman"/>
          <w:szCs w:val="20"/>
        </w:rPr>
        <w:t>Civ</w:t>
      </w:r>
      <w:proofErr w:type="spellEnd"/>
      <w:r w:rsidRPr="005B1474">
        <w:rPr>
          <w:rFonts w:ascii="Times New Roman" w:hAnsi="Times New Roman" w:cs="Times New Roman"/>
          <w:szCs w:val="20"/>
        </w:rPr>
        <w:t xml:space="preserve"> 386</w:t>
      </w:r>
    </w:p>
  </w:footnote>
  <w:footnote w:id="2">
    <w:p w14:paraId="2055B584"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[2008] EWHC 1186 (Comm)</w:t>
      </w:r>
    </w:p>
  </w:footnote>
  <w:footnote w:id="3">
    <w:p w14:paraId="13214C51"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Jo Braithwaite, The origins and implications of contractual estoppel [2016] 132(Jan) Law Quarterly Review 1</w:t>
      </w:r>
    </w:p>
  </w:footnote>
  <w:footnote w:id="4">
    <w:p w14:paraId="7F797E36"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[2006] EWCA </w:t>
      </w:r>
      <w:proofErr w:type="spellStart"/>
      <w:r w:rsidRPr="005B1474">
        <w:rPr>
          <w:rFonts w:ascii="Times New Roman" w:hAnsi="Times New Roman" w:cs="Times New Roman"/>
          <w:szCs w:val="20"/>
        </w:rPr>
        <w:t>Civ</w:t>
      </w:r>
      <w:proofErr w:type="spellEnd"/>
      <w:r w:rsidRPr="005B1474">
        <w:rPr>
          <w:rFonts w:ascii="Times New Roman" w:hAnsi="Times New Roman" w:cs="Times New Roman"/>
          <w:szCs w:val="20"/>
        </w:rPr>
        <w:t xml:space="preserve"> 386</w:t>
      </w:r>
    </w:p>
  </w:footnote>
  <w:footnote w:id="5">
    <w:p w14:paraId="72EBE60F"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proofErr w:type="spellStart"/>
      <w:r w:rsidRPr="005B1474">
        <w:rPr>
          <w:rFonts w:ascii="Times New Roman" w:hAnsi="Times New Roman" w:cs="Times New Roman"/>
          <w:i/>
          <w:iCs/>
          <w:szCs w:val="20"/>
        </w:rPr>
        <w:t>Peekay</w:t>
      </w:r>
      <w:proofErr w:type="spellEnd"/>
      <w:r w:rsidRPr="005B1474">
        <w:rPr>
          <w:rFonts w:ascii="Times New Roman" w:hAnsi="Times New Roman" w:cs="Times New Roman"/>
          <w:i/>
          <w:iCs/>
          <w:szCs w:val="20"/>
        </w:rPr>
        <w:t xml:space="preserve"> </w:t>
      </w:r>
      <w:proofErr w:type="spellStart"/>
      <w:r w:rsidRPr="005B1474">
        <w:rPr>
          <w:rFonts w:ascii="Times New Roman" w:hAnsi="Times New Roman" w:cs="Times New Roman"/>
          <w:i/>
          <w:iCs/>
          <w:szCs w:val="20"/>
        </w:rPr>
        <w:t>Intermark</w:t>
      </w:r>
      <w:proofErr w:type="spellEnd"/>
      <w:r w:rsidRPr="005B1474">
        <w:rPr>
          <w:rFonts w:ascii="Times New Roman" w:hAnsi="Times New Roman" w:cs="Times New Roman"/>
          <w:i/>
          <w:iCs/>
          <w:szCs w:val="20"/>
        </w:rPr>
        <w:t xml:space="preserve"> v Australia and New Zealand Banking Group </w:t>
      </w:r>
      <w:r w:rsidRPr="005B1474">
        <w:rPr>
          <w:rFonts w:ascii="Times New Roman" w:hAnsi="Times New Roman" w:cs="Times New Roman"/>
          <w:szCs w:val="20"/>
        </w:rPr>
        <w:t xml:space="preserve">[2006] EWCA </w:t>
      </w:r>
      <w:proofErr w:type="spellStart"/>
      <w:r w:rsidRPr="005B1474">
        <w:rPr>
          <w:rFonts w:ascii="Times New Roman" w:hAnsi="Times New Roman" w:cs="Times New Roman"/>
          <w:szCs w:val="20"/>
        </w:rPr>
        <w:t>Civ</w:t>
      </w:r>
      <w:proofErr w:type="spellEnd"/>
      <w:r w:rsidRPr="005B1474">
        <w:rPr>
          <w:rFonts w:ascii="Times New Roman" w:hAnsi="Times New Roman" w:cs="Times New Roman"/>
          <w:szCs w:val="20"/>
        </w:rPr>
        <w:t xml:space="preserve"> 386</w:t>
      </w:r>
    </w:p>
  </w:footnote>
  <w:footnote w:id="6">
    <w:p w14:paraId="5EE5C4CF"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Pr="005B1474">
        <w:rPr>
          <w:rFonts w:ascii="Times New Roman" w:hAnsi="Times New Roman" w:cs="Times New Roman"/>
          <w:color w:val="000000"/>
          <w:szCs w:val="20"/>
          <w:shd w:val="clear" w:color="auto" w:fill="FFFFFF"/>
        </w:rPr>
        <w:t xml:space="preserve">[2010] EWCA </w:t>
      </w:r>
      <w:proofErr w:type="spellStart"/>
      <w:r w:rsidRPr="005B1474">
        <w:rPr>
          <w:rFonts w:ascii="Times New Roman" w:hAnsi="Times New Roman" w:cs="Times New Roman"/>
          <w:color w:val="000000"/>
          <w:szCs w:val="20"/>
          <w:shd w:val="clear" w:color="auto" w:fill="FFFFFF"/>
        </w:rPr>
        <w:t>Civ</w:t>
      </w:r>
      <w:proofErr w:type="spellEnd"/>
      <w:r w:rsidRPr="005B1474">
        <w:rPr>
          <w:rFonts w:ascii="Times New Roman" w:hAnsi="Times New Roman" w:cs="Times New Roman"/>
          <w:color w:val="000000"/>
          <w:szCs w:val="20"/>
          <w:shd w:val="clear" w:color="auto" w:fill="FFFFFF"/>
        </w:rPr>
        <w:t xml:space="preserve"> 1221</w:t>
      </w:r>
    </w:p>
  </w:footnote>
  <w:footnote w:id="7">
    <w:p w14:paraId="2FBC20AD" w14:textId="3F6696BD"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4" w:name="_Hlk523150907"/>
      <w:r w:rsidRPr="005B1474">
        <w:rPr>
          <w:rFonts w:ascii="Times New Roman" w:hAnsi="Times New Roman" w:cs="Times New Roman"/>
          <w:szCs w:val="20"/>
        </w:rPr>
        <w:t xml:space="preserve">Catherine </w:t>
      </w:r>
      <w:proofErr w:type="spellStart"/>
      <w:r w:rsidRPr="005B1474">
        <w:rPr>
          <w:rFonts w:ascii="Times New Roman" w:hAnsi="Times New Roman" w:cs="Times New Roman"/>
          <w:szCs w:val="20"/>
        </w:rPr>
        <w:t>Gibaud</w:t>
      </w:r>
      <w:proofErr w:type="spellEnd"/>
      <w:r w:rsidRPr="005B1474">
        <w:rPr>
          <w:rFonts w:ascii="Times New Roman" w:hAnsi="Times New Roman" w:cs="Times New Roman"/>
          <w:szCs w:val="20"/>
        </w:rPr>
        <w:t xml:space="preserve">, Contractual estoppel: an old remedy </w:t>
      </w:r>
      <w:r w:rsidR="009E78A6" w:rsidRPr="005B1474">
        <w:rPr>
          <w:rFonts w:ascii="Times New Roman" w:hAnsi="Times New Roman" w:cs="Times New Roman"/>
          <w:szCs w:val="20"/>
        </w:rPr>
        <w:t>revived,</w:t>
      </w:r>
      <w:r w:rsidRPr="005B1474">
        <w:rPr>
          <w:rFonts w:ascii="Times New Roman" w:hAnsi="Times New Roman" w:cs="Times New Roman"/>
          <w:szCs w:val="20"/>
        </w:rPr>
        <w:t xml:space="preserve"> or a new remedy forged? [2010] 6 Journal of International Banking and Finance Law </w:t>
      </w:r>
      <w:bookmarkEnd w:id="4"/>
      <w:r w:rsidRPr="005B1474">
        <w:rPr>
          <w:rFonts w:ascii="Times New Roman" w:hAnsi="Times New Roman" w:cs="Times New Roman"/>
          <w:szCs w:val="20"/>
        </w:rPr>
        <w:t>4</w:t>
      </w:r>
    </w:p>
  </w:footnote>
  <w:footnote w:id="8">
    <w:p w14:paraId="5F3E60C4"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5" w:name="_Hlk523150226"/>
      <w:r w:rsidRPr="005B1474">
        <w:rPr>
          <w:rFonts w:ascii="Times New Roman" w:hAnsi="Times New Roman" w:cs="Times New Roman"/>
          <w:szCs w:val="20"/>
        </w:rPr>
        <w:t xml:space="preserve">S. Wilken and K. </w:t>
      </w:r>
      <w:proofErr w:type="spellStart"/>
      <w:r w:rsidRPr="005B1474">
        <w:rPr>
          <w:rFonts w:ascii="Times New Roman" w:hAnsi="Times New Roman" w:cs="Times New Roman"/>
          <w:szCs w:val="20"/>
        </w:rPr>
        <w:t>Ghaly</w:t>
      </w:r>
      <w:proofErr w:type="spellEnd"/>
      <w:r w:rsidRPr="005B1474">
        <w:rPr>
          <w:rFonts w:ascii="Times New Roman" w:hAnsi="Times New Roman" w:cs="Times New Roman"/>
          <w:szCs w:val="20"/>
        </w:rPr>
        <w:t>, The Law of Waiver, Variation and Estoppel, (3</w:t>
      </w:r>
      <w:r w:rsidRPr="005B1474">
        <w:rPr>
          <w:rFonts w:ascii="Times New Roman" w:hAnsi="Times New Roman" w:cs="Times New Roman"/>
          <w:szCs w:val="20"/>
          <w:vertAlign w:val="superscript"/>
        </w:rPr>
        <w:t>rd</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xml:space="preserve">, Oxford University Press, 2012) </w:t>
      </w:r>
      <w:bookmarkEnd w:id="5"/>
      <w:r w:rsidRPr="005B1474">
        <w:rPr>
          <w:rFonts w:ascii="Times New Roman" w:hAnsi="Times New Roman" w:cs="Times New Roman"/>
          <w:szCs w:val="20"/>
        </w:rPr>
        <w:t>90-91</w:t>
      </w:r>
    </w:p>
  </w:footnote>
  <w:footnote w:id="9">
    <w:p w14:paraId="771329D3"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G. </w:t>
      </w:r>
      <w:proofErr w:type="spellStart"/>
      <w:r w:rsidRPr="005B1474">
        <w:rPr>
          <w:rFonts w:ascii="Times New Roman" w:hAnsi="Times New Roman" w:cs="Times New Roman"/>
          <w:szCs w:val="20"/>
        </w:rPr>
        <w:t>McMeel</w:t>
      </w:r>
      <w:proofErr w:type="spellEnd"/>
      <w:r w:rsidRPr="005B1474">
        <w:rPr>
          <w:rFonts w:ascii="Times New Roman" w:hAnsi="Times New Roman" w:cs="Times New Roman"/>
          <w:szCs w:val="20"/>
        </w:rPr>
        <w:t>, "Documentary Fundamentalism in the Senior Courts: The myth of contractual estoppel" [2011] 185 Lloyd’s Maritime and Commercial Law Quarterly, 206 - 207</w:t>
      </w:r>
    </w:p>
  </w:footnote>
  <w:footnote w:id="10">
    <w:p w14:paraId="35386FB3"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6" w:name="_Hlk523150265"/>
      <w:r w:rsidRPr="005B1474">
        <w:rPr>
          <w:rFonts w:ascii="Times New Roman" w:hAnsi="Times New Roman" w:cs="Times New Roman"/>
          <w:szCs w:val="20"/>
        </w:rPr>
        <w:t xml:space="preserve">George Spencer Bower and Alexander </w:t>
      </w:r>
      <w:proofErr w:type="spellStart"/>
      <w:r w:rsidRPr="005B1474">
        <w:rPr>
          <w:rFonts w:ascii="Times New Roman" w:hAnsi="Times New Roman" w:cs="Times New Roman"/>
          <w:szCs w:val="20"/>
        </w:rPr>
        <w:t>Kingcome</w:t>
      </w:r>
      <w:proofErr w:type="spellEnd"/>
      <w:r w:rsidRPr="005B1474">
        <w:rPr>
          <w:rFonts w:ascii="Times New Roman" w:hAnsi="Times New Roman" w:cs="Times New Roman"/>
          <w:szCs w:val="20"/>
        </w:rPr>
        <w:t xml:space="preserve"> Turner, The Law Relating to Estoppel by Representation (3</w:t>
      </w:r>
      <w:r w:rsidRPr="005B1474">
        <w:rPr>
          <w:rFonts w:ascii="Times New Roman" w:hAnsi="Times New Roman" w:cs="Times New Roman"/>
          <w:szCs w:val="20"/>
          <w:vertAlign w:val="superscript"/>
        </w:rPr>
        <w:t>rd</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xml:space="preserve">, Butterworths, 1977) </w:t>
      </w:r>
      <w:bookmarkEnd w:id="6"/>
      <w:r w:rsidRPr="005B1474">
        <w:rPr>
          <w:rFonts w:ascii="Times New Roman" w:hAnsi="Times New Roman" w:cs="Times New Roman"/>
          <w:szCs w:val="20"/>
        </w:rPr>
        <w:t>158.s</w:t>
      </w:r>
    </w:p>
  </w:footnote>
  <w:footnote w:id="11">
    <w:p w14:paraId="5121FD2B"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[1991] Ch 448 (QB) 493</w:t>
      </w:r>
    </w:p>
  </w:footnote>
  <w:footnote w:id="12">
    <w:p w14:paraId="1FFA3DFA"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7" w:name="_Hlk523150867"/>
      <w:r w:rsidRPr="005B1474">
        <w:rPr>
          <w:rFonts w:ascii="Times New Roman" w:hAnsi="Times New Roman" w:cs="Times New Roman"/>
          <w:szCs w:val="20"/>
        </w:rPr>
        <w:t>Rupert Lewis, “The development of contractual estoppel” [2011] 49 Journal of International Banking Law and Regulation, 1</w:t>
      </w:r>
      <w:bookmarkEnd w:id="7"/>
    </w:p>
  </w:footnote>
  <w:footnote w:id="13">
    <w:p w14:paraId="5E28741D"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[1960] 1 WLR </w:t>
      </w:r>
    </w:p>
  </w:footnote>
  <w:footnote w:id="14">
    <w:p w14:paraId="50FB63A3"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 w:id="15">
    <w:p w14:paraId="572A3BA8"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8" w:name="_Hlk523150290"/>
      <w:r w:rsidRPr="005B1474">
        <w:rPr>
          <w:rFonts w:ascii="Times New Roman" w:hAnsi="Times New Roman" w:cs="Times New Roman"/>
          <w:szCs w:val="20"/>
        </w:rPr>
        <w:t xml:space="preserve">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xml:space="preserve">, Informa Law from Routledge, 2018) </w:t>
      </w:r>
      <w:bookmarkEnd w:id="8"/>
      <w:r w:rsidRPr="005B1474">
        <w:rPr>
          <w:rFonts w:ascii="Times New Roman" w:hAnsi="Times New Roman" w:cs="Times New Roman"/>
          <w:szCs w:val="20"/>
        </w:rPr>
        <w:t>126</w:t>
      </w:r>
    </w:p>
  </w:footnote>
  <w:footnote w:id="16">
    <w:p w14:paraId="0A3F74E6"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127</w:t>
      </w:r>
    </w:p>
  </w:footnote>
  <w:footnote w:id="17">
    <w:p w14:paraId="3F745F5D"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[2006] EWCA </w:t>
      </w:r>
      <w:proofErr w:type="spellStart"/>
      <w:r w:rsidRPr="005B1474">
        <w:rPr>
          <w:rFonts w:ascii="Times New Roman" w:hAnsi="Times New Roman" w:cs="Times New Roman"/>
          <w:szCs w:val="20"/>
        </w:rPr>
        <w:t>Civ</w:t>
      </w:r>
      <w:proofErr w:type="spellEnd"/>
      <w:r w:rsidRPr="005B1474">
        <w:rPr>
          <w:rFonts w:ascii="Times New Roman" w:hAnsi="Times New Roman" w:cs="Times New Roman"/>
          <w:szCs w:val="20"/>
        </w:rPr>
        <w:t xml:space="preserve"> 386</w:t>
      </w:r>
    </w:p>
  </w:footnote>
  <w:footnote w:id="18">
    <w:p w14:paraId="6E7B5B62"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[2008] EWHC 1186</w:t>
      </w:r>
    </w:p>
  </w:footnote>
  <w:footnote w:id="19">
    <w:p w14:paraId="0D6DAE53" w14:textId="7F039104"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00F60235" w:rsidRPr="005B1474">
        <w:rPr>
          <w:rFonts w:ascii="Times New Roman" w:hAnsi="Times New Roman" w:cs="Times New Roman"/>
          <w:szCs w:val="20"/>
        </w:rPr>
        <w:t xml:space="preserve">[2006] EWCA </w:t>
      </w:r>
      <w:proofErr w:type="spellStart"/>
      <w:r w:rsidR="00F60235" w:rsidRPr="005B1474">
        <w:rPr>
          <w:rFonts w:ascii="Times New Roman" w:hAnsi="Times New Roman" w:cs="Times New Roman"/>
          <w:szCs w:val="20"/>
        </w:rPr>
        <w:t>Civ</w:t>
      </w:r>
      <w:proofErr w:type="spellEnd"/>
      <w:r w:rsidR="00F60235" w:rsidRPr="005B1474">
        <w:rPr>
          <w:rFonts w:ascii="Times New Roman" w:hAnsi="Times New Roman" w:cs="Times New Roman"/>
          <w:szCs w:val="20"/>
        </w:rPr>
        <w:t xml:space="preserve"> 386</w:t>
      </w:r>
    </w:p>
  </w:footnote>
  <w:footnote w:id="20">
    <w:p w14:paraId="43C55309" w14:textId="59BE4403"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00000480" w:rsidRPr="005B1474">
        <w:rPr>
          <w:rFonts w:ascii="Times New Roman" w:hAnsi="Times New Roman" w:cs="Times New Roman"/>
          <w:szCs w:val="20"/>
        </w:rPr>
        <w:t>[2008] EWHC 1186</w:t>
      </w:r>
    </w:p>
  </w:footnote>
  <w:footnote w:id="21">
    <w:p w14:paraId="040F528B" w14:textId="5C49DD45"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00000480" w:rsidRPr="005B1474">
        <w:rPr>
          <w:rFonts w:ascii="Times New Roman" w:hAnsi="Times New Roman" w:cs="Times New Roman"/>
          <w:szCs w:val="20"/>
        </w:rPr>
        <w:t>[2013] WLR 514</w:t>
      </w:r>
    </w:p>
  </w:footnote>
  <w:footnote w:id="22">
    <w:p w14:paraId="5ADE62E8"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Peekay</w:t>
      </w:r>
      <w:proofErr w:type="spellEnd"/>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Intermark</w:t>
      </w:r>
      <w:proofErr w:type="spellEnd"/>
      <w:r w:rsidRPr="005B1474">
        <w:rPr>
          <w:rFonts w:ascii="Times New Roman" w:hAnsi="Times New Roman" w:cs="Times New Roman"/>
          <w:szCs w:val="20"/>
        </w:rPr>
        <w:t xml:space="preserve"> v Australia and New Zealand Banking Group Ltd [2006] 1 CLC 582, at 50-58</w:t>
      </w:r>
    </w:p>
  </w:footnote>
  <w:footnote w:id="23">
    <w:p w14:paraId="208531E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 52</w:t>
      </w:r>
    </w:p>
  </w:footnote>
  <w:footnote w:id="24">
    <w:p w14:paraId="30D839AB"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 56</w:t>
      </w:r>
    </w:p>
  </w:footnote>
  <w:footnote w:id="25">
    <w:p w14:paraId="72292B49"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Jo Braithwaite, The origins and implications of contractual estoppel [2016] 132(Jan) Law Quarterly Review 5</w:t>
      </w:r>
    </w:p>
  </w:footnote>
  <w:footnote w:id="26">
    <w:p w14:paraId="306E8B61"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 6</w:t>
      </w:r>
    </w:p>
  </w:footnote>
  <w:footnote w:id="27">
    <w:p w14:paraId="1BE5C575"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Pr="005B1474">
        <w:rPr>
          <w:rStyle w:val="Emphasis"/>
          <w:rFonts w:ascii="Times New Roman" w:hAnsi="Times New Roman" w:cs="Times New Roman"/>
          <w:i w:val="0"/>
          <w:iCs w:val="0"/>
          <w:color w:val="000000"/>
          <w:szCs w:val="20"/>
          <w:shd w:val="clear" w:color="auto" w:fill="FFFFFF"/>
        </w:rPr>
        <w:t>JP Morgan Chase v Springwell Navigation Corporation [2010] 2 CLC 705</w:t>
      </w:r>
    </w:p>
  </w:footnote>
  <w:footnote w:id="28">
    <w:p w14:paraId="58D4DC5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Jo Braithwaite, The origins and implications of contractual estoppel [2016] 132(Jan) Law Quarterly Review 7</w:t>
      </w:r>
    </w:p>
  </w:footnote>
  <w:footnote w:id="29">
    <w:p w14:paraId="7915D05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Watford Electronics v Sanderson [2001] 1 All E.R. 40</w:t>
      </w:r>
    </w:p>
  </w:footnote>
  <w:footnote w:id="30">
    <w:p w14:paraId="54E69888"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Prime Sight Ltd v </w:t>
      </w:r>
      <w:proofErr w:type="spellStart"/>
      <w:r w:rsidRPr="005B1474">
        <w:rPr>
          <w:rFonts w:ascii="Times New Roman" w:hAnsi="Times New Roman" w:cs="Times New Roman"/>
          <w:szCs w:val="20"/>
        </w:rPr>
        <w:t>Lavarello</w:t>
      </w:r>
      <w:proofErr w:type="spellEnd"/>
      <w:r w:rsidRPr="005B1474">
        <w:rPr>
          <w:rFonts w:ascii="Times New Roman" w:hAnsi="Times New Roman" w:cs="Times New Roman"/>
          <w:szCs w:val="20"/>
        </w:rPr>
        <w:t xml:space="preserve"> [2013] WLR 514, 41</w:t>
      </w:r>
    </w:p>
  </w:footnote>
  <w:footnote w:id="31">
    <w:p w14:paraId="2D768E39"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 47</w:t>
      </w:r>
    </w:p>
  </w:footnote>
  <w:footnote w:id="32">
    <w:p w14:paraId="383ADB01"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[1998] TLR 284</w:t>
      </w:r>
    </w:p>
  </w:footnote>
  <w:footnote w:id="33">
    <w:p w14:paraId="44F074FA"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Pr="005B1474">
        <w:rPr>
          <w:rFonts w:ascii="Times New Roman" w:hAnsi="Times New Roman" w:cs="Times New Roman"/>
          <w:i/>
          <w:iCs/>
          <w:szCs w:val="20"/>
        </w:rPr>
        <w:t xml:space="preserve">EA </w:t>
      </w:r>
      <w:proofErr w:type="spellStart"/>
      <w:r w:rsidRPr="005B1474">
        <w:rPr>
          <w:rFonts w:ascii="Times New Roman" w:hAnsi="Times New Roman" w:cs="Times New Roman"/>
          <w:i/>
          <w:iCs/>
          <w:szCs w:val="20"/>
        </w:rPr>
        <w:t>Grimstead</w:t>
      </w:r>
      <w:proofErr w:type="spellEnd"/>
      <w:r w:rsidRPr="005B1474">
        <w:rPr>
          <w:rFonts w:ascii="Times New Roman" w:hAnsi="Times New Roman" w:cs="Times New Roman"/>
          <w:i/>
          <w:iCs/>
          <w:szCs w:val="20"/>
        </w:rPr>
        <w:t xml:space="preserve"> &amp; Son Ltd v Mc </w:t>
      </w:r>
      <w:proofErr w:type="spellStart"/>
      <w:r w:rsidRPr="005B1474">
        <w:rPr>
          <w:rFonts w:ascii="Times New Roman" w:hAnsi="Times New Roman" w:cs="Times New Roman"/>
          <w:i/>
          <w:iCs/>
          <w:szCs w:val="20"/>
        </w:rPr>
        <w:t>Garrigan</w:t>
      </w:r>
      <w:proofErr w:type="spellEnd"/>
      <w:r w:rsidRPr="005B1474">
        <w:rPr>
          <w:rFonts w:ascii="Times New Roman" w:hAnsi="Times New Roman" w:cs="Times New Roman"/>
          <w:i/>
          <w:iCs/>
          <w:szCs w:val="20"/>
        </w:rPr>
        <w:t xml:space="preserve"> </w:t>
      </w:r>
      <w:r w:rsidRPr="005B1474">
        <w:rPr>
          <w:rFonts w:ascii="Times New Roman" w:hAnsi="Times New Roman" w:cs="Times New Roman"/>
          <w:szCs w:val="20"/>
        </w:rPr>
        <w:t>[1998] TLR 384, at 411</w:t>
      </w:r>
    </w:p>
  </w:footnote>
  <w:footnote w:id="34">
    <w:p w14:paraId="57C47CD3"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[1960] 1 WLR 196</w:t>
      </w:r>
    </w:p>
  </w:footnote>
  <w:footnote w:id="35">
    <w:p w14:paraId="27F59AF9"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Jo Braithwaite, The origins and implications of contractual estoppel [2016] 132(Jan) Law Quarterly Review 7</w:t>
      </w:r>
    </w:p>
  </w:footnote>
  <w:footnote w:id="36">
    <w:p w14:paraId="144700A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Watford Electronics v Sanderson [2001] 1 All E.R. 696, at 40</w:t>
      </w:r>
    </w:p>
  </w:footnote>
  <w:footnote w:id="37">
    <w:p w14:paraId="02F0B102"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Jo Braithwaite, The origins and implications of contractual estoppel [2016] 132(Jan) Law Quarterly Review 7</w:t>
      </w:r>
    </w:p>
  </w:footnote>
  <w:footnote w:id="38">
    <w:p w14:paraId="66C33EE4"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 w:id="39">
    <w:p w14:paraId="6B508E44"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217</w:t>
      </w:r>
    </w:p>
  </w:footnote>
  <w:footnote w:id="40">
    <w:p w14:paraId="0C6EA49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Jo Braithwaite, The origins and implications of contractual estoppel [2016] 132(Jan) Law Quarterly Review 7</w:t>
      </w:r>
    </w:p>
  </w:footnote>
  <w:footnote w:id="41">
    <w:p w14:paraId="0BACFF43"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Pr="005B1474">
        <w:rPr>
          <w:rStyle w:val="Emphasis"/>
          <w:rFonts w:ascii="Times New Roman" w:hAnsi="Times New Roman" w:cs="Times New Roman"/>
          <w:i w:val="0"/>
          <w:iCs w:val="0"/>
          <w:color w:val="000000"/>
          <w:szCs w:val="20"/>
          <w:shd w:val="clear" w:color="auto" w:fill="FFFFFF"/>
        </w:rPr>
        <w:t>JP Morgan Chase v Springwell Navigation Corporation [2010] 2 CLC 705, at 177</w:t>
      </w:r>
    </w:p>
  </w:footnote>
  <w:footnote w:id="42">
    <w:p w14:paraId="06C96EFB"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Wood v Capital Bridging Finance Ltd [2015] EWCA </w:t>
      </w:r>
      <w:proofErr w:type="spellStart"/>
      <w:r w:rsidRPr="005B1474">
        <w:rPr>
          <w:rFonts w:ascii="Times New Roman" w:hAnsi="Times New Roman" w:cs="Times New Roman"/>
          <w:szCs w:val="20"/>
        </w:rPr>
        <w:t>Civ</w:t>
      </w:r>
      <w:proofErr w:type="spellEnd"/>
      <w:r w:rsidRPr="005B1474">
        <w:rPr>
          <w:rFonts w:ascii="Times New Roman" w:hAnsi="Times New Roman" w:cs="Times New Roman"/>
          <w:szCs w:val="20"/>
        </w:rPr>
        <w:t xml:space="preserve"> 451</w:t>
      </w:r>
    </w:p>
  </w:footnote>
  <w:footnote w:id="43">
    <w:p w14:paraId="78B34B2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217</w:t>
      </w:r>
    </w:p>
  </w:footnote>
  <w:footnote w:id="44">
    <w:p w14:paraId="11570B4F"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 w:id="45">
    <w:p w14:paraId="53599E2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Prime Sight Ltd v </w:t>
      </w:r>
      <w:proofErr w:type="spellStart"/>
      <w:r w:rsidRPr="005B1474">
        <w:rPr>
          <w:rFonts w:ascii="Times New Roman" w:hAnsi="Times New Roman" w:cs="Times New Roman"/>
          <w:szCs w:val="20"/>
        </w:rPr>
        <w:t>Lavarello</w:t>
      </w:r>
      <w:proofErr w:type="spellEnd"/>
      <w:r w:rsidRPr="005B1474">
        <w:rPr>
          <w:rFonts w:ascii="Times New Roman" w:hAnsi="Times New Roman" w:cs="Times New Roman"/>
          <w:szCs w:val="20"/>
        </w:rPr>
        <w:t xml:space="preserve"> [2013] UKPC 22, 47</w:t>
      </w:r>
    </w:p>
  </w:footnote>
  <w:footnote w:id="46">
    <w:p w14:paraId="301530CF"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245</w:t>
      </w:r>
    </w:p>
  </w:footnote>
  <w:footnote w:id="47">
    <w:p w14:paraId="37FE4B98"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228</w:t>
      </w:r>
    </w:p>
  </w:footnote>
  <w:footnote w:id="48">
    <w:p w14:paraId="31A6CA41"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[2014] EWHC 3103</w:t>
      </w:r>
    </w:p>
  </w:footnote>
  <w:footnote w:id="49">
    <w:p w14:paraId="66A9F6C1"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Credit Suisse International v </w:t>
      </w:r>
      <w:proofErr w:type="spellStart"/>
      <w:r w:rsidRPr="005B1474">
        <w:rPr>
          <w:rFonts w:ascii="Times New Roman" w:hAnsi="Times New Roman" w:cs="Times New Roman"/>
          <w:szCs w:val="20"/>
        </w:rPr>
        <w:t>Sticthing</w:t>
      </w:r>
      <w:proofErr w:type="spellEnd"/>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Vestia</w:t>
      </w:r>
      <w:proofErr w:type="spellEnd"/>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Greop</w:t>
      </w:r>
      <w:proofErr w:type="spellEnd"/>
      <w:r w:rsidRPr="005B1474">
        <w:rPr>
          <w:rFonts w:ascii="Times New Roman" w:hAnsi="Times New Roman" w:cs="Times New Roman"/>
          <w:szCs w:val="20"/>
        </w:rPr>
        <w:t xml:space="preserve"> [2014] EWHC 3103, 291</w:t>
      </w:r>
    </w:p>
  </w:footnote>
  <w:footnote w:id="50">
    <w:p w14:paraId="216C2D78"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 313</w:t>
      </w:r>
    </w:p>
  </w:footnote>
  <w:footnote w:id="51">
    <w:p w14:paraId="4E1928E3"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228</w:t>
      </w:r>
    </w:p>
  </w:footnote>
  <w:footnote w:id="52">
    <w:p w14:paraId="36427391"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 w:id="53">
    <w:p w14:paraId="2E58591E"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232</w:t>
      </w:r>
    </w:p>
  </w:footnote>
  <w:footnote w:id="54">
    <w:p w14:paraId="0E5FACC4"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Prime Sight Ltd v </w:t>
      </w:r>
      <w:proofErr w:type="spellStart"/>
      <w:r w:rsidRPr="005B1474">
        <w:rPr>
          <w:rFonts w:ascii="Times New Roman" w:hAnsi="Times New Roman" w:cs="Times New Roman"/>
          <w:szCs w:val="20"/>
        </w:rPr>
        <w:t>Lavarello</w:t>
      </w:r>
      <w:proofErr w:type="spellEnd"/>
      <w:r w:rsidRPr="005B1474">
        <w:rPr>
          <w:rFonts w:ascii="Times New Roman" w:hAnsi="Times New Roman" w:cs="Times New Roman"/>
          <w:szCs w:val="20"/>
        </w:rPr>
        <w:t xml:space="preserve"> [2013] UKPC 22, 47</w:t>
      </w:r>
    </w:p>
  </w:footnote>
  <w:footnote w:id="55">
    <w:p w14:paraId="07739F04"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[1991] Ch 448, 459</w:t>
      </w:r>
    </w:p>
  </w:footnote>
  <w:footnote w:id="56">
    <w:p w14:paraId="79A81EB0"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 496</w:t>
      </w:r>
    </w:p>
  </w:footnote>
  <w:footnote w:id="57">
    <w:p w14:paraId="5DBE3795" w14:textId="0905FF1C"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00B433B6" w:rsidRPr="005B1474">
        <w:rPr>
          <w:rFonts w:ascii="Times New Roman" w:hAnsi="Times New Roman" w:cs="Times New Roman"/>
          <w:i/>
          <w:iCs/>
          <w:szCs w:val="20"/>
        </w:rPr>
        <w:t xml:space="preserve">Proactive Sports Management Ltd v Rooney </w:t>
      </w:r>
      <w:r w:rsidR="00B433B6" w:rsidRPr="005B1474">
        <w:rPr>
          <w:rFonts w:ascii="Times New Roman" w:hAnsi="Times New Roman" w:cs="Times New Roman"/>
          <w:szCs w:val="20"/>
        </w:rPr>
        <w:t>[2010] EWHC 1807</w:t>
      </w:r>
    </w:p>
  </w:footnote>
  <w:footnote w:id="58">
    <w:p w14:paraId="6567491C"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S. Wilken and K. </w:t>
      </w:r>
      <w:proofErr w:type="spellStart"/>
      <w:r w:rsidRPr="005B1474">
        <w:rPr>
          <w:rFonts w:ascii="Times New Roman" w:hAnsi="Times New Roman" w:cs="Times New Roman"/>
          <w:szCs w:val="20"/>
        </w:rPr>
        <w:t>Ghaly</w:t>
      </w:r>
      <w:proofErr w:type="spellEnd"/>
      <w:r w:rsidRPr="005B1474">
        <w:rPr>
          <w:rFonts w:ascii="Times New Roman" w:hAnsi="Times New Roman" w:cs="Times New Roman"/>
          <w:szCs w:val="20"/>
        </w:rPr>
        <w:t>, The Law of Waiver, Variation and Estoppel, (3</w:t>
      </w:r>
      <w:r w:rsidRPr="005B1474">
        <w:rPr>
          <w:rFonts w:ascii="Times New Roman" w:hAnsi="Times New Roman" w:cs="Times New Roman"/>
          <w:szCs w:val="20"/>
          <w:vertAlign w:val="superscript"/>
        </w:rPr>
        <w:t>rd</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Oxford University Press, 2012) 22</w:t>
      </w:r>
    </w:p>
  </w:footnote>
  <w:footnote w:id="59">
    <w:p w14:paraId="466CAC49" w14:textId="61404B8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G. </w:t>
      </w:r>
      <w:proofErr w:type="spellStart"/>
      <w:r w:rsidRPr="005B1474">
        <w:rPr>
          <w:rFonts w:ascii="Times New Roman" w:hAnsi="Times New Roman" w:cs="Times New Roman"/>
          <w:szCs w:val="20"/>
        </w:rPr>
        <w:t>McMeel</w:t>
      </w:r>
      <w:proofErr w:type="spellEnd"/>
      <w:r w:rsidRPr="005B1474">
        <w:rPr>
          <w:rFonts w:ascii="Times New Roman" w:hAnsi="Times New Roman" w:cs="Times New Roman"/>
          <w:szCs w:val="20"/>
        </w:rPr>
        <w:t xml:space="preserve">, "Documentary Fundamentalism in the Senior Courts: The myth of contractual estoppel" [2011] 185 Lloyd’s Maritime and Commercial Law Quarterly, 206 </w:t>
      </w:r>
    </w:p>
  </w:footnote>
  <w:footnote w:id="60">
    <w:p w14:paraId="521A42B0"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Alexander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Contractual Estoppel, (1</w:t>
      </w:r>
      <w:r w:rsidRPr="005B1474">
        <w:rPr>
          <w:rFonts w:ascii="Times New Roman" w:hAnsi="Times New Roman" w:cs="Times New Roman"/>
          <w:szCs w:val="20"/>
          <w:vertAlign w:val="superscript"/>
        </w:rPr>
        <w:t>st</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Informa Law from Routledge, 2018) 363</w:t>
      </w:r>
    </w:p>
  </w:footnote>
  <w:footnote w:id="61">
    <w:p w14:paraId="547D2F6E"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[1878] 5 QBD 188 (CA) 202</w:t>
      </w:r>
    </w:p>
  </w:footnote>
  <w:footnote w:id="62">
    <w:p w14:paraId="6191727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Simm</w:t>
      </w:r>
      <w:proofErr w:type="spellEnd"/>
      <w:r w:rsidRPr="005B1474">
        <w:rPr>
          <w:rFonts w:ascii="Times New Roman" w:hAnsi="Times New Roman" w:cs="Times New Roman"/>
          <w:szCs w:val="20"/>
        </w:rPr>
        <w:t xml:space="preserve"> v Anglo American Telegraph [1878] 5 QBD 188 (CA) 202</w:t>
      </w:r>
    </w:p>
  </w:footnote>
  <w:footnote w:id="63">
    <w:p w14:paraId="23E12177"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9" w:name="_Hlk523150614"/>
      <w:r w:rsidRPr="005B1474">
        <w:rPr>
          <w:rFonts w:ascii="Times New Roman" w:hAnsi="Times New Roman" w:cs="Times New Roman"/>
          <w:szCs w:val="20"/>
        </w:rPr>
        <w:t xml:space="preserve">H Malek and others, </w:t>
      </w:r>
      <w:proofErr w:type="spellStart"/>
      <w:r w:rsidRPr="005B1474">
        <w:rPr>
          <w:rFonts w:ascii="Times New Roman" w:hAnsi="Times New Roman" w:cs="Times New Roman"/>
          <w:szCs w:val="20"/>
        </w:rPr>
        <w:t>Phipson</w:t>
      </w:r>
      <w:proofErr w:type="spellEnd"/>
      <w:r w:rsidRPr="005B1474">
        <w:rPr>
          <w:rFonts w:ascii="Times New Roman" w:hAnsi="Times New Roman" w:cs="Times New Roman"/>
          <w:szCs w:val="20"/>
        </w:rPr>
        <w:t xml:space="preserve"> on Evidence, (19</w:t>
      </w:r>
      <w:r w:rsidRPr="005B1474">
        <w:rPr>
          <w:rFonts w:ascii="Times New Roman" w:hAnsi="Times New Roman" w:cs="Times New Roman"/>
          <w:szCs w:val="20"/>
          <w:vertAlign w:val="superscript"/>
        </w:rPr>
        <w:t>th</w:t>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edn</w:t>
      </w:r>
      <w:proofErr w:type="spellEnd"/>
      <w:r w:rsidRPr="005B1474">
        <w:rPr>
          <w:rFonts w:ascii="Times New Roman" w:hAnsi="Times New Roman" w:cs="Times New Roman"/>
          <w:szCs w:val="20"/>
        </w:rPr>
        <w:t xml:space="preserve">, Sweet &amp; Maxwell, 2017) </w:t>
      </w:r>
      <w:bookmarkEnd w:id="9"/>
      <w:r w:rsidRPr="005B1474">
        <w:rPr>
          <w:rFonts w:ascii="Times New Roman" w:hAnsi="Times New Roman" w:cs="Times New Roman"/>
          <w:szCs w:val="20"/>
        </w:rPr>
        <w:t>506</w:t>
      </w:r>
    </w:p>
  </w:footnote>
  <w:footnote w:id="64">
    <w:p w14:paraId="0ECD8ABB"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Peekay</w:t>
      </w:r>
      <w:proofErr w:type="spellEnd"/>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Intermark</w:t>
      </w:r>
      <w:proofErr w:type="spellEnd"/>
      <w:r w:rsidRPr="005B1474">
        <w:rPr>
          <w:rFonts w:ascii="Times New Roman" w:hAnsi="Times New Roman" w:cs="Times New Roman"/>
          <w:szCs w:val="20"/>
        </w:rPr>
        <w:t xml:space="preserve"> v Australia and New Zealand Banking Group Ltd [2006] 1 CLC 582</w:t>
      </w:r>
    </w:p>
  </w:footnote>
  <w:footnote w:id="65">
    <w:p w14:paraId="7E4FD9C2" w14:textId="028D20D2"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00FA488D" w:rsidRPr="005B1474">
        <w:rPr>
          <w:rFonts w:ascii="Times New Roman" w:hAnsi="Times New Roman" w:cs="Times New Roman"/>
          <w:i/>
          <w:iCs/>
          <w:szCs w:val="20"/>
        </w:rPr>
        <w:t xml:space="preserve">Springwell Navigation Corporation v JP Morgan Chase Bank </w:t>
      </w:r>
      <w:r w:rsidR="00FA488D" w:rsidRPr="005B1474">
        <w:rPr>
          <w:rFonts w:ascii="Times New Roman" w:hAnsi="Times New Roman" w:cs="Times New Roman"/>
          <w:szCs w:val="20"/>
        </w:rPr>
        <w:t xml:space="preserve">[2010] EWCA </w:t>
      </w:r>
      <w:proofErr w:type="spellStart"/>
      <w:r w:rsidR="00FA488D" w:rsidRPr="005B1474">
        <w:rPr>
          <w:rFonts w:ascii="Times New Roman" w:hAnsi="Times New Roman" w:cs="Times New Roman"/>
          <w:szCs w:val="20"/>
        </w:rPr>
        <w:t>Civ</w:t>
      </w:r>
      <w:proofErr w:type="spellEnd"/>
      <w:r w:rsidR="00FA488D" w:rsidRPr="005B1474">
        <w:rPr>
          <w:rFonts w:ascii="Times New Roman" w:hAnsi="Times New Roman" w:cs="Times New Roman"/>
          <w:szCs w:val="20"/>
        </w:rPr>
        <w:t xml:space="preserve"> 1221</w:t>
      </w:r>
    </w:p>
  </w:footnote>
  <w:footnote w:id="66">
    <w:p w14:paraId="5861DFA9" w14:textId="7D231E20"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00086046" w:rsidRPr="005B1474">
        <w:rPr>
          <w:rFonts w:ascii="Times New Roman" w:hAnsi="Times New Roman" w:cs="Times New Roman"/>
          <w:i/>
          <w:iCs/>
          <w:szCs w:val="20"/>
        </w:rPr>
        <w:t xml:space="preserve">Springwell Navigation Corporation v JP Morgan Chase Bank </w:t>
      </w:r>
      <w:r w:rsidR="00086046" w:rsidRPr="005B1474">
        <w:rPr>
          <w:rFonts w:ascii="Times New Roman" w:hAnsi="Times New Roman" w:cs="Times New Roman"/>
          <w:szCs w:val="20"/>
        </w:rPr>
        <w:t xml:space="preserve">[2010] EWCA </w:t>
      </w:r>
      <w:proofErr w:type="spellStart"/>
      <w:r w:rsidR="00086046" w:rsidRPr="005B1474">
        <w:rPr>
          <w:rFonts w:ascii="Times New Roman" w:hAnsi="Times New Roman" w:cs="Times New Roman"/>
          <w:szCs w:val="20"/>
        </w:rPr>
        <w:t>Civ</w:t>
      </w:r>
      <w:proofErr w:type="spellEnd"/>
      <w:r w:rsidR="00086046" w:rsidRPr="005B1474">
        <w:rPr>
          <w:rFonts w:ascii="Times New Roman" w:hAnsi="Times New Roman" w:cs="Times New Roman"/>
          <w:szCs w:val="20"/>
        </w:rPr>
        <w:t xml:space="preserve"> 1221</w:t>
      </w:r>
    </w:p>
  </w:footnote>
  <w:footnote w:id="67">
    <w:p w14:paraId="2C22A831"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[2011] EWHC 479</w:t>
      </w:r>
    </w:p>
  </w:footnote>
  <w:footnote w:id="68">
    <w:p w14:paraId="489B2C4D"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Grant Estates Ltd v RBS [2012] GWD 29=588</w:t>
      </w:r>
    </w:p>
  </w:footnote>
  <w:footnote w:id="69">
    <w:p w14:paraId="03FF7146"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 w:id="70">
    <w:p w14:paraId="79A94219"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10" w:name="_Hlk523150731"/>
      <w:r w:rsidRPr="005B1474">
        <w:rPr>
          <w:rFonts w:ascii="Times New Roman" w:hAnsi="Times New Roman" w:cs="Times New Roman"/>
          <w:szCs w:val="20"/>
        </w:rPr>
        <w:t>Jo Braithwaite, The origins and implications of contractual estoppel [2016] 132(Jan) Law Quarterly Review 16</w:t>
      </w:r>
      <w:bookmarkEnd w:id="10"/>
    </w:p>
  </w:footnote>
  <w:footnote w:id="71">
    <w:p w14:paraId="6D59B7B5"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bookmarkStart w:id="11" w:name="_Hlk523150716"/>
      <w:r w:rsidRPr="005B1474">
        <w:rPr>
          <w:rFonts w:ascii="Times New Roman" w:hAnsi="Times New Roman" w:cs="Times New Roman"/>
          <w:color w:val="212529"/>
          <w:szCs w:val="20"/>
          <w:shd w:val="clear" w:color="auto" w:fill="FFFFFF"/>
        </w:rPr>
        <w:t>Nelson Goh, 'Non-reliance clauses and contractual estoppel: commercially sensible or anomalous?' [2015] 7 Journal of Business Law 511-529</w:t>
      </w:r>
      <w:bookmarkEnd w:id="11"/>
    </w:p>
  </w:footnote>
  <w:footnote w:id="72">
    <w:p w14:paraId="25E99A0F"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 w:id="73">
    <w:p w14:paraId="0DC7FC4E"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[1998-99] Info. TLR 384</w:t>
      </w:r>
    </w:p>
  </w:footnote>
  <w:footnote w:id="74">
    <w:p w14:paraId="7FDD3804" w14:textId="5937B055" w:rsidR="00666516" w:rsidRPr="005B1474" w:rsidRDefault="00666516">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[2007] EWHC 997</w:t>
      </w:r>
    </w:p>
  </w:footnote>
  <w:footnote w:id="75">
    <w:p w14:paraId="4C27016B"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E A </w:t>
      </w:r>
      <w:proofErr w:type="spellStart"/>
      <w:r w:rsidRPr="005B1474">
        <w:rPr>
          <w:rFonts w:ascii="Times New Roman" w:hAnsi="Times New Roman" w:cs="Times New Roman"/>
          <w:szCs w:val="20"/>
        </w:rPr>
        <w:t>Grimstead</w:t>
      </w:r>
      <w:proofErr w:type="spellEnd"/>
      <w:r w:rsidRPr="005B1474">
        <w:rPr>
          <w:rFonts w:ascii="Times New Roman" w:hAnsi="Times New Roman" w:cs="Times New Roman"/>
          <w:szCs w:val="20"/>
        </w:rPr>
        <w:t xml:space="preserve"> &amp; Son Ltd v </w:t>
      </w:r>
      <w:proofErr w:type="spellStart"/>
      <w:r w:rsidRPr="005B1474">
        <w:rPr>
          <w:rFonts w:ascii="Times New Roman" w:hAnsi="Times New Roman" w:cs="Times New Roman"/>
          <w:szCs w:val="20"/>
        </w:rPr>
        <w:t>McGarrigan</w:t>
      </w:r>
      <w:proofErr w:type="spellEnd"/>
      <w:r w:rsidRPr="005B1474">
        <w:rPr>
          <w:rFonts w:ascii="Times New Roman" w:hAnsi="Times New Roman" w:cs="Times New Roman"/>
          <w:szCs w:val="20"/>
        </w:rPr>
        <w:t xml:space="preserve"> [1998-99] Info. TLR 384</w:t>
      </w:r>
    </w:p>
  </w:footnote>
  <w:footnote w:id="76">
    <w:p w14:paraId="0F6E51D9"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A. </w:t>
      </w:r>
      <w:proofErr w:type="spellStart"/>
      <w:r w:rsidRPr="005B1474">
        <w:rPr>
          <w:rFonts w:ascii="Times New Roman" w:hAnsi="Times New Roman" w:cs="Times New Roman"/>
          <w:szCs w:val="20"/>
        </w:rPr>
        <w:t>Trukhtanov</w:t>
      </w:r>
      <w:proofErr w:type="spellEnd"/>
      <w:r w:rsidRPr="005B1474">
        <w:rPr>
          <w:rFonts w:ascii="Times New Roman" w:hAnsi="Times New Roman" w:cs="Times New Roman"/>
          <w:szCs w:val="20"/>
        </w:rPr>
        <w:t>, "Exclusion of liability for pre-contractual misrepresentation: A setback" (2011) 127 L.Q.R. 345, 349</w:t>
      </w:r>
    </w:p>
  </w:footnote>
  <w:footnote w:id="77">
    <w:p w14:paraId="16469B7F"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Springwell Navigation Corp v JP Morgan Chase Bank [2010] 2 C.L.C. 705</w:t>
      </w:r>
    </w:p>
  </w:footnote>
  <w:footnote w:id="78">
    <w:p w14:paraId="2DC80A50"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[2015] 1 All E.R. (Comm) 788</w:t>
      </w:r>
    </w:p>
  </w:footnote>
  <w:footnote w:id="79">
    <w:p w14:paraId="6E407B39"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Barclays Bank v </w:t>
      </w:r>
      <w:proofErr w:type="spellStart"/>
      <w:r w:rsidRPr="005B1474">
        <w:rPr>
          <w:rFonts w:ascii="Times New Roman" w:hAnsi="Times New Roman" w:cs="Times New Roman"/>
          <w:szCs w:val="20"/>
        </w:rPr>
        <w:t>Svizera</w:t>
      </w:r>
      <w:proofErr w:type="spellEnd"/>
      <w:r w:rsidRPr="005B1474">
        <w:rPr>
          <w:rFonts w:ascii="Times New Roman" w:hAnsi="Times New Roman" w:cs="Times New Roman"/>
          <w:szCs w:val="20"/>
        </w:rPr>
        <w:t xml:space="preserve"> Holdings BV [2015] 1 All E.R. (Comm) 788</w:t>
      </w:r>
    </w:p>
  </w:footnote>
  <w:footnote w:id="80">
    <w:p w14:paraId="3AC42395" w14:textId="77777777" w:rsidR="00D167E7" w:rsidRPr="005B1474" w:rsidRDefault="00D167E7" w:rsidP="00D167E7">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E A </w:t>
      </w:r>
      <w:proofErr w:type="spellStart"/>
      <w:r w:rsidRPr="005B1474">
        <w:rPr>
          <w:rFonts w:ascii="Times New Roman" w:hAnsi="Times New Roman" w:cs="Times New Roman"/>
          <w:szCs w:val="20"/>
        </w:rPr>
        <w:t>Grimstead</w:t>
      </w:r>
      <w:proofErr w:type="spellEnd"/>
      <w:r w:rsidRPr="005B1474">
        <w:rPr>
          <w:rFonts w:ascii="Times New Roman" w:hAnsi="Times New Roman" w:cs="Times New Roman"/>
          <w:szCs w:val="20"/>
        </w:rPr>
        <w:t xml:space="preserve"> &amp; Son Ltd v </w:t>
      </w:r>
      <w:proofErr w:type="spellStart"/>
      <w:r w:rsidRPr="005B1474">
        <w:rPr>
          <w:rFonts w:ascii="Times New Roman" w:hAnsi="Times New Roman" w:cs="Times New Roman"/>
          <w:szCs w:val="20"/>
        </w:rPr>
        <w:t>McGarrigan</w:t>
      </w:r>
      <w:proofErr w:type="spellEnd"/>
      <w:r w:rsidRPr="005B1474">
        <w:rPr>
          <w:rFonts w:ascii="Times New Roman" w:hAnsi="Times New Roman" w:cs="Times New Roman"/>
          <w:szCs w:val="20"/>
        </w:rPr>
        <w:t xml:space="preserve"> [1998-99] Info. TLR 384</w:t>
      </w:r>
    </w:p>
  </w:footnote>
  <w:footnote w:id="81">
    <w:p w14:paraId="156BB539" w14:textId="77777777"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 w:id="82">
    <w:p w14:paraId="117603D0" w14:textId="734F0F3A"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r w:rsidR="00A70F00" w:rsidRPr="005B1474">
        <w:rPr>
          <w:rFonts w:ascii="Times New Roman" w:hAnsi="Times New Roman" w:cs="Times New Roman"/>
          <w:szCs w:val="20"/>
        </w:rPr>
        <w:t xml:space="preserve">Alexander </w:t>
      </w:r>
      <w:proofErr w:type="spellStart"/>
      <w:r w:rsidR="00A70F00" w:rsidRPr="005B1474">
        <w:rPr>
          <w:rFonts w:ascii="Times New Roman" w:hAnsi="Times New Roman" w:cs="Times New Roman"/>
          <w:szCs w:val="20"/>
        </w:rPr>
        <w:t>Trukhtanov</w:t>
      </w:r>
      <w:proofErr w:type="spellEnd"/>
      <w:r w:rsidR="00A70F00" w:rsidRPr="005B1474">
        <w:rPr>
          <w:rFonts w:ascii="Times New Roman" w:hAnsi="Times New Roman" w:cs="Times New Roman"/>
          <w:szCs w:val="20"/>
        </w:rPr>
        <w:t>, Contractual Estoppel, (1</w:t>
      </w:r>
      <w:r w:rsidR="00A70F00" w:rsidRPr="005B1474">
        <w:rPr>
          <w:rFonts w:ascii="Times New Roman" w:hAnsi="Times New Roman" w:cs="Times New Roman"/>
          <w:szCs w:val="20"/>
          <w:vertAlign w:val="superscript"/>
        </w:rPr>
        <w:t>st</w:t>
      </w:r>
      <w:r w:rsidR="00A70F00" w:rsidRPr="005B1474">
        <w:rPr>
          <w:rFonts w:ascii="Times New Roman" w:hAnsi="Times New Roman" w:cs="Times New Roman"/>
          <w:szCs w:val="20"/>
        </w:rPr>
        <w:t xml:space="preserve"> </w:t>
      </w:r>
      <w:proofErr w:type="spellStart"/>
      <w:r w:rsidR="00A70F00" w:rsidRPr="005B1474">
        <w:rPr>
          <w:rFonts w:ascii="Times New Roman" w:hAnsi="Times New Roman" w:cs="Times New Roman"/>
          <w:szCs w:val="20"/>
        </w:rPr>
        <w:t>edn</w:t>
      </w:r>
      <w:proofErr w:type="spellEnd"/>
      <w:r w:rsidR="00A70F00" w:rsidRPr="005B1474">
        <w:rPr>
          <w:rFonts w:ascii="Times New Roman" w:hAnsi="Times New Roman" w:cs="Times New Roman"/>
          <w:szCs w:val="20"/>
        </w:rPr>
        <w:t xml:space="preserve">, Informa Law from Routledge, 2018) </w:t>
      </w:r>
      <w:r w:rsidR="00A70F00" w:rsidRPr="005B1474">
        <w:rPr>
          <w:rFonts w:ascii="Times New Roman" w:hAnsi="Times New Roman" w:cs="Times New Roman"/>
          <w:szCs w:val="20"/>
        </w:rPr>
        <w:t>479</w:t>
      </w:r>
    </w:p>
  </w:footnote>
  <w:footnote w:id="83">
    <w:p w14:paraId="777D0133" w14:textId="77777777"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[2000] 2 Lloyd’s Rep 611</w:t>
      </w:r>
    </w:p>
  </w:footnote>
  <w:footnote w:id="84">
    <w:p w14:paraId="11A3FC0A" w14:textId="77777777"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Inntrepreneur</w:t>
      </w:r>
      <w:proofErr w:type="spellEnd"/>
      <w:r w:rsidRPr="005B1474">
        <w:rPr>
          <w:rFonts w:ascii="Times New Roman" w:hAnsi="Times New Roman" w:cs="Times New Roman"/>
          <w:szCs w:val="20"/>
        </w:rPr>
        <w:t xml:space="preserve"> Pub Co v East Crown Ltd [2000] 2 Lloyd’s Rep 611</w:t>
      </w:r>
    </w:p>
  </w:footnote>
  <w:footnote w:id="85">
    <w:p w14:paraId="5B08BE82" w14:textId="77777777"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[2011] 2 Lloyd’s Rep 1</w:t>
      </w:r>
    </w:p>
  </w:footnote>
  <w:footnote w:id="86">
    <w:p w14:paraId="798167E0" w14:textId="77777777"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[2011] All ER (D) 113</w:t>
      </w:r>
    </w:p>
  </w:footnote>
  <w:footnote w:id="87">
    <w:p w14:paraId="747AF6BB" w14:textId="77777777"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w:t>
      </w:r>
      <w:proofErr w:type="spellStart"/>
      <w:r w:rsidRPr="005B1474">
        <w:rPr>
          <w:rFonts w:ascii="Times New Roman" w:hAnsi="Times New Roman" w:cs="Times New Roman"/>
          <w:szCs w:val="20"/>
        </w:rPr>
        <w:t>Axa</w:t>
      </w:r>
      <w:proofErr w:type="spellEnd"/>
      <w:r w:rsidRPr="005B1474">
        <w:rPr>
          <w:rFonts w:ascii="Times New Roman" w:hAnsi="Times New Roman" w:cs="Times New Roman"/>
          <w:szCs w:val="20"/>
        </w:rPr>
        <w:t xml:space="preserve"> Sun Life Services plc v Campbell Martin Ltd [2011] 2 Lloyd’s Rep 1</w:t>
      </w:r>
    </w:p>
  </w:footnote>
  <w:footnote w:id="88">
    <w:p w14:paraId="2C58559A" w14:textId="77777777" w:rsidR="0020442E" w:rsidRPr="005B1474" w:rsidRDefault="0020442E" w:rsidP="0020442E">
      <w:pPr>
        <w:pStyle w:val="FootnoteText"/>
        <w:rPr>
          <w:rFonts w:ascii="Times New Roman" w:hAnsi="Times New Roman" w:cs="Times New Roman"/>
          <w:szCs w:val="20"/>
        </w:rPr>
      </w:pPr>
      <w:r w:rsidRPr="005B1474">
        <w:rPr>
          <w:rStyle w:val="FootnoteReference"/>
          <w:rFonts w:ascii="Times New Roman" w:hAnsi="Times New Roman" w:cs="Times New Roman"/>
          <w:szCs w:val="20"/>
        </w:rPr>
        <w:footnoteRef/>
      </w:r>
      <w:r w:rsidRPr="005B1474">
        <w:rPr>
          <w:rFonts w:ascii="Times New Roman" w:hAnsi="Times New Roman" w:cs="Times New Roman"/>
          <w:szCs w:val="20"/>
        </w:rPr>
        <w:t xml:space="preserve"> 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0BF"/>
    <w:multiLevelType w:val="multilevel"/>
    <w:tmpl w:val="7A9E90A8"/>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b/>
        <w:bCs/>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 w15:restartNumberingAfterBreak="0">
    <w:nsid w:val="0D74462B"/>
    <w:multiLevelType w:val="hybridMultilevel"/>
    <w:tmpl w:val="6FC43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672452"/>
    <w:multiLevelType w:val="multilevel"/>
    <w:tmpl w:val="267CA5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6602DF"/>
    <w:multiLevelType w:val="multilevel"/>
    <w:tmpl w:val="5F9408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5E22CC"/>
    <w:multiLevelType w:val="hybridMultilevel"/>
    <w:tmpl w:val="F638776A"/>
    <w:lvl w:ilvl="0" w:tplc="78D298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FF2862"/>
    <w:multiLevelType w:val="hybridMultilevel"/>
    <w:tmpl w:val="D19E5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B4E17"/>
    <w:multiLevelType w:val="hybridMultilevel"/>
    <w:tmpl w:val="8C202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D52C1B"/>
    <w:multiLevelType w:val="multilevel"/>
    <w:tmpl w:val="7D8CF022"/>
    <w:lvl w:ilvl="0">
      <w:start w:val="6"/>
      <w:numFmt w:val="decimal"/>
      <w:lvlText w:val="%1"/>
      <w:lvlJc w:val="left"/>
      <w:pPr>
        <w:ind w:left="360" w:hanging="360"/>
      </w:pPr>
      <w:rPr>
        <w:rFonts w:hint="default"/>
        <w:sz w:val="24"/>
        <w:u w:val="none"/>
      </w:rPr>
    </w:lvl>
    <w:lvl w:ilvl="1">
      <w:start w:val="1"/>
      <w:numFmt w:val="decimal"/>
      <w:lvlText w:val="%1.%2"/>
      <w:lvlJc w:val="left"/>
      <w:pPr>
        <w:ind w:left="1080" w:hanging="720"/>
      </w:pPr>
      <w:rPr>
        <w:rFonts w:hint="default"/>
        <w:sz w:val="24"/>
        <w:u w:val="none"/>
      </w:rPr>
    </w:lvl>
    <w:lvl w:ilvl="2">
      <w:start w:val="1"/>
      <w:numFmt w:val="decimal"/>
      <w:lvlText w:val="%1.%2.%3"/>
      <w:lvlJc w:val="left"/>
      <w:pPr>
        <w:ind w:left="1440" w:hanging="720"/>
      </w:pPr>
      <w:rPr>
        <w:rFonts w:hint="default"/>
        <w:sz w:val="24"/>
        <w:u w:val="none"/>
      </w:rPr>
    </w:lvl>
    <w:lvl w:ilvl="3">
      <w:start w:val="1"/>
      <w:numFmt w:val="decimal"/>
      <w:lvlText w:val="%1.%2.%3.%4"/>
      <w:lvlJc w:val="left"/>
      <w:pPr>
        <w:ind w:left="2160" w:hanging="1080"/>
      </w:pPr>
      <w:rPr>
        <w:rFonts w:hint="default"/>
        <w:sz w:val="24"/>
        <w:u w:val="none"/>
      </w:rPr>
    </w:lvl>
    <w:lvl w:ilvl="4">
      <w:start w:val="1"/>
      <w:numFmt w:val="decimal"/>
      <w:lvlText w:val="%1.%2.%3.%4.%5"/>
      <w:lvlJc w:val="left"/>
      <w:pPr>
        <w:ind w:left="2880" w:hanging="1440"/>
      </w:pPr>
      <w:rPr>
        <w:rFonts w:hint="default"/>
        <w:sz w:val="24"/>
        <w:u w:val="none"/>
      </w:rPr>
    </w:lvl>
    <w:lvl w:ilvl="5">
      <w:start w:val="1"/>
      <w:numFmt w:val="decimal"/>
      <w:lvlText w:val="%1.%2.%3.%4.%5.%6"/>
      <w:lvlJc w:val="left"/>
      <w:pPr>
        <w:ind w:left="3240" w:hanging="1440"/>
      </w:pPr>
      <w:rPr>
        <w:rFonts w:hint="default"/>
        <w:sz w:val="24"/>
        <w:u w:val="none"/>
      </w:rPr>
    </w:lvl>
    <w:lvl w:ilvl="6">
      <w:start w:val="1"/>
      <w:numFmt w:val="decimal"/>
      <w:lvlText w:val="%1.%2.%3.%4.%5.%6.%7"/>
      <w:lvlJc w:val="left"/>
      <w:pPr>
        <w:ind w:left="3960" w:hanging="1800"/>
      </w:pPr>
      <w:rPr>
        <w:rFonts w:hint="default"/>
        <w:sz w:val="24"/>
        <w:u w:val="none"/>
      </w:rPr>
    </w:lvl>
    <w:lvl w:ilvl="7">
      <w:start w:val="1"/>
      <w:numFmt w:val="decimal"/>
      <w:lvlText w:val="%1.%2.%3.%4.%5.%6.%7.%8"/>
      <w:lvlJc w:val="left"/>
      <w:pPr>
        <w:ind w:left="4680" w:hanging="2160"/>
      </w:pPr>
      <w:rPr>
        <w:rFonts w:hint="default"/>
        <w:sz w:val="24"/>
        <w:u w:val="none"/>
      </w:rPr>
    </w:lvl>
    <w:lvl w:ilvl="8">
      <w:start w:val="1"/>
      <w:numFmt w:val="decimal"/>
      <w:lvlText w:val="%1.%2.%3.%4.%5.%6.%7.%8.%9"/>
      <w:lvlJc w:val="left"/>
      <w:pPr>
        <w:ind w:left="5040" w:hanging="2160"/>
      </w:pPr>
      <w:rPr>
        <w:rFonts w:hint="default"/>
        <w:sz w:val="24"/>
        <w:u w:val="none"/>
      </w:rPr>
    </w:lvl>
  </w:abstractNum>
  <w:abstractNum w:abstractNumId="8" w15:restartNumberingAfterBreak="0">
    <w:nsid w:val="46654448"/>
    <w:multiLevelType w:val="hybridMultilevel"/>
    <w:tmpl w:val="37CE5274"/>
    <w:lvl w:ilvl="0" w:tplc="53520C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99B731E"/>
    <w:multiLevelType w:val="multilevel"/>
    <w:tmpl w:val="001CA7C2"/>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0" w15:restartNumberingAfterBreak="0">
    <w:nsid w:val="592A7A39"/>
    <w:multiLevelType w:val="hybridMultilevel"/>
    <w:tmpl w:val="2390A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5421B5"/>
    <w:multiLevelType w:val="hybridMultilevel"/>
    <w:tmpl w:val="45CADC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40788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7E5CB4"/>
    <w:multiLevelType w:val="hybridMultilevel"/>
    <w:tmpl w:val="5EAC7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C1EBA"/>
    <w:multiLevelType w:val="multilevel"/>
    <w:tmpl w:val="D8CCB634"/>
    <w:lvl w:ilvl="0">
      <w:start w:val="5"/>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num w:numId="1">
    <w:abstractNumId w:val="13"/>
  </w:num>
  <w:num w:numId="2">
    <w:abstractNumId w:val="8"/>
  </w:num>
  <w:num w:numId="3">
    <w:abstractNumId w:val="4"/>
  </w:num>
  <w:num w:numId="4">
    <w:abstractNumId w:val="3"/>
  </w:num>
  <w:num w:numId="5">
    <w:abstractNumId w:val="12"/>
  </w:num>
  <w:num w:numId="6">
    <w:abstractNumId w:val="11"/>
  </w:num>
  <w:num w:numId="7">
    <w:abstractNumId w:val="9"/>
  </w:num>
  <w:num w:numId="8">
    <w:abstractNumId w:val="0"/>
  </w:num>
  <w:num w:numId="9">
    <w:abstractNumId w:val="2"/>
  </w:num>
  <w:num w:numId="10">
    <w:abstractNumId w:val="14"/>
  </w:num>
  <w:num w:numId="11">
    <w:abstractNumId w:val="7"/>
  </w:num>
  <w:num w:numId="12">
    <w:abstractNumId w:val="6"/>
  </w:num>
  <w:num w:numId="13">
    <w:abstractNumId w:val="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5A"/>
    <w:rsid w:val="00000480"/>
    <w:rsid w:val="00086046"/>
    <w:rsid w:val="00086081"/>
    <w:rsid w:val="000E09D7"/>
    <w:rsid w:val="000F548E"/>
    <w:rsid w:val="000F6B26"/>
    <w:rsid w:val="00124F98"/>
    <w:rsid w:val="00142BCA"/>
    <w:rsid w:val="001811B1"/>
    <w:rsid w:val="001969E9"/>
    <w:rsid w:val="001A1095"/>
    <w:rsid w:val="001A2E3C"/>
    <w:rsid w:val="0020442E"/>
    <w:rsid w:val="002116C3"/>
    <w:rsid w:val="00224896"/>
    <w:rsid w:val="002605CB"/>
    <w:rsid w:val="00266164"/>
    <w:rsid w:val="00287150"/>
    <w:rsid w:val="002949DF"/>
    <w:rsid w:val="002B75EC"/>
    <w:rsid w:val="002F3C5A"/>
    <w:rsid w:val="0031114F"/>
    <w:rsid w:val="0034380D"/>
    <w:rsid w:val="00383A76"/>
    <w:rsid w:val="00405A44"/>
    <w:rsid w:val="0044582F"/>
    <w:rsid w:val="004A6129"/>
    <w:rsid w:val="004F52B1"/>
    <w:rsid w:val="00517EFF"/>
    <w:rsid w:val="00527996"/>
    <w:rsid w:val="0057106D"/>
    <w:rsid w:val="00574C4E"/>
    <w:rsid w:val="005B1474"/>
    <w:rsid w:val="00634BFE"/>
    <w:rsid w:val="00666516"/>
    <w:rsid w:val="006737DA"/>
    <w:rsid w:val="00676433"/>
    <w:rsid w:val="0069288F"/>
    <w:rsid w:val="00694C43"/>
    <w:rsid w:val="006E7A02"/>
    <w:rsid w:val="006F79C6"/>
    <w:rsid w:val="00743031"/>
    <w:rsid w:val="00757BA6"/>
    <w:rsid w:val="007740F2"/>
    <w:rsid w:val="008152BA"/>
    <w:rsid w:val="008324D0"/>
    <w:rsid w:val="008C3729"/>
    <w:rsid w:val="008D7074"/>
    <w:rsid w:val="008E2248"/>
    <w:rsid w:val="00904462"/>
    <w:rsid w:val="009A5DA5"/>
    <w:rsid w:val="009E78A6"/>
    <w:rsid w:val="00A70F00"/>
    <w:rsid w:val="00AE51A0"/>
    <w:rsid w:val="00B307F6"/>
    <w:rsid w:val="00B433B6"/>
    <w:rsid w:val="00B908BE"/>
    <w:rsid w:val="00BA2C5B"/>
    <w:rsid w:val="00BA55FB"/>
    <w:rsid w:val="00BB4534"/>
    <w:rsid w:val="00BC1DDB"/>
    <w:rsid w:val="00C0546D"/>
    <w:rsid w:val="00C27F1A"/>
    <w:rsid w:val="00D14D4F"/>
    <w:rsid w:val="00D167E7"/>
    <w:rsid w:val="00D44DBD"/>
    <w:rsid w:val="00D7317E"/>
    <w:rsid w:val="00DA3A93"/>
    <w:rsid w:val="00DB1A08"/>
    <w:rsid w:val="00DE24A4"/>
    <w:rsid w:val="00E04D1D"/>
    <w:rsid w:val="00E46358"/>
    <w:rsid w:val="00EB4904"/>
    <w:rsid w:val="00EF62E8"/>
    <w:rsid w:val="00F60235"/>
    <w:rsid w:val="00F75D3B"/>
    <w:rsid w:val="00F83178"/>
    <w:rsid w:val="00FA488D"/>
    <w:rsid w:val="00FF33EA"/>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F65"/>
  <w15:chartTrackingRefBased/>
  <w15:docId w15:val="{E0F3EB73-EBB9-409F-A0DD-A815158F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7E7"/>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7E7"/>
    <w:pPr>
      <w:ind w:left="720"/>
      <w:contextualSpacing/>
    </w:pPr>
  </w:style>
  <w:style w:type="paragraph" w:styleId="FootnoteText">
    <w:name w:val="footnote text"/>
    <w:basedOn w:val="Normal"/>
    <w:link w:val="FootnoteTextChar"/>
    <w:uiPriority w:val="99"/>
    <w:semiHidden/>
    <w:unhideWhenUsed/>
    <w:rsid w:val="00D167E7"/>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D167E7"/>
    <w:rPr>
      <w:rFonts w:cs="Vrinda"/>
      <w:sz w:val="20"/>
      <w:szCs w:val="25"/>
    </w:rPr>
  </w:style>
  <w:style w:type="character" w:styleId="FootnoteReference">
    <w:name w:val="footnote reference"/>
    <w:basedOn w:val="DefaultParagraphFont"/>
    <w:uiPriority w:val="99"/>
    <w:semiHidden/>
    <w:unhideWhenUsed/>
    <w:rsid w:val="00D167E7"/>
    <w:rPr>
      <w:vertAlign w:val="superscript"/>
    </w:rPr>
  </w:style>
  <w:style w:type="character" w:styleId="Emphasis">
    <w:name w:val="Emphasis"/>
    <w:basedOn w:val="DefaultParagraphFont"/>
    <w:uiPriority w:val="20"/>
    <w:qFormat/>
    <w:rsid w:val="00D167E7"/>
    <w:rPr>
      <w:i/>
      <w:iCs/>
    </w:rPr>
  </w:style>
  <w:style w:type="paragraph" w:styleId="Header">
    <w:name w:val="header"/>
    <w:basedOn w:val="Normal"/>
    <w:link w:val="HeaderChar"/>
    <w:uiPriority w:val="99"/>
    <w:unhideWhenUsed/>
    <w:rsid w:val="00445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82F"/>
    <w:rPr>
      <w:rFonts w:cs="Vrinda"/>
    </w:rPr>
  </w:style>
  <w:style w:type="paragraph" w:styleId="Footer">
    <w:name w:val="footer"/>
    <w:basedOn w:val="Normal"/>
    <w:link w:val="FooterChar"/>
    <w:uiPriority w:val="99"/>
    <w:unhideWhenUsed/>
    <w:rsid w:val="00445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82F"/>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36</Pages>
  <Words>8153</Words>
  <Characters>46475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Husnay Zannat</dc:creator>
  <cp:keywords/>
  <dc:description/>
  <cp:lastModifiedBy>Husnay Zannat</cp:lastModifiedBy>
  <cp:revision>83</cp:revision>
  <dcterms:created xsi:type="dcterms:W3CDTF">2018-08-27T10:16:00Z</dcterms:created>
  <dcterms:modified xsi:type="dcterms:W3CDTF">2018-08-28T10:41:00Z</dcterms:modified>
</cp:coreProperties>
</file>